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40"/>
          <w:szCs w:val="40"/>
          <w:b w:val="1"/>
          <w:bCs w:val="1"/>
          <w:color w:val="auto"/>
        </w:rPr>
        <w:t>BellRing Brands,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637030" cy="796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03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21,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on Monday, February 6, 2023. We will hold the meeting at 9:00 a.m., Central Time. The meeting will be entirely virtually, conducted via a live audio-only webcast, in order to protect the health and safety of our stockholders and employees.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annual meeting, we have prepared a notice of the meeting, a proxy statement, a proxy card and our annual report to stockholders for the fiscal year ended September 30, 2022, which contain detailed information about us and our operating and financial performance. On or about December 21, 2022, we began mailing to our stockholders these materials or a Notice Regarding the Availability of Proxy Materials containing instructions on how to access these materials online.</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meeting, we encourage you to vote your shares. You may vote by telephone or on the Internet, or if you received or requested to receive printed proxy materials, complete, sign and return the enclosed proxy card in the postage-paid envelope enclosed with the proxy materials. We would greatly appreciate your prompt execution of your proxy.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28917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91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208280</wp:posOffset>
            </wp:positionV>
            <wp:extent cx="1637030" cy="796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2503 S. Hanley Road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 Louis, Missouri 63144</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21, 2022</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2023 annual meeting of stockholders of BellRing Brands, Inc. will be held at 9:00 a.m., Central Time, on Monday, February 6, 2023. The meeting will be held exclusively online, via a live audio-only webcast, in order to protect the health and safety of our stockholders and employees. If you plan to attend the virtual meeting, please see the information below as well as the attendance and registration instructions in the proxy statement. There will be no physical location for this meeting.</w:t>
      </w:r>
    </w:p>
    <w:p>
      <w:pPr>
        <w:sectPr>
          <w:pgSz w:w="11900" w:h="16838" w:orient="portrait"/>
          <w:cols w:equalWidth="0" w:num="1">
            <w:col w:w="11140"/>
          </w:cols>
          <w:pgMar w:left="320" w:top="455" w:right="439" w:bottom="1440" w:gutter="0" w:footer="0" w:header="0"/>
        </w:sectPr>
      </w:pP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Meeting Information: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Website: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Monday, February 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Central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www.meetnow.global/MJR6HQD</w:t>
      </w:r>
    </w:p>
    <w:p>
      <w:pPr>
        <w:spacing w:after="0" w:line="200" w:lineRule="exact"/>
        <w:rPr>
          <w:sz w:val="20"/>
          <w:szCs w:val="20"/>
          <w:color w:val="auto"/>
        </w:rPr>
      </w:pPr>
    </w:p>
    <w:p>
      <w:pPr>
        <w:sectPr>
          <w:pgSz w:w="11900" w:h="16838" w:orient="portrait"/>
          <w:cols w:equalWidth="0" w:num="3">
            <w:col w:w="2580" w:space="720"/>
            <w:col w:w="620" w:space="500"/>
            <w:col w:w="6720"/>
          </w:cols>
          <w:pgMar w:left="320" w:top="455" w:right="439" w:bottom="1440" w:gutter="0" w:footer="0" w:header="0"/>
          <w:type w:val="continuous"/>
        </w:sectPr>
      </w:pPr>
    </w:p>
    <w:p>
      <w:pPr>
        <w:spacing w:after="0" w:line="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annual meeting, stockholders will consider the following matters:</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election of two nominees to the Company’s Board of Directors;</w:t>
      </w:r>
    </w:p>
    <w:p>
      <w:pPr>
        <w:spacing w:after="0" w:line="130" w:lineRule="exact"/>
        <w:rPr>
          <w:rFonts w:ascii="Times New Roman" w:cs="Times New Roman" w:eastAsia="Times New Roman" w:hAnsi="Times New Roman"/>
          <w:sz w:val="18"/>
          <w:szCs w:val="18"/>
          <w:b w:val="1"/>
          <w:bCs w:val="1"/>
          <w:color w:val="auto"/>
        </w:rPr>
      </w:pPr>
    </w:p>
    <w:p>
      <w:pPr>
        <w:ind w:left="1080" w:right="4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fiscal year ending September 30, 2023;</w:t>
      </w:r>
    </w:p>
    <w:p>
      <w:pPr>
        <w:spacing w:after="0" w:line="67" w:lineRule="exact"/>
        <w:rPr>
          <w:rFonts w:ascii="Times New Roman" w:cs="Times New Roman" w:eastAsia="Times New Roman" w:hAnsi="Times New Roman"/>
          <w:sz w:val="18"/>
          <w:szCs w:val="18"/>
          <w:b w:val="1"/>
          <w:bCs w:val="1"/>
          <w:color w:val="auto"/>
        </w:rPr>
      </w:pPr>
    </w:p>
    <w:p>
      <w:pPr>
        <w:ind w:left="1080" w:right="8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upon a proposal to increase the number of authorized shares under the Company’s 2019 Long-Term Incentive Plan by 6,000,000 shares from 2,000,000 shares to 8,000,000 shares;</w:t>
      </w:r>
    </w:p>
    <w:p>
      <w:pPr>
        <w:spacing w:after="0" w:line="67" w:lineRule="exact"/>
        <w:rPr>
          <w:rFonts w:ascii="Times New Roman" w:cs="Times New Roman" w:eastAsia="Times New Roman" w:hAnsi="Times New Roman"/>
          <w:sz w:val="18"/>
          <w:szCs w:val="18"/>
          <w:b w:val="1"/>
          <w:bCs w:val="1"/>
          <w:color w:val="auto"/>
        </w:rPr>
      </w:pPr>
    </w:p>
    <w:p>
      <w:pPr>
        <w:jc w:val="both"/>
        <w:ind w:left="1080" w:right="60" w:hanging="532"/>
        <w:spacing w:after="0" w:line="266"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 and</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business properly introduced at the annual meeting.</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close of business on December 13, 2022 has been fixed as the record date for the determination of stockholders entitled to receive notice of and to vote at the annual meeting or any adjournment or postponement thereof. This notice of the meeting and the proxy statement and proxy card are first being sent or made available to stockholders on or about December 21, 2022.</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pleased to take advantage of the Securities and Exchange Commission rules that allow us to furnish these proxy materials and our annual report to stockholders on the Internet. This means that most stockholders will not receive paper copies of our proxy materials and annual report to stockholders. We will instead send stockholders a Notice Regarding the Availability of Proxy Materials with instructions for accessing the proxy materials and annual report to stockholders on the Internet. We believe that posting these materials on the Internet enables us to provide stockholders with the information that they need more quickly, while lowering our costs of printing and delivery and reducing the environmental impact of our annual meeting.</w:t>
      </w:r>
    </w:p>
    <w:p>
      <w:pPr>
        <w:spacing w:after="0" w:line="183"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vote is important. Please note that if you hold your shares through a broker, your broker cannot vote your shares on any matter, except ratification of the appointment of PricewaterhouseCoopers LLP as our</w:t>
      </w:r>
    </w:p>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 in the absence of your specific instructions as to how to vote. In order for your vote to be counted, please make sure that you submit your vote to your broker.</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289175"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91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Secretary</w:t>
      </w:r>
    </w:p>
    <w:p>
      <w:pPr>
        <w:spacing w:after="0" w:line="200" w:lineRule="exact"/>
        <w:rPr>
          <w:sz w:val="20"/>
          <w:szCs w:val="20"/>
          <w:color w:val="auto"/>
        </w:rPr>
      </w:pPr>
    </w:p>
    <w:p>
      <w:pPr>
        <w:spacing w:after="0" w:line="219" w:lineRule="exact"/>
        <w:rPr>
          <w:sz w:val="20"/>
          <w:szCs w:val="20"/>
          <w:color w:val="auto"/>
        </w:rPr>
      </w:pPr>
    </w:p>
    <w:p>
      <w:pPr>
        <w:jc w:val="center"/>
        <w:ind w:left="500" w:right="1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FEBRUARY 6, 2023</w:t>
      </w:r>
    </w:p>
    <w:p>
      <w:pPr>
        <w:spacing w:after="0" w:line="155" w:lineRule="exact"/>
        <w:rPr>
          <w:sz w:val="20"/>
          <w:szCs w:val="20"/>
          <w:color w:val="auto"/>
        </w:rPr>
      </w:pPr>
    </w:p>
    <w:p>
      <w:pPr>
        <w:jc w:val="center"/>
        <w:ind w:lef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notice, the proxy statement attached to this notice and our annual report to stockholders for the fiscal year ended September 30, 2022 are available at </w:t>
      </w:r>
      <w:r>
        <w:rPr>
          <w:rFonts w:ascii="Times New Roman" w:cs="Times New Roman" w:eastAsia="Times New Roman" w:hAnsi="Times New Roman"/>
          <w:sz w:val="18"/>
          <w:szCs w:val="18"/>
          <w:b w:val="1"/>
          <w:bCs w:val="1"/>
          <w:i w:val="1"/>
          <w:iCs w:val="1"/>
          <w:color w:val="auto"/>
        </w:rPr>
        <w:t>www.envisionreports.com/BRBR</w:t>
      </w:r>
      <w:r>
        <w:rPr>
          <w:rFonts w:ascii="Times New Roman" w:cs="Times New Roman" w:eastAsia="Times New Roman" w:hAnsi="Times New Roman"/>
          <w:sz w:val="18"/>
          <w:szCs w:val="18"/>
          <w:b w:val="1"/>
          <w:bCs w:val="1"/>
          <w:color w:val="auto"/>
        </w:rPr>
        <w:t xml:space="preserve"> and on our website at </w:t>
      </w:r>
      <w:r>
        <w:rPr>
          <w:rFonts w:ascii="Times New Roman" w:cs="Times New Roman" w:eastAsia="Times New Roman" w:hAnsi="Times New Roman"/>
          <w:sz w:val="18"/>
          <w:szCs w:val="18"/>
          <w:b w:val="1"/>
          <w:bCs w:val="1"/>
          <w:i w:val="1"/>
          <w:iCs w:val="1"/>
          <w:color w:val="auto"/>
        </w:rPr>
        <w:t>www.bellring.com</w:t>
      </w:r>
      <w:r>
        <w:rPr>
          <w:rFonts w:ascii="Times New Roman" w:cs="Times New Roman" w:eastAsia="Times New Roman" w:hAnsi="Times New Roman"/>
          <w:sz w:val="18"/>
          <w:szCs w:val="18"/>
          <w:b w:val="1"/>
          <w:bCs w:val="1"/>
          <w:color w:val="auto"/>
        </w:rPr>
        <w:t>.</w:t>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gridSpan w:val="9"/>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8"/>
              </w:rPr>
              <w:t>PROXY STATEMENT</w:t>
            </w:r>
          </w:p>
        </w:tc>
        <w:tc>
          <w:tcPr>
            <w:tcW w:w="5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40" w:type="dxa"/>
            <w:vAlign w:val="bottom"/>
          </w:tcPr>
          <w:p>
            <w:pPr>
              <w:spacing w:after="0"/>
              <w:rPr>
                <w:sz w:val="24"/>
                <w:szCs w:val="24"/>
                <w:color w:val="auto"/>
              </w:rPr>
            </w:pPr>
          </w:p>
        </w:tc>
      </w:tr>
      <w:tr>
        <w:trPr>
          <w:trHeight w:val="373"/>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266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7"/>
              </w:rPr>
              <w:t>PROXY STATEMENT SUMMARY</w:t>
            </w:r>
          </w:p>
        </w:tc>
        <w:tc>
          <w:tcPr>
            <w:tcW w:w="7760" w:type="dxa"/>
            <w:vAlign w:val="bottom"/>
            <w:gridSpan w:val="24"/>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30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PROXY AND VOTING INFORMATION</w:t>
            </w:r>
          </w:p>
        </w:tc>
        <w:tc>
          <w:tcPr>
            <w:tcW w:w="7360" w:type="dxa"/>
            <w:vAlign w:val="bottom"/>
            <w:gridSpan w:val="19"/>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8080" w:type="dxa"/>
            <w:vAlign w:val="bottom"/>
            <w:gridSpan w:val="30"/>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Overview</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8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Director Independence and Role of the Independent Lead Director</w:t>
            </w:r>
          </w:p>
        </w:tc>
        <w:tc>
          <w:tcPr>
            <w:tcW w:w="5280" w:type="dxa"/>
            <w:vAlign w:val="bottom"/>
            <w:gridSpan w:val="7"/>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Code of Conduct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Conflicts of Interest</w:t>
            </w:r>
          </w:p>
        </w:tc>
        <w:tc>
          <w:tcPr>
            <w:tcW w:w="8620" w:type="dxa"/>
            <w:vAlign w:val="bottom"/>
            <w:gridSpan w:val="35"/>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Policy on Hedging and Pledging Company Stock</w:t>
            </w:r>
          </w:p>
        </w:tc>
        <w:tc>
          <w:tcPr>
            <w:tcW w:w="6520" w:type="dxa"/>
            <w:vAlign w:val="bottom"/>
            <w:gridSpan w:val="13"/>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Structure of the Board of Directors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Board Meetings and Committees</w:t>
            </w:r>
          </w:p>
        </w:tc>
        <w:tc>
          <w:tcPr>
            <w:tcW w:w="7560" w:type="dxa"/>
            <w:vAlign w:val="bottom"/>
            <w:gridSpan w:val="21"/>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Nomination Process for Election of Directors</w:t>
            </w:r>
          </w:p>
        </w:tc>
        <w:tc>
          <w:tcPr>
            <w:tcW w:w="6800" w:type="dxa"/>
            <w:vAlign w:val="bottom"/>
            <w:gridSpan w:val="15"/>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Other Board Service</w:t>
            </w:r>
          </w:p>
        </w:tc>
        <w:tc>
          <w:tcPr>
            <w:tcW w:w="8580" w:type="dxa"/>
            <w:vAlign w:val="bottom"/>
            <w:gridSpan w:val="33"/>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7460" w:type="dxa"/>
            <w:vAlign w:val="bottom"/>
            <w:gridSpan w:val="20"/>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Director Evaluations</w:t>
            </w:r>
          </w:p>
        </w:tc>
        <w:tc>
          <w:tcPr>
            <w:tcW w:w="480" w:type="dxa"/>
            <w:vAlign w:val="bottom"/>
            <w:tcBorders>
              <w:top w:val="single" w:sz="8" w:color="0000EE"/>
            </w:tcBorders>
            <w:gridSpan w:val="2"/>
          </w:tcPr>
          <w:p>
            <w:pPr>
              <w:spacing w:after="0"/>
              <w:rPr>
                <w:sz w:val="19"/>
                <w:szCs w:val="19"/>
                <w:color w:val="auto"/>
              </w:rPr>
            </w:pPr>
          </w:p>
        </w:tc>
        <w:tc>
          <w:tcPr>
            <w:tcW w:w="8080" w:type="dxa"/>
            <w:vAlign w:val="bottom"/>
            <w:gridSpan w:val="30"/>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Policy on Director Diversity</w:t>
            </w:r>
          </w:p>
        </w:tc>
        <w:tc>
          <w:tcPr>
            <w:tcW w:w="8000" w:type="dxa"/>
            <w:vAlign w:val="bottom"/>
            <w:gridSpan w:val="28"/>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Communication with the Board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Environmental Sustainability and Social Matters</w:t>
            </w:r>
          </w:p>
        </w:tc>
        <w:tc>
          <w:tcPr>
            <w:tcW w:w="6560" w:type="dxa"/>
            <w:vAlign w:val="bottom"/>
            <w:gridSpan w:val="14"/>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Information Technology and Cybersecurity Risk Oversight</w:t>
            </w:r>
          </w:p>
        </w:tc>
        <w:tc>
          <w:tcPr>
            <w:tcW w:w="5820" w:type="dxa"/>
            <w:vAlign w:val="bottom"/>
            <w:gridSpan w:val="9"/>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9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ELECTION OF DIRECTORS (PROXY ITEM NO. 1)</w:t>
            </w:r>
          </w:p>
        </w:tc>
        <w:tc>
          <w:tcPr>
            <w:tcW w:w="6480" w:type="dxa"/>
            <w:vAlign w:val="bottom"/>
            <w:gridSpan w:val="12"/>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104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RATIFICATION OF APPOINTMENT OF INDEPENDENT REGISTERED PUBLIC ACCOUNTING FIRM (PROXY ITEM NO. 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4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AUDIT COMMITTEE REPORT</w:t>
            </w:r>
          </w:p>
        </w:tc>
        <w:tc>
          <w:tcPr>
            <w:tcW w:w="7260" w:type="dxa"/>
            <w:vAlign w:val="bottom"/>
            <w:tcBorders>
              <w:top w:val="single" w:sz="8" w:color="0000EE"/>
            </w:tcBorders>
            <w:gridSpan w:val="27"/>
          </w:tcPr>
          <w:p>
            <w:pPr>
              <w:spacing w:after="0"/>
              <w:rPr>
                <w:sz w:val="19"/>
                <w:szCs w:val="19"/>
                <w:color w:val="auto"/>
              </w:rPr>
            </w:pPr>
          </w:p>
        </w:tc>
        <w:tc>
          <w:tcPr>
            <w:tcW w:w="760" w:type="dxa"/>
            <w:vAlign w:val="bottom"/>
            <w:gridSpan w:val="2"/>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36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8"/>
              </w:rPr>
              <w:t>COMPENSATION DISCUSSION &amp; ANALYSIS</w:t>
            </w:r>
          </w:p>
        </w:tc>
        <w:tc>
          <w:tcPr>
            <w:tcW w:w="6820" w:type="dxa"/>
            <w:vAlign w:val="bottom"/>
            <w:gridSpan w:val="16"/>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200" w:type="dxa"/>
            <w:vAlign w:val="bottom"/>
            <w:tcBorders>
              <w:bottom w:val="single" w:sz="8" w:color="0000EE"/>
            </w:tcBorders>
            <w:gridSpan w:val="40"/>
          </w:tcPr>
          <w:p>
            <w:pPr>
              <w:spacing w:after="0"/>
              <w:rPr>
                <w:sz w:val="20"/>
                <w:szCs w:val="20"/>
                <w:color w:val="auto"/>
              </w:rPr>
            </w:pPr>
            <w:r>
              <w:rPr>
                <w:rFonts w:ascii="Times New Roman" w:cs="Times New Roman" w:eastAsia="Times New Roman" w:hAnsi="Times New Roman"/>
                <w:sz w:val="18"/>
                <w:szCs w:val="18"/>
                <w:color w:val="0000EE"/>
                <w:w w:val="98"/>
              </w:rPr>
              <w:t>COMPENSATION COMMITTEE INTERLOCKS AND INSIDER PARTICIPATION</w:t>
            </w:r>
          </w:p>
        </w:tc>
        <w:tc>
          <w:tcPr>
            <w:tcW w:w="4220" w:type="dxa"/>
            <w:vAlign w:val="bottom"/>
            <w:gridSpan w:val="4"/>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104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244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780" w:type="dxa"/>
            <w:vAlign w:val="bottom"/>
            <w:tcBorders>
              <w:top w:val="single" w:sz="8" w:color="0000EE"/>
            </w:tcBorders>
            <w:gridSpan w:val="10"/>
          </w:tcPr>
          <w:p>
            <w:pPr>
              <w:spacing w:after="0"/>
              <w:rPr>
                <w:sz w:val="19"/>
                <w:szCs w:val="19"/>
                <w:color w:val="auto"/>
              </w:rPr>
            </w:pPr>
          </w:p>
        </w:tc>
        <w:tc>
          <w:tcPr>
            <w:tcW w:w="7200" w:type="dxa"/>
            <w:vAlign w:val="bottom"/>
            <w:gridSpan w:val="17"/>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Outstanding Equity Awards at September 30, 2022</w:t>
            </w:r>
          </w:p>
        </w:tc>
        <w:tc>
          <w:tcPr>
            <w:tcW w:w="6400" w:type="dxa"/>
            <w:vAlign w:val="bottom"/>
            <w:gridSpan w:val="11"/>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Potential Payments Upon Termination of Employment or Change in Control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04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SECURITY OWNERSHIP OF CERTAIN STOCKHOLDERS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1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14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w:t>
            </w:r>
          </w:p>
        </w:tc>
        <w:tc>
          <w:tcPr>
            <w:tcW w:w="5920" w:type="dxa"/>
            <w:vAlign w:val="bottom"/>
            <w:gridSpan w:val="10"/>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8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Security Ownership of Management</w:t>
            </w:r>
          </w:p>
        </w:tc>
        <w:tc>
          <w:tcPr>
            <w:tcW w:w="6480" w:type="dxa"/>
            <w:vAlign w:val="bottom"/>
            <w:gridSpan w:val="12"/>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7460" w:type="dxa"/>
            <w:vAlign w:val="bottom"/>
            <w:gridSpan w:val="20"/>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60" w:type="dxa"/>
            <w:vAlign w:val="bottom"/>
            <w:gridSpan w:val="1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486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5560" w:type="dxa"/>
            <w:vAlign w:val="bottom"/>
            <w:gridSpan w:val="8"/>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Policies and Procedures Governing Related Party Transactions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Borders>
              <w:top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5560" w:type="dxa"/>
            <w:vAlign w:val="bottom"/>
            <w:gridSpan w:val="8"/>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04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INCREASE IN THE AUTHORIZED SHARES UNDER THE COMPANY’S 2019 LONG-TERM INCENTIVE PLAN (PROXY ITEM NO.</w:t>
            </w:r>
          </w:p>
        </w:tc>
        <w:tc>
          <w:tcPr>
            <w:tcW w:w="540" w:type="dxa"/>
            <w:vAlign w:val="bottom"/>
          </w:tcPr>
          <w:p>
            <w:pPr>
              <w:spacing w:after="0"/>
              <w:rPr>
                <w:sz w:val="19"/>
                <w:szCs w:val="19"/>
                <w:color w:val="auto"/>
              </w:rPr>
            </w:pPr>
          </w:p>
        </w:tc>
      </w:tr>
      <w:tr>
        <w:trPr>
          <w:trHeight w:val="196"/>
        </w:trPr>
        <w:tc>
          <w:tcPr>
            <w:tcW w:w="32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79"/>
              </w:rPr>
              <w:t>3)</w:t>
            </w:r>
          </w:p>
        </w:tc>
        <w:tc>
          <w:tcPr>
            <w:tcW w:w="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280" w:type="dxa"/>
            <w:vAlign w:val="bottom"/>
            <w:tcBorders>
              <w:bottom w:val="single" w:sz="8" w:color="0000EE"/>
            </w:tcBorders>
            <w:gridSpan w:val="41"/>
          </w:tcPr>
          <w:p>
            <w:pPr>
              <w:spacing w:after="0"/>
              <w:rPr>
                <w:sz w:val="20"/>
                <w:szCs w:val="20"/>
                <w:color w:val="auto"/>
              </w:rPr>
            </w:pPr>
            <w:r>
              <w:rPr>
                <w:rFonts w:ascii="Times New Roman" w:cs="Times New Roman" w:eastAsia="Times New Roman" w:hAnsi="Times New Roman"/>
                <w:sz w:val="18"/>
                <w:szCs w:val="18"/>
                <w:color w:val="0000EE"/>
                <w:w w:val="99"/>
              </w:rPr>
              <w:t>NON-BINDING ADVISORY VOTE ON EXECUTIVE COMPENSATION (PROXY ITEM NO. 4)</w:t>
            </w:r>
          </w:p>
        </w:tc>
        <w:tc>
          <w:tcPr>
            <w:tcW w:w="3140" w:type="dxa"/>
            <w:vAlign w:val="bottom"/>
            <w:gridSpan w:val="3"/>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104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Proxy Solicitation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8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w w:val="99"/>
              </w:rPr>
              <w:t>Stockholder Director Nominations and Proposals for the 2024 Annual Meeting</w:t>
            </w:r>
          </w:p>
        </w:tc>
        <w:tc>
          <w:tcPr>
            <w:tcW w:w="4380" w:type="dxa"/>
            <w:vAlign w:val="bottom"/>
            <w:gridSpan w:val="5"/>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Form 10-K and Other Filings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7220" w:type="dxa"/>
            <w:vAlign w:val="bottom"/>
            <w:gridSpan w:val="1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Internet Availability of Proxy Materials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List of Stockholders</w:t>
            </w:r>
          </w:p>
        </w:tc>
        <w:tc>
          <w:tcPr>
            <w:tcW w:w="1380" w:type="dxa"/>
            <w:vAlign w:val="bottom"/>
            <w:tcBorders>
              <w:top w:val="single" w:sz="8" w:color="0000EE"/>
            </w:tcBorders>
            <w:gridSpan w:val="16"/>
          </w:tcPr>
          <w:p>
            <w:pPr>
              <w:spacing w:after="0"/>
              <w:rPr>
                <w:sz w:val="19"/>
                <w:szCs w:val="19"/>
                <w:color w:val="auto"/>
              </w:rPr>
            </w:pPr>
          </w:p>
        </w:tc>
        <w:tc>
          <w:tcPr>
            <w:tcW w:w="7220" w:type="dxa"/>
            <w:vAlign w:val="bottom"/>
            <w:gridSpan w:val="18"/>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7"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This summary is not a complete description, and you should read the entire proxy statement carefully before voting.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MEETING</w:t>
      </w:r>
    </w:p>
    <w:p>
      <w:pPr>
        <w:sectPr>
          <w:pgSz w:w="11900" w:h="16838" w:orient="portrait"/>
          <w:cols w:equalWidth="0" w:num="1">
            <w:col w:w="11140"/>
          </w:cols>
          <w:pgMar w:left="320" w:top="455" w:right="43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Central Time, on Monday, February 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www.meetnow.global/MJR6HQD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on the record date are entitled to one vote per share on each matter to be voted upon at the annual meeting.</w:t>
      </w:r>
    </w:p>
    <w:p>
      <w:pPr>
        <w:spacing w:after="0" w:line="211" w:lineRule="exact"/>
        <w:rPr>
          <w:sz w:val="20"/>
          <w:szCs w:val="20"/>
          <w:color w:val="auto"/>
        </w:rPr>
      </w:pPr>
    </w:p>
    <w:p>
      <w:pPr>
        <w:sectPr>
          <w:pgSz w:w="11900" w:h="16838" w:orient="portrait"/>
          <w:cols w:equalWidth="0" w:num="2">
            <w:col w:w="1320" w:space="560"/>
            <w:col w:w="9260"/>
          </w:cols>
          <w:pgMar w:left="320" w:top="455" w:right="43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ITEM</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7680" w:type="dxa"/>
            <w:vAlign w:val="bottom"/>
          </w:tcPr>
          <w:p>
            <w:pPr>
              <w:spacing w:after="0"/>
              <w:rPr>
                <w:sz w:val="13"/>
                <w:szCs w:val="13"/>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7"/>
        </w:trPr>
        <w:tc>
          <w:tcPr>
            <w:tcW w:w="300" w:type="dxa"/>
            <w:vAlign w:val="bottom"/>
            <w:tcBorders>
              <w:bottom w:val="single" w:sz="8" w:color="auto"/>
            </w:tcBorders>
            <w:vMerge w:val="continue"/>
          </w:tcPr>
          <w:p>
            <w:pPr>
              <w:spacing w:after="0"/>
              <w:rPr>
                <w:sz w:val="14"/>
                <w:szCs w:val="14"/>
                <w:color w:val="auto"/>
              </w:rPr>
            </w:pPr>
          </w:p>
        </w:tc>
        <w:tc>
          <w:tcPr>
            <w:tcW w:w="7680" w:type="dxa"/>
            <w:vAlign w:val="bottom"/>
          </w:tcPr>
          <w:p>
            <w:pPr>
              <w:spacing w:after="0"/>
              <w:rPr>
                <w:sz w:val="14"/>
                <w:szCs w:val="14"/>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300" w:type="dxa"/>
            <w:vAlign w:val="bottom"/>
            <w:vMerge w:val="restart"/>
            <w:shd w:val="clear" w:color="auto" w:fill="ABD8EA"/>
          </w:tcPr>
          <w:p>
            <w:pPr>
              <w:spacing w:after="0"/>
              <w:rPr>
                <w:sz w:val="20"/>
                <w:szCs w:val="20"/>
                <w:color w:val="auto"/>
              </w:rPr>
            </w:pPr>
            <w:r>
              <w:rPr>
                <w:rFonts w:ascii="Times New Roman" w:cs="Times New Roman" w:eastAsia="Times New Roman" w:hAnsi="Times New Roman"/>
                <w:sz w:val="18"/>
                <w:szCs w:val="18"/>
                <w:color w:val="auto"/>
              </w:rPr>
              <w:t>1</w:t>
            </w:r>
          </w:p>
        </w:tc>
        <w:tc>
          <w:tcPr>
            <w:tcW w:w="7680" w:type="dxa"/>
            <w:vAlign w:val="bottom"/>
            <w:shd w:val="clear" w:color="auto" w:fill="ABD8EA"/>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shd w:val="clear" w:color="auto" w:fill="ABD8EA"/>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ABD8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Borders>
              <w:bottom w:val="single" w:sz="8" w:color="ABD8EA"/>
            </w:tcBorders>
            <w:vMerge w:val="continue"/>
            <w:shd w:val="clear" w:color="auto" w:fill="ABD8EA"/>
          </w:tcPr>
          <w:p>
            <w:pPr>
              <w:spacing w:after="0"/>
              <w:rPr>
                <w:sz w:val="19"/>
                <w:szCs w:val="19"/>
                <w:color w:val="auto"/>
              </w:rPr>
            </w:pPr>
          </w:p>
        </w:tc>
        <w:tc>
          <w:tcPr>
            <w:tcW w:w="768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Election of Two Directors</w:t>
            </w:r>
          </w:p>
        </w:tc>
        <w:tc>
          <w:tcPr>
            <w:tcW w:w="1760" w:type="dxa"/>
            <w:vAlign w:val="bottom"/>
            <w:tcBorders>
              <w:bottom w:val="single" w:sz="8" w:color="ABD8EA"/>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rPr>
              <w:t>For all nominees</w:t>
            </w:r>
          </w:p>
        </w:tc>
        <w:tc>
          <w:tcPr>
            <w:tcW w:w="320" w:type="dxa"/>
            <w:vAlign w:val="bottom"/>
            <w:tcBorders>
              <w:bottom w:val="single" w:sz="8" w:color="ABD8EA"/>
            </w:tcBorders>
            <w:shd w:val="clear" w:color="auto" w:fill="ABD8EA"/>
          </w:tcPr>
          <w:p>
            <w:pPr>
              <w:spacing w:after="0"/>
              <w:rPr>
                <w:sz w:val="19"/>
                <w:szCs w:val="19"/>
                <w:color w:val="auto"/>
              </w:rPr>
            </w:pPr>
          </w:p>
        </w:tc>
        <w:tc>
          <w:tcPr>
            <w:tcW w:w="960" w:type="dxa"/>
            <w:vAlign w:val="bottom"/>
            <w:tcBorders>
              <w:bottom w:val="single" w:sz="8" w:color="ABD8EA"/>
            </w:tcBorders>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Ratification of the Appointment of PricewaterhouseCoopers LLP as our Independent Registered</w:t>
            </w: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For</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Accounting Firm for the fiscal year ending September 30, 2023</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3</w:t>
            </w:r>
          </w:p>
        </w:tc>
        <w:tc>
          <w:tcPr>
            <w:tcW w:w="768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To consider and vote upon a proposal to increase the number of authorized shares under the</w:t>
            </w:r>
          </w:p>
        </w:tc>
        <w:tc>
          <w:tcPr>
            <w:tcW w:w="2080" w:type="dxa"/>
            <w:vAlign w:val="bottom"/>
            <w:gridSpan w:val="2"/>
            <w:shd w:val="clear" w:color="auto" w:fill="ABD8EA"/>
          </w:tcPr>
          <w:p>
            <w:pPr>
              <w:jc w:val="center"/>
              <w:ind w:right="300"/>
              <w:spacing w:after="0"/>
              <w:rPr>
                <w:sz w:val="20"/>
                <w:szCs w:val="20"/>
                <w:color w:val="auto"/>
              </w:rPr>
            </w:pPr>
            <w:r>
              <w:rPr>
                <w:rFonts w:ascii="Times New Roman" w:cs="Times New Roman" w:eastAsia="Times New Roman" w:hAnsi="Times New Roman"/>
                <w:sz w:val="18"/>
                <w:szCs w:val="18"/>
                <w:color w:val="auto"/>
              </w:rPr>
              <w:t>For</w:t>
            </w:r>
          </w:p>
        </w:tc>
        <w:tc>
          <w:tcPr>
            <w:tcW w:w="96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00" w:type="dxa"/>
            <w:vAlign w:val="bottom"/>
            <w:shd w:val="clear" w:color="auto" w:fill="ABD8EA"/>
          </w:tcPr>
          <w:p>
            <w:pPr>
              <w:spacing w:after="0"/>
              <w:rPr>
                <w:sz w:val="18"/>
                <w:szCs w:val="18"/>
                <w:color w:val="auto"/>
              </w:rPr>
            </w:pPr>
          </w:p>
        </w:tc>
        <w:tc>
          <w:tcPr>
            <w:tcW w:w="768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Company’s 2019 Long-Term Incentive Plan by 6,000,000 shares from 2,000,000 shares to</w:t>
            </w:r>
          </w:p>
        </w:tc>
        <w:tc>
          <w:tcPr>
            <w:tcW w:w="1760" w:type="dxa"/>
            <w:vAlign w:val="bottom"/>
            <w:shd w:val="clear" w:color="auto" w:fill="ABD8EA"/>
          </w:tcPr>
          <w:p>
            <w:pPr>
              <w:spacing w:after="0"/>
              <w:rPr>
                <w:sz w:val="18"/>
                <w:szCs w:val="18"/>
                <w:color w:val="auto"/>
              </w:rPr>
            </w:pPr>
          </w:p>
        </w:tc>
        <w:tc>
          <w:tcPr>
            <w:tcW w:w="320" w:type="dxa"/>
            <w:vAlign w:val="bottom"/>
            <w:shd w:val="clear" w:color="auto" w:fill="ABD8EA"/>
          </w:tcPr>
          <w:p>
            <w:pPr>
              <w:spacing w:after="0"/>
              <w:rPr>
                <w:sz w:val="18"/>
                <w:szCs w:val="18"/>
                <w:color w:val="auto"/>
              </w:rPr>
            </w:pPr>
          </w:p>
        </w:tc>
        <w:tc>
          <w:tcPr>
            <w:tcW w:w="620" w:type="dxa"/>
            <w:vAlign w:val="bottom"/>
            <w:shd w:val="clear" w:color="auto" w:fill="ABD8EA"/>
          </w:tcPr>
          <w:p>
            <w:pPr>
              <w:spacing w:after="0"/>
              <w:rPr>
                <w:sz w:val="18"/>
                <w:szCs w:val="18"/>
                <w:color w:val="auto"/>
              </w:rPr>
            </w:pPr>
          </w:p>
        </w:tc>
        <w:tc>
          <w:tcPr>
            <w:tcW w:w="340" w:type="dxa"/>
            <w:vAlign w:val="bottom"/>
            <w:shd w:val="clear" w:color="auto" w:fill="ABD8EA"/>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 w:type="dxa"/>
            <w:vAlign w:val="bottom"/>
            <w:tcBorders>
              <w:bottom w:val="single" w:sz="8" w:color="ABD8EA"/>
            </w:tcBorders>
            <w:shd w:val="clear" w:color="auto" w:fill="ABD8EA"/>
          </w:tcPr>
          <w:p>
            <w:pPr>
              <w:spacing w:after="0"/>
              <w:rPr>
                <w:sz w:val="20"/>
                <w:szCs w:val="20"/>
                <w:color w:val="auto"/>
              </w:rPr>
            </w:pPr>
          </w:p>
        </w:tc>
        <w:tc>
          <w:tcPr>
            <w:tcW w:w="768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8,000,000 shares</w:t>
            </w:r>
          </w:p>
        </w:tc>
        <w:tc>
          <w:tcPr>
            <w:tcW w:w="1760" w:type="dxa"/>
            <w:vAlign w:val="bottom"/>
            <w:tcBorders>
              <w:bottom w:val="single" w:sz="8" w:color="ABD8EA"/>
            </w:tcBorders>
            <w:shd w:val="clear" w:color="auto" w:fill="ABD8EA"/>
          </w:tcPr>
          <w:p>
            <w:pPr>
              <w:spacing w:after="0"/>
              <w:rPr>
                <w:sz w:val="20"/>
                <w:szCs w:val="20"/>
                <w:color w:val="auto"/>
              </w:rPr>
            </w:pPr>
          </w:p>
        </w:tc>
        <w:tc>
          <w:tcPr>
            <w:tcW w:w="320" w:type="dxa"/>
            <w:vAlign w:val="bottom"/>
            <w:tcBorders>
              <w:bottom w:val="single" w:sz="8" w:color="ABD8EA"/>
            </w:tcBorders>
            <w:shd w:val="clear" w:color="auto" w:fill="ABD8EA"/>
          </w:tcPr>
          <w:p>
            <w:pPr>
              <w:spacing w:after="0"/>
              <w:rPr>
                <w:sz w:val="20"/>
                <w:szCs w:val="20"/>
                <w:color w:val="auto"/>
              </w:rPr>
            </w:pPr>
          </w:p>
        </w:tc>
        <w:tc>
          <w:tcPr>
            <w:tcW w:w="620" w:type="dxa"/>
            <w:vAlign w:val="bottom"/>
            <w:tcBorders>
              <w:bottom w:val="single" w:sz="8" w:color="ABD8EA"/>
            </w:tcBorders>
            <w:shd w:val="clear" w:color="auto" w:fill="ABD8EA"/>
          </w:tcPr>
          <w:p>
            <w:pPr>
              <w:spacing w:after="0"/>
              <w:rPr>
                <w:sz w:val="20"/>
                <w:szCs w:val="20"/>
                <w:color w:val="auto"/>
              </w:rPr>
            </w:pPr>
          </w:p>
        </w:tc>
        <w:tc>
          <w:tcPr>
            <w:tcW w:w="340" w:type="dxa"/>
            <w:vAlign w:val="bottom"/>
            <w:tcBorders>
              <w:bottom w:val="single" w:sz="8" w:color="ABD8EA"/>
            </w:tcBorders>
            <w:shd w:val="clear" w:color="auto" w:fill="ABD8E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consider and vote, on an advisory basis, for the adoption of a resolution approving the</w:t>
            </w: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For</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of our named executive officers, as such compensation is described under the</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Discussion and Analysis” and “Executive Compensation” sections of this proxy</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statement</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summary information about each director nominee as of November 11, 2022. At our annual meeting, stockholders will be asked to elect the two director nominees in Class I listed in the table below. The Board unanimously recommends a vote FOR each nominee.</w:t>
      </w:r>
    </w:p>
    <w:p>
      <w:pPr>
        <w:spacing w:after="0" w:line="26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Class I - Directors whose terms expire at the 2023 annual meeting of stockholders and who are nominees for terms expiring at the 2026 annual meeting</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Board Committees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04"/>
        </w:trPr>
        <w:tc>
          <w:tcPr>
            <w:tcW w:w="338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0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Occupation and Experience</w:t>
            </w:r>
          </w:p>
        </w:tc>
        <w:tc>
          <w:tcPr>
            <w:tcW w:w="100" w:type="dxa"/>
            <w:vAlign w:val="bottom"/>
            <w:vMerge w:val="restart"/>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20" w:type="dxa"/>
            <w:vAlign w:val="bottom"/>
            <w:vMerge w:val="restart"/>
          </w:tcPr>
          <w:p>
            <w:pPr>
              <w:spacing w:after="0"/>
              <w:rPr>
                <w:sz w:val="9"/>
                <w:szCs w:val="9"/>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w:t>
            </w:r>
          </w:p>
        </w:tc>
        <w:tc>
          <w:tcPr>
            <w:tcW w:w="100" w:type="dxa"/>
            <w:vAlign w:val="bottom"/>
            <w:vMerge w:val="restart"/>
          </w:tcPr>
          <w:p>
            <w:pPr>
              <w:spacing w:after="0"/>
              <w:rPr>
                <w:sz w:val="9"/>
                <w:szCs w:val="9"/>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CGCC</w:t>
            </w:r>
          </w:p>
        </w:tc>
        <w:tc>
          <w:tcPr>
            <w:tcW w:w="120" w:type="dxa"/>
            <w:vAlign w:val="bottom"/>
            <w:vMerge w:val="restart"/>
          </w:tcPr>
          <w:p>
            <w:pPr>
              <w:spacing w:after="0"/>
              <w:rPr>
                <w:sz w:val="9"/>
                <w:szCs w:val="9"/>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EC</w:t>
            </w:r>
          </w:p>
        </w:tc>
        <w:tc>
          <w:tcPr>
            <w:tcW w:w="120" w:type="dxa"/>
            <w:vAlign w:val="bottom"/>
            <w:vMerge w:val="restart"/>
          </w:tcPr>
          <w:p>
            <w:pPr>
              <w:spacing w:after="0"/>
              <w:rPr>
                <w:sz w:val="9"/>
                <w:szCs w:val="9"/>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SC</w:t>
            </w:r>
          </w:p>
        </w:tc>
        <w:tc>
          <w:tcPr>
            <w:tcW w:w="0" w:type="dxa"/>
            <w:vAlign w:val="bottom"/>
          </w:tcPr>
          <w:p>
            <w:pPr>
              <w:spacing w:after="0"/>
              <w:rPr>
                <w:sz w:val="1"/>
                <w:szCs w:val="1"/>
                <w:color w:val="auto"/>
              </w:rPr>
            </w:pPr>
          </w:p>
        </w:tc>
      </w:tr>
      <w:tr>
        <w:trPr>
          <w:trHeight w:val="173"/>
        </w:trPr>
        <w:tc>
          <w:tcPr>
            <w:tcW w:w="3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BD8EA"/>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Borders>
              <w:bottom w:val="single" w:sz="8" w:color="ABD8EA"/>
            </w:tcBorders>
          </w:tcPr>
          <w:p>
            <w:pPr>
              <w:spacing w:after="0"/>
              <w:rPr>
                <w:sz w:val="15"/>
                <w:szCs w:val="15"/>
                <w:color w:val="auto"/>
              </w:rPr>
            </w:pPr>
          </w:p>
        </w:tc>
        <w:tc>
          <w:tcPr>
            <w:tcW w:w="4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BD8EA"/>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BD8EA"/>
            </w:tcBorders>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BD8EA"/>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BD8EA"/>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BD8EA"/>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640" w:type="dxa"/>
            <w:vAlign w:val="bottom"/>
            <w:tcBorders>
              <w:bottom w:val="single" w:sz="8" w:color="ABD8EA"/>
            </w:tcBorders>
            <w:gridSpan w:val="2"/>
            <w:shd w:val="clear" w:color="auto" w:fill="ABD8EA"/>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bottom w:val="single" w:sz="8" w:color="ABD8EA"/>
            </w:tcBorders>
            <w:shd w:val="clear" w:color="auto" w:fill="ABD8EA"/>
          </w:tcPr>
          <w:p>
            <w:pPr>
              <w:spacing w:after="0"/>
              <w:rPr>
                <w:sz w:val="20"/>
                <w:szCs w:val="20"/>
                <w:color w:val="auto"/>
              </w:rPr>
            </w:pPr>
          </w:p>
        </w:tc>
        <w:tc>
          <w:tcPr>
            <w:tcW w:w="4180" w:type="dxa"/>
            <w:vAlign w:val="bottom"/>
            <w:tcBorders>
              <w:bottom w:val="single" w:sz="8" w:color="ABD8EA"/>
            </w:tcBorders>
            <w:gridSpan w:val="2"/>
            <w:shd w:val="clear" w:color="auto" w:fill="ABD8EA"/>
          </w:tcPr>
          <w:p>
            <w:pPr>
              <w:spacing w:after="0"/>
              <w:rPr>
                <w:sz w:val="20"/>
                <w:szCs w:val="20"/>
                <w:color w:val="auto"/>
              </w:rPr>
            </w:pPr>
            <w:r>
              <w:rPr>
                <w:rFonts w:ascii="Times New Roman" w:cs="Times New Roman" w:eastAsia="Times New Roman" w:hAnsi="Times New Roman"/>
                <w:sz w:val="18"/>
                <w:szCs w:val="18"/>
                <w:color w:val="auto"/>
              </w:rPr>
              <w:t>President and CEO, BellRing Brands, Inc.</w:t>
            </w:r>
          </w:p>
        </w:tc>
        <w:tc>
          <w:tcPr>
            <w:tcW w:w="1100" w:type="dxa"/>
            <w:vAlign w:val="bottom"/>
            <w:tcBorders>
              <w:bottom w:val="single" w:sz="8" w:color="ABD8EA"/>
            </w:tcBorders>
            <w:gridSpan w:val="2"/>
            <w:shd w:val="clear" w:color="auto" w:fill="ABD8EA"/>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320" w:type="dxa"/>
            <w:vAlign w:val="bottom"/>
            <w:tcBorders>
              <w:bottom w:val="single" w:sz="8" w:color="ABD8EA"/>
            </w:tcBorders>
            <w:shd w:val="clear" w:color="auto" w:fill="ABD8EA"/>
          </w:tcPr>
          <w:p>
            <w:pPr>
              <w:spacing w:after="0"/>
              <w:rPr>
                <w:sz w:val="20"/>
                <w:szCs w:val="20"/>
                <w:color w:val="auto"/>
              </w:rPr>
            </w:pPr>
          </w:p>
        </w:tc>
        <w:tc>
          <w:tcPr>
            <w:tcW w:w="100" w:type="dxa"/>
            <w:vAlign w:val="bottom"/>
            <w:tcBorders>
              <w:bottom w:val="single" w:sz="8" w:color="ABD8EA"/>
            </w:tcBorders>
            <w:shd w:val="clear" w:color="auto" w:fill="ABD8EA"/>
          </w:tcPr>
          <w:p>
            <w:pPr>
              <w:spacing w:after="0"/>
              <w:rPr>
                <w:sz w:val="20"/>
                <w:szCs w:val="20"/>
                <w:color w:val="auto"/>
              </w:rPr>
            </w:pPr>
          </w:p>
        </w:tc>
        <w:tc>
          <w:tcPr>
            <w:tcW w:w="540" w:type="dxa"/>
            <w:vAlign w:val="bottom"/>
            <w:tcBorders>
              <w:bottom w:val="single" w:sz="8" w:color="ABD8EA"/>
            </w:tcBorders>
            <w:shd w:val="clear" w:color="auto" w:fill="ABD8EA"/>
          </w:tcPr>
          <w:p>
            <w:pPr>
              <w:spacing w:after="0"/>
              <w:rPr>
                <w:sz w:val="20"/>
                <w:szCs w:val="20"/>
                <w:color w:val="auto"/>
              </w:rPr>
            </w:pPr>
          </w:p>
        </w:tc>
        <w:tc>
          <w:tcPr>
            <w:tcW w:w="120" w:type="dxa"/>
            <w:vAlign w:val="bottom"/>
            <w:tcBorders>
              <w:bottom w:val="single" w:sz="8" w:color="ABD8EA"/>
            </w:tcBorders>
            <w:shd w:val="clear" w:color="auto" w:fill="ABD8EA"/>
          </w:tcPr>
          <w:p>
            <w:pPr>
              <w:spacing w:after="0"/>
              <w:rPr>
                <w:sz w:val="20"/>
                <w:szCs w:val="20"/>
                <w:color w:val="auto"/>
              </w:rPr>
            </w:pPr>
          </w:p>
        </w:tc>
        <w:tc>
          <w:tcPr>
            <w:tcW w:w="200" w:type="dxa"/>
            <w:vAlign w:val="bottom"/>
            <w:tcBorders>
              <w:bottom w:val="single" w:sz="8" w:color="ABD8EA"/>
            </w:tcBorders>
            <w:shd w:val="clear" w:color="auto" w:fill="ABD8EA"/>
          </w:tcPr>
          <w:p>
            <w:pPr>
              <w:spacing w:after="0"/>
              <w:rPr>
                <w:sz w:val="20"/>
                <w:szCs w:val="20"/>
                <w:color w:val="auto"/>
              </w:rPr>
            </w:pPr>
          </w:p>
        </w:tc>
        <w:tc>
          <w:tcPr>
            <w:tcW w:w="12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Retired Executive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42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580" w:right="2200" w:hanging="5464"/>
        <w:spacing w:after="0" w:line="334" w:lineRule="auto"/>
        <w:tabs>
          <w:tab w:leader="none" w:pos="549"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 – Audit Committee; CGCC – Corporate Governance and Compensation Committee; EC – Executive Committee 1</w:t>
      </w:r>
    </w:p>
    <w:p>
      <w:pPr>
        <w:sectPr>
          <w:pgSz w:w="11900" w:h="16838" w:orient="portrait"/>
          <w:cols w:equalWidth="0" w:num="1">
            <w:col w:w="11140"/>
          </w:cols>
          <w:pgMar w:left="320" w:top="455"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As a matter of good governance, we are asking our stockholders to ratify the selection of PricewaterhouseCoopers LLP as our independent registered public accounting firm for the fiscal year ending September 30, 2023. The Board unanimously recommends a vote FOR ratification of PricewaterhouseCoopers LLP as our independent registered public accounting firm.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 in the Authorized Shares under our 2019 Long-Term Incentive Plan</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approve an increase in the authorized shares available for equity compensation awards under our 2019 Long-Term Incentive Plan (the “2019 LTIP”). We seek to make an additional 6,000,000 shares available for issuance under the 2019 LTIP. We anticipate that this increase in available shares will be sufficient to cover all grants made over at least the next four years, and we believe that the increase in the authorized shares under the 2019 LTIP is necessary in order to allow continued utilization of equity awards to attract, retain and motivate employees and to further align the interests of our employees with those of our stockholders. The Board unanimously recommends a vote FOR the increase in the authorized shares under the 2019 LTIP.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required by Section 14A of the Exchange Act, which was added to the Exchange Act by Section 951 of the Dodd-Frank Wall Street Reform and Consumer Protection Act of 2010, we are asking our stockholders to vote to approve or not approve, on a non-binding,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The Board unanimously recommends a vote FOR the approval of the executive compensation of our named executive officers.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AND VOTING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(the “Board of Directors” or the “Board”) of BellRing Brands, Inc. (“BellRing,” the “Company” or “we”) is soliciting proxies for the 2023 annual meeting of stockholders. This proxy statement, the form of proxy and the Company’s 2022 annual report to stockholders will be available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beginning on December 21, 2022. On or about December 21, 2022, a Notice Regarding the Availability of Proxy Materials (the “Notice”) will be mailed to stockholders of record at the close of business on December 13, 2022, the record date for the 2023 annual meeting of stockholders. On the record date, there were 134,425,726 shares of our common stock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receive printed proxy materials?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Securities and Exchange Commission (the “SEC”) rules that allow us to furnish proxy materials to you online. We believe electronic delivery will expedite stockholders’ receipt of materials, while lowering costs and reducing the environmental impact of our annual meeting by reducing printing and mailing of full sets of materials. On or about December 21, 2022, we mailed to many of our stockholders a Notice containing instructions on how to access our proxy statement and annual report to stockholders online. If you received a Notice by mail, you will not receive a printed copy of the proxy materials, unless you specifically request one. However, the Notice contains instructions on how to receive a paper copy of the materials.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Company holding a virtual annual meeting? How can I attend?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decided that the annual meeting will be a completely virtual meeting of stockholders, which will be conducted exclusively online via a live audio-only webcast, in order to protect the health and safety of our stockholders and employees. There will be no physical location for the annual meeting. You are entitled to participate in the annual meeting only if you were a stockholder as of the close of business on the record date, or if you hold a valid proxy for the annual meeting. The virtual annual meeting has been designed to provide substantially the same rights to participate as you would have at an in-person meeting.</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are a stockholder, you can attend the annual meeting online, vote and submit your questions prior to and during the meeting by visiting </w:t>
      </w:r>
      <w:r>
        <w:rPr>
          <w:rFonts w:ascii="Times New Roman" w:cs="Times New Roman" w:eastAsia="Times New Roman" w:hAnsi="Times New Roman"/>
          <w:sz w:val="18"/>
          <w:szCs w:val="18"/>
          <w:i w:val="1"/>
          <w:iCs w:val="1"/>
          <w:color w:val="auto"/>
        </w:rPr>
        <w:t>www.meetnow.global/MJR6HQD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Please follow the login and registration instructions outlined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will need a 15-digit control number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annual meeting.</w:t>
      </w:r>
    </w:p>
    <w:p>
      <w:pPr>
        <w:spacing w:after="0" w:line="174"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Anyone may enter the annual meeting as a guest in listen-only mode at </w:t>
      </w:r>
      <w:r>
        <w:rPr>
          <w:rFonts w:ascii="Times New Roman" w:cs="Times New Roman" w:eastAsia="Times New Roman" w:hAnsi="Times New Roman"/>
          <w:sz w:val="18"/>
          <w:szCs w:val="18"/>
          <w:i w:val="1"/>
          <w:iCs w:val="1"/>
          <w:color w:val="auto"/>
        </w:rPr>
        <w:t>www.meetnow.global/MJR6HQD</w:t>
      </w:r>
      <w:r>
        <w:rPr>
          <w:rFonts w:ascii="Times New Roman" w:cs="Times New Roman" w:eastAsia="Times New Roman" w:hAnsi="Times New Roman"/>
          <w:sz w:val="18"/>
          <w:szCs w:val="18"/>
          <w:color w:val="auto"/>
        </w:rPr>
        <w:t>, but only stockholders of record and beneficial owners of shares who have registered for the meeting may participate in the annual meeting.</w:t>
      </w:r>
    </w:p>
    <w:p>
      <w:pPr>
        <w:spacing w:after="0" w:line="16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online meeting will begin promptly at 9:00 a.m., Central Time on Monday, February 6, 2023. We encourage you to access the meeting prior to the start time to provide ample time for logging in. Rules of conduct for the annual meeting will be posted on the annual meeting website at </w:t>
      </w:r>
      <w:r>
        <w:rPr>
          <w:rFonts w:ascii="Times New Roman" w:cs="Times New Roman" w:eastAsia="Times New Roman" w:hAnsi="Times New Roman"/>
          <w:sz w:val="18"/>
          <w:szCs w:val="18"/>
          <w:i w:val="1"/>
          <w:iCs w:val="1"/>
          <w:color w:val="auto"/>
        </w:rPr>
        <w:t>www.meetnow.global/MJR6HQD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am a stockholder of record. How do I register for the annual meeting?</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(i.e., you hold your shares through the Company’s transfer agent, Computershare), then you do not need to register to attend the annual meeting virtually. To attend the meeting, please visit the annual meeting website at </w:t>
      </w:r>
      <w:r>
        <w:rPr>
          <w:rFonts w:ascii="Times New Roman" w:cs="Times New Roman" w:eastAsia="Times New Roman" w:hAnsi="Times New Roman"/>
          <w:sz w:val="18"/>
          <w:szCs w:val="18"/>
          <w:i w:val="1"/>
          <w:iCs w:val="1"/>
          <w:color w:val="auto"/>
        </w:rPr>
        <w:t>www.meetnow.global/MJR6HQD</w:t>
      </w:r>
      <w:r>
        <w:rPr>
          <w:rFonts w:ascii="Times New Roman" w:cs="Times New Roman" w:eastAsia="Times New Roman" w:hAnsi="Times New Roman"/>
          <w:sz w:val="18"/>
          <w:szCs w:val="18"/>
          <w:color w:val="auto"/>
        </w:rPr>
        <w:t xml:space="preserve"> to log in on the day of the meeting. To access the meeting, you will need to enter the 15- digit control number printed in the shaded bar on your proxy card or Notice.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am a beneficial owner of shares. How do I register for the annual meeting?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(i.e., you hold your shares through an intermediary, such as in a stock brokerage account or by a bank or other nominee), then you must register in advance in order to attend the annual meeting virtually. To register, you must submit a legal proxy that reflects your proof of proxy power. The legal proxy must reflect your BellRing Brands, Inc. share holdings, along with your name. Please forward a copy of the legal proxy, along with your email address, to Computershare. Requests for registration should be directed to Computershare either by email to legalproxy@computershare.com (forwarding the email from your broker or attaching an image of your legal proxy) or by mail to Computershare, BellRing Brands Legal Proxy, P.O. Box 43001, Providence, RI 02940-3001.</w:t>
      </w:r>
    </w:p>
    <w:p>
      <w:pPr>
        <w:spacing w:after="0" w:line="183" w:lineRule="exact"/>
        <w:rPr>
          <w:sz w:val="20"/>
          <w:szCs w:val="20"/>
          <w:color w:val="auto"/>
        </w:rPr>
      </w:pPr>
    </w:p>
    <w:p>
      <w:pPr>
        <w:jc w:val="both"/>
        <w:ind w:left="120" w:right="38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Requests for registration must be labeled as “Legal Proxy” and be received by Computershare no later than Wednesday, February 1,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receive a confirmation of your registration by email (or by mail, if no email address is provided) after Computershare receives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materials. To attend the meeting, please visit the annual meeting website at </w:t>
      </w:r>
      <w:r>
        <w:rPr>
          <w:rFonts w:ascii="Times New Roman" w:cs="Times New Roman" w:eastAsia="Times New Roman" w:hAnsi="Times New Roman"/>
          <w:sz w:val="18"/>
          <w:szCs w:val="18"/>
          <w:i w:val="1"/>
          <w:iCs w:val="1"/>
          <w:color w:val="auto"/>
        </w:rPr>
        <w:t>www.meetnow.global/MJR6HQD</w:t>
      </w:r>
      <w:r>
        <w:rPr>
          <w:rFonts w:ascii="Times New Roman" w:cs="Times New Roman" w:eastAsia="Times New Roman" w:hAnsi="Times New Roman"/>
          <w:sz w:val="18"/>
          <w:szCs w:val="18"/>
          <w:color w:val="auto"/>
        </w:rPr>
        <w:t xml:space="preserve"> to log in on the day of the meeting. To access the meeting, you will need to enter the 15-digit control number provided in the confirmation sent by Computershare.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have trouble accessing the annual meeting virtually?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have difficulties logging into the annual meeting virtually, you can utilize the technical resources available on the log-in webpage for the virtual annual meeting at </w:t>
      </w:r>
      <w:r>
        <w:rPr>
          <w:rFonts w:ascii="Times New Roman" w:cs="Times New Roman" w:eastAsia="Times New Roman" w:hAnsi="Times New Roman"/>
          <w:sz w:val="18"/>
          <w:szCs w:val="18"/>
          <w:i w:val="1"/>
          <w:iCs w:val="1"/>
          <w:color w:val="auto"/>
        </w:rPr>
        <w:t>www.meetnow.global/MJR6HQD</w:t>
      </w:r>
      <w:r>
        <w:rPr>
          <w:rFonts w:ascii="Times New Roman" w:cs="Times New Roman" w:eastAsia="Times New Roman" w:hAnsi="Times New Roman"/>
          <w:sz w:val="18"/>
          <w:szCs w:val="18"/>
          <w:color w:val="auto"/>
        </w:rPr>
        <w:t xml:space="preserve"> or contact 888-724-2416 (locally) or +1 781-575-2748 (internationally) for technical assistance.</w:t>
      </w:r>
    </w:p>
    <w:p>
      <w:pPr>
        <w:spacing w:after="0" w:line="176" w:lineRule="exact"/>
        <w:rPr>
          <w:sz w:val="20"/>
          <w:szCs w:val="20"/>
          <w:color w:val="auto"/>
        </w:rPr>
      </w:pPr>
    </w:p>
    <w:p>
      <w:pPr>
        <w:ind w:left="120" w:right="6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If there are any technical issues in convening or hosting the annual meeting, we will promptly post information to our newsroom website, </w:t>
      </w:r>
      <w:r>
        <w:rPr>
          <w:rFonts w:ascii="Times New Roman" w:cs="Times New Roman" w:eastAsia="Times New Roman" w:hAnsi="Times New Roman"/>
          <w:sz w:val="17"/>
          <w:szCs w:val="17"/>
          <w:i w:val="1"/>
          <w:iCs w:val="1"/>
          <w:color w:val="auto"/>
        </w:rPr>
        <w:t>www.bellring.com/news</w:t>
      </w:r>
      <w:r>
        <w:rPr>
          <w:rFonts w:ascii="Times New Roman" w:cs="Times New Roman" w:eastAsia="Times New Roman" w:hAnsi="Times New Roman"/>
          <w:sz w:val="17"/>
          <w:szCs w:val="17"/>
          <w:color w:val="auto"/>
        </w:rPr>
        <w:t>, under the Corporate and Financial Releases heading, including information on when the meeting will be reconvened.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being asked to vote on at the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asking our stockholders to consider the following items:</w:t>
      </w:r>
    </w:p>
    <w:p>
      <w:pPr>
        <w:spacing w:after="0" w:line="131"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nominees to our Board of Directors named in this proxy statement;</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our fiscal year ending September 30, 2023;</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increase the number of authorized shares under the Company’s 2019 Long-Term Incentive Plan by 6,000,000 shares from 2,000,000 shares to 8,000,000 shares;</w:t>
      </w:r>
    </w:p>
    <w:p>
      <w:pPr>
        <w:spacing w:after="0" w:line="67"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introduced at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have one vote for each share of our common stock that you owned at the close of business on the record date. These shares include:</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directly in your name with our transfer agent, for which you are considered the “stockholder of record”;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for you as the beneficial owner through a broker, bank or other nominee in “street name”;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your account in the BellRing Brands, Inc. 401(k) Plan.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Computershare, you are considered the “stockholder of record” with respect to those shares. We have sent a Notice or proxy materials directly to you.</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the shares held in “street name.” Your broker, bank or other nominee who is considered the stockholder of record with respect to those shares has forwarded a Notice or proxy materials to you. As the beneficial owner, you have the right to direct your broker, bank or other nominee on how to vote your shares by using the voting instruction card included in the mailing or by following its instructions for voting by telephone or the Internet.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can vote by proxy or online at the virtual annual meeting. If you intend to vote at the virtual annual meeting, please refer to “Why is the Company holding a virtual annual meeting? How can I attend?” on page 3, “I am a stockholder of record. How do I register for the annual meeting?” on page 3 and “I am a beneficial owner of shares. How do I register for the annual meeting?” on page 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rules adopted by the SEC, we are providing you access to our proxy materials over the Internet. Accordingly, we are sending a Notice to our stockholders of record. If you received a Notice by mail, you will not receive a printed copy of the proxy materials, including a printed proxy card, unless you request to receive these materials. The Notice will instruct you as to how you may access and review the proxy materials on the Internet on the website referred to in the Notice. The Notice also instructs you as to how you may vote on the Internet.</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telephone, Internet or mail. Our telephone and Internet voting procedures are designed to authenticate stockholders by using individual control numbers that can be found on the Notice or proxy card mailed to you.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Registered Shares</w:t>
      </w:r>
      <w:r>
        <w:rPr>
          <w:rFonts w:ascii="Times New Roman" w:cs="Times New Roman" w:eastAsia="Times New Roman" w:hAnsi="Times New Roman"/>
          <w:sz w:val="18"/>
          <w:szCs w:val="18"/>
          <w:i w:val="1"/>
          <w:iCs w:val="1"/>
          <w:color w:val="auto"/>
        </w:rPr>
        <w:t>:</w:t>
      </w:r>
    </w:p>
    <w:p>
      <w:pPr>
        <w:spacing w:after="0" w:line="131" w:lineRule="exact"/>
        <w:rPr>
          <w:sz w:val="20"/>
          <w:szCs w:val="20"/>
          <w:color w:val="auto"/>
        </w:rPr>
      </w:pPr>
    </w:p>
    <w:p>
      <w:pPr>
        <w:ind w:left="1080" w:right="50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telephone</w:t>
      </w:r>
      <w:r>
        <w:rPr>
          <w:rFonts w:ascii="Times New Roman" w:cs="Times New Roman" w:eastAsia="Times New Roman" w:hAnsi="Times New Roman"/>
          <w:sz w:val="18"/>
          <w:szCs w:val="18"/>
          <w:color w:val="auto"/>
        </w:rPr>
        <w:t>: You can vote by calling 800-652-VOTE (800-652-8683) within the United States, United States Territories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and following the instructions provided. Telephone voting is available 24 hours a day, 7 days a week.</w:t>
      </w:r>
    </w:p>
    <w:p>
      <w:pPr>
        <w:spacing w:after="0" w:line="63"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Internet</w:t>
      </w:r>
      <w:r>
        <w:rPr>
          <w:rFonts w:ascii="Times New Roman" w:cs="Times New Roman" w:eastAsia="Times New Roman" w:hAnsi="Times New Roman"/>
          <w:sz w:val="18"/>
          <w:szCs w:val="18"/>
          <w:color w:val="auto"/>
        </w:rPr>
        <w:t>: You can vote via the Internet by accessing</w:t>
      </w:r>
      <w:r>
        <w:rPr>
          <w:rFonts w:ascii="Times New Roman" w:cs="Times New Roman" w:eastAsia="Times New Roman" w:hAnsi="Times New Roman"/>
          <w:sz w:val="18"/>
          <w:szCs w:val="18"/>
          <w:i w:val="1"/>
          <w:iCs w:val="1"/>
          <w:color w:val="auto"/>
        </w:rPr>
        <w:t xml:space="preserve"> www.envisionreports.com/BRBR </w:t>
      </w:r>
      <w:r>
        <w:rPr>
          <w:rFonts w:ascii="Times New Roman" w:cs="Times New Roman" w:eastAsia="Times New Roman" w:hAnsi="Times New Roman"/>
          <w:sz w:val="18"/>
          <w:szCs w:val="18"/>
          <w:color w:val="auto"/>
        </w:rPr>
        <w:t>and following the instructions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voting is available 24 hours a day, 7 days a week.</w:t>
      </w:r>
    </w:p>
    <w:p>
      <w:pPr>
        <w:spacing w:after="0" w:line="63"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w:t>
      </w:r>
      <w:r>
        <w:rPr>
          <w:rFonts w:ascii="Times New Roman" w:cs="Times New Roman" w:eastAsia="Times New Roman" w:hAnsi="Times New Roman"/>
          <w:sz w:val="18"/>
          <w:szCs w:val="18"/>
          <w:color w:val="auto"/>
        </w:rPr>
        <w:t>: If you choose to vote by mail (if you request printed copies of the proxy materials by mail), simply mark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sign it and return it in the postage-paid envelope provided.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Street Name Shares</w:t>
      </w:r>
      <w:r>
        <w:rPr>
          <w:rFonts w:ascii="Times New Roman" w:cs="Times New Roman" w:eastAsia="Times New Roman" w:hAnsi="Times New Roman"/>
          <w:sz w:val="18"/>
          <w:szCs w:val="18"/>
          <w:color w:val="auto"/>
        </w:rPr>
        <w:t>: If you hold shares through a broker, bank or other nominee, you will receive materials from that person explaining how to vote.</w:t>
      </w:r>
    </w:p>
    <w:p>
      <w:pPr>
        <w:spacing w:after="0" w:line="22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you submit your proxy using any of these methods, Paul A. Rode or Craig L. Rosenthal, who have been appointed by our Board of Directors as the proxies for our stockholders for this meeting, with full power of substitution, will vote your shares in the manner you indicate. You may specify whether your shares should be voted for all, some or none of the nominees to our Board of Directors and for or against any other proposals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properly introduced at the annual meeting. If you vote by telephone or Internet and choose to vote with the recommendations of our Board of Directors, or if you vote by mail, sign your proxy card and do not indicate specific choices, your shares will be voted “FOR” the election of the two nominees to our Board of Directors; “FOR” ratification of the appointment of our independent registered public accounting firm; “FOR” the increase in the authorized shares under the Company’s 2019 Long-Term Incentive Plan; and “FOR” the advisory approval of executive compensation.</w:t>
      </w:r>
    </w:p>
    <w:p>
      <w:pPr>
        <w:spacing w:after="0" w:line="18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meeting, your proxy will authorize Paul A. Rode or Craig L. Rosenthal to vote your shares in accordance with their best judgment. At the time this proxy statement was printed, we knew of no matters to be considered at the annual meeting other than those referenced in this proxy statement.</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wish to give a proxy to someone other than Paul A. Rode or Craig L. Rosenthal, you may strike out their names on the proxy card and write in the name of any other person, sign the proxy and deliver it to the person whose name has been substituted.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authorize someone else to attend the annual meeting or vote for me?</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Stockholders of Record</w:t>
      </w:r>
      <w:r>
        <w:rPr>
          <w:rFonts w:ascii="Times New Roman" w:cs="Times New Roman" w:eastAsia="Times New Roman" w:hAnsi="Times New Roman"/>
          <w:sz w:val="18"/>
          <w:szCs w:val="18"/>
          <w:color w:val="auto"/>
        </w:rPr>
        <w:t>: Stockholders of record can authorize someone other than the individual(s) named on the proxy card or Notice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 meeting or vote on their behalf by crossing out the individual(s) named on the proxy card or Notice and inserting the name, address and email address of the authorized person. Request registration of an authorized representative for the annual meeting by forwarding an image of your updated proxy card or Notice to Computershare either by email to legalproxy@computershare.com or by mail to Computershare, BellRing Brands Legal Proxy, P.O. Box 43001, Providence, RI 02940-3001.</w:t>
      </w:r>
    </w:p>
    <w:p>
      <w:pPr>
        <w:spacing w:after="0" w:line="183"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Beneficial Owners of Shares</w:t>
      </w:r>
      <w:r>
        <w:rPr>
          <w:rFonts w:ascii="Times New Roman" w:cs="Times New Roman" w:eastAsia="Times New Roman" w:hAnsi="Times New Roman"/>
          <w:sz w:val="18"/>
          <w:szCs w:val="18"/>
          <w:color w:val="auto"/>
        </w:rPr>
        <w:t>: Beneficial owners of shares can authorize someone other than the individual(s) named on the legal proxy obtained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brokers or banks to attend the virtual meeting or vote on their behalf by providing a written authorization to the authorized individual along with a legal proxy. Contact information for the authorized individual, including name, address and email address, is required for registration of the authorized representative. Requests for registration of an authorized representative for the annual meeting, along with the contact information specified above and an image of your legal proxy, should be directed to Computershare either by email to legalproxy@computershare.com or by mail to Computershare, BellRing Brands Legal Proxy, P.O. Box 43001, Providence, RI 02940-3001.</w:t>
      </w:r>
    </w:p>
    <w:p>
      <w:pPr>
        <w:spacing w:after="0" w:line="288"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Requests for registration of an authorized representative must be labeled as “Legal Proxy” and be received by Computershare no later than Wednesday, February 1, 2023.</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change or revoke my proxy?</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Stockholders of Record</w:t>
      </w:r>
      <w:r>
        <w:rPr>
          <w:rFonts w:ascii="Times New Roman" w:cs="Times New Roman" w:eastAsia="Times New Roman" w:hAnsi="Times New Roman"/>
          <w:sz w:val="18"/>
          <w:szCs w:val="18"/>
          <w:color w:val="auto"/>
        </w:rPr>
        <w:t>: You may change or revoke your proxy by voting again on the Internet or by telephone after submitting your original vote,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submitting a written notice of revocation to BellRing Brands, Inc., c/o Corporate Secretary, 2503 S. Hanley Road, St. Louis, Missouri 63144 before the annual meeting, by requesting and returning a proxy card by mail with a later date, or by attending the annual meeting and voting in person. For all methods of voting, the last vote cast will supersede all previous votes.</w:t>
      </w:r>
    </w:p>
    <w:p>
      <w:pPr>
        <w:spacing w:after="0" w:line="180"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Beneficial Owners of Shares</w:t>
      </w:r>
      <w:r>
        <w:rPr>
          <w:rFonts w:ascii="Times New Roman" w:cs="Times New Roman" w:eastAsia="Times New Roman" w:hAnsi="Times New Roman"/>
          <w:sz w:val="18"/>
          <w:szCs w:val="18"/>
          <w:color w:val="auto"/>
        </w:rPr>
        <w:t>: You may change or revoke your voting instructions by following the specific directions provided to you by your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in person?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You will not be able to vote in person at the annual meeting as the annual meeting will be exclusively virtual this year. However, you will be able to vote online at the virtual annual meeting. See “How can I vote my shares?” on page 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hold shares in street name, how can I vote my shares?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can submit voting instructions to your broker, bank or other nominee. In most instances, you will be able to do this by telephone, over the Internet or by mail. Please refer to the materials you receive from your broker, bank or other nominee.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my shares in the BellRing Brands, Inc. 401(k)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 are both a stockholder and a participant in the BellRing Brands, Inc. 401(k) Plan, you will receive a single Notice or proxy card that covers shares of our common stock credited to your plan account as well as shares of record registered in exactly the same name. If your plan account is not carried in exactly the same name as your shares of record, you will receive separate Notices or proxy cards for individual and plan holdings. If you own shares through the plan and you do not return your proxy by 11:59 p.m., Eastern Time, on February 1, 2023, the trustee will vote your shares in the same proportion as the shares that are voted by the other participants in the plan. The trustee also will vote unallocated shares of our common stock held in the plan in direct proportion to the voting of allocated shares in the plan for which voting instructions have been received unless doing so would be inconsistent with the trustee’s duties.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Voting tabulations are confidential, except in extremely limited circumstances. Such limited circumstances include contested solicitation of proxies, when disclosure is required by law, to defend a claim against us or to assert a claim by us, and when a stockholder includes written comments on a proxy or other voting materials.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“quorum” is required for the annual meeting?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order to have a valid stockholder vote, a quorum must exist at the annual meeting. For us, a quorum exists when holders of shares representing a majority of the total voting power of capital stock entitled to vote at the meeting are present or represented at the meeting, provided that in no event shall a quorum consist of less than a majority of the total voting power of outstanding shares entitled to vote.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election of each director nominee, the ratification of the appointment of PricewaterhouseCoopers LLP as the Company’s independent registered public accounting firm for fiscal year 2022, the increase in the authorized shares under the Company’s 2019 Long-Term Incentive Plan and the advisory approval of the executive compensation of our named executive officers, must each be approved by a majority the total voting power of the shares represented at the annual meeting in person or by proxy and entitled to vote on the matter.</w:t>
      </w:r>
    </w:p>
    <w:p>
      <w:pPr>
        <w:spacing w:after="0" w:line="180"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Although the approval of the Company’s executive compensation is advisory and not binding on the Company, the Board of Directors and the Corporate Governance and Compensation Committee, which is responsible for administering the Company’s executive compensation programs, are interested in the opinions expressed by our stockholders in their vote on this proposal and will consider the outcome of the vote when making future compensation decisions for our named executive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the voting results determined?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vote of “withhold” for a nominee will not be voted for that nominee. A vote of “abstain” on a matter will be considered to be represented at the annual meeting, but not voted for these purposes. If a broker indicates on its proxy that it does not have authority to vote certain shares held in street name, the shares not voted are referred to as “broker non-votes.” Broker non-votes occur when brokers do not have discretionary voting authority to vote certain shares held in street name on particular proposals under the rules of the New York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Exchange (the “NYSE”), and the beneficial owner of those shares has not instructed the broker to vote on those proposals. If you are a beneficial owner and you do not submit voting instructions to your broker, bank or other nominee, your broker, bank or other nominee is permitted to vote your shares only with regard to the ratification of the appointment of PricewaterhouseCoopers LLP as our independent registered public accounting firm. Shares registered in the name of a broker, bank or other nominee, for which proxies are voted on some, but not all, matters, will be considered to be represented at the annual meeting for purposes of determining a quorum and voted only as to those matters marked on the proxy card.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any other business expected at the meeting?</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does not intend to present any business at the annual meeting other than the proposals described in this proxy statement. However, if any other matter properly comes before the annual meeting, including any stockholder proposal omitted from the proxy statement and form of proxy pursuant to Rule 14a-8 of the Securities Exchange Act of 1934, as amended (the “Exchange Act”), your proxies will act on such matter in their discretion.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ask questions pertinent to annual meeting matters?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Stockholders may submit questions either before the annual meeting (from Monday, January 16, 2023 until Monday, January 30, 2023) or during the annual meeting. If you wish to submit a question either before or during the annual meeting, please log into </w:t>
      </w:r>
      <w:r>
        <w:rPr>
          <w:rFonts w:ascii="Times New Roman" w:cs="Times New Roman" w:eastAsia="Times New Roman" w:hAnsi="Times New Roman"/>
          <w:sz w:val="18"/>
          <w:szCs w:val="18"/>
          <w:i w:val="1"/>
          <w:iCs w:val="1"/>
          <w:color w:val="auto"/>
        </w:rPr>
        <w:t>www.meetnow.global/MJR6HQD</w:t>
      </w:r>
      <w:r>
        <w:rPr>
          <w:rFonts w:ascii="Times New Roman" w:cs="Times New Roman" w:eastAsia="Times New Roman" w:hAnsi="Times New Roman"/>
          <w:sz w:val="18"/>
          <w:szCs w:val="18"/>
          <w:color w:val="auto"/>
        </w:rPr>
        <w:t>, enter your 15-digit control number and follow the instructions to submit a question. Questions pertinent to meeting matters will be answered during the meeting after voting is completed, subject to time constraints. Questions or comments that relate to proposals that are not properly before the annual meeting, relate to matters that are not proper subject for action by stockholders, are irrelevant to the Company’s business, relate to material non-public information of the Company, relate to personal concerns or grievances, are derogatory to individuals or that are otherwise in bad taste, are in substance repetitious of a question or comment made by another stockholder, or are not otherwise suitable for the conduct of the annual meeting as determined in the sole discretion of the Company, will not be answered. In addition, questions may be grouped by topic by our management with a representative question read aloud and answered.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annual meeting is adjourned or postponed?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annual meeting is adjourned or postponed, your proxy will still be valid and may be voted at the adjourned or postponed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intend to announce preliminary voting results at the annual meeting. We will publish the final results in a Current Report on Form 8-K, which we expect to file with the SEC on or before February 9, 2023. You also can go to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to access the Form 8-K. Information on our website does not constitute part of this proxy statement.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are dedicated to creating long-term stockholder value. It is our policy to conduct our business with integrity and a commitment to providing value to our customers and consumers. All of our corporate governance materials, including our corporate governance guidelines, our code of conduct for directors, officers and employees, our Audit Committee charter and our Corporate Governance and Compensation Committee charter, are published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Information on our website does not constitute part of (and shall not be deemed incorporated by reference in) this proxy statement or any other document we file with the SEC. Our Board of Directors regularly reviews these materials, Delaware law, the rules and listing standards of the NYSE and SEC rules and regulations, as well as best practices suggested by recognized governance authorities, and modifies our corporate governance materials as warranted.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 and Role of the Independent Lead Director</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follows the categorical independence standards based on the NYSE listing standards and the SEC rules and regulations as described in our corporate governance guidelines. Our Board has determined, in its judgment, that all of our non-employee directors, except for</w:t>
      </w:r>
    </w:p>
    <w:p>
      <w:pPr>
        <w:ind w:left="120"/>
        <w:spacing w:after="0"/>
        <w:rPr>
          <w:sz w:val="20"/>
          <w:szCs w:val="20"/>
          <w:color w:val="auto"/>
        </w:rPr>
      </w:pPr>
      <w:r>
        <w:rPr>
          <w:rFonts w:ascii="Times New Roman" w:cs="Times New Roman" w:eastAsia="Times New Roman" w:hAnsi="Times New Roman"/>
          <w:sz w:val="18"/>
          <w:szCs w:val="18"/>
          <w:color w:val="auto"/>
        </w:rPr>
        <w:t>Mr. Vitale, our Executive Chairman of the Board, are independent directors as defined in the NYSE listing standards and the SEC rules and regulations.</w:t>
      </w:r>
    </w:p>
    <w:p>
      <w:pPr>
        <w:spacing w:after="0" w:line="20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independent members of the Board of Directors meet regularly in executive sessions without the presence of management. These sessions are normally held in conjunction with regular Board and committee meetings. The chairman of the Corporate Governance and Compensation Committee acts as the presiding director during an executive session of the Board, and the chairman of the committee then in session acts as the chairman during an executive session of that committee.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provide that if the Chairman of the Board is not an independent director, then the chairman of our Corporate Governance and Compensation Committee will serve as our independent Lead Director. Our Lead Director has a number of important responsibilities that are described in our corporate governance guidelines, including (i) working with the Chief Executive Officer to develop Board and committee agendas, (ii) coordinating and chairing executive sessions of the Board’s independent directors and (iii) working with the Corporate Governance and Compensation Committee to identify for appointment the members of the various Board committees. Mr. Stein currently serves as our Lead Director and plays an active role in the Company. He serves as an independent liaison between the Executive Chairman of the Board, the Chief Executive Officer, the other members of our Board and management of our Company. Mr. Stein has extensive knowledge about BellRing’s strategic objectives, the industry in which BellRing operates and the areas of strategic importance to BellRing. Our Chief Executive Officer confers regularly with Mr. Stein on a variety of topics, including updates on the Company’s business and other strategic matters. Mr. Stein also consults regularly with the Company’s independent compensation consultant, Aon, and works closely with Aon to develop proposals for the design of our executive compensation programs, which are then reviewed by our Corporate Governance and Compensation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code of conduct sets forth our expectations for the conduct of business by our directors, officers and employees. We intend to post amendments to or waivers from (to the extent applicable to one of our directors or our principal executive officer, principal financial officer, principal accounting officer or controller or persons performing similar functions) this document on our website or in a report on Form 8-K.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Pursuant to our code of conduct, each director and officer has an obligation not to engage in any transaction that could be deemed a conflict of interest.</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Corporate Governance and Compensation Committee (the “Committee”) is responsible for approving and ratifying transactions in which one or more directors may have an interest. The Committee reviews the material facts of all interested party transactions that require the Committee’s approval and either approves or disapproves of the entry into the interested party transaction. In the event management, in the normal course of reviewing our records, determines an interested party transaction exists which was not approved by the Committee, management will present the transaction to the Committee for consideration.</w:t>
      </w:r>
    </w:p>
    <w:p>
      <w:pPr>
        <w:spacing w:after="0" w:line="183"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No director may participate in the approval of an interested party transaction for which he or she is a related party. If an interested party transaction will be ongoing, the Committee may establish guidelines for our management to follow in its ongoing dealings with the related party.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Hedging and Pledging Company Stock</w:t>
      </w:r>
    </w:p>
    <w:p>
      <w:pPr>
        <w:spacing w:after="0" w:line="121"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We have a policy that prohibits directors and executive officers from engaging in derivative or hedging transactions in the Company’s securities and prohibits pledging of securities by directors and executive officers. Specifically, the policy prohibits directors and executive officers from</w:t>
      </w:r>
    </w:p>
    <w:p>
      <w:pPr>
        <w:spacing w:after="0" w:line="1" w:lineRule="exact"/>
        <w:rPr>
          <w:sz w:val="20"/>
          <w:szCs w:val="20"/>
          <w:color w:val="auto"/>
        </w:rPr>
      </w:pPr>
    </w:p>
    <w:p>
      <w:pPr>
        <w:ind w:left="120" w:right="360" w:hanging="4"/>
        <w:spacing w:after="0" w:line="255"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put and call options or other hedging transactions (including, but not limited to, prepaid variable forward contracts, equity swaps, collars or exchange funds) and (ii) pledging, hypothecating or otherwise encumbering the Company’s common stock or other equity securities as collateral for indebtedness, including holding such securities in a margin account.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Board of Directors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Board of Directors is currently comprised of six members. Our Certificate of Incorporation and Bylaws provide for a Board of Directors that is divided into three classes as equal in size as possible. The classes have three-year terms, and the term of one class expires each year in rotation at that year’s annual meeting of stockholders. The size of the Board of Directors can be changed by a vote of its members, and in the event of any increase or decrease in the number of directors, the directors in each class shall be adjusted as necessary so that all classes shall be as equal in number as reasonably possible. However, no reduction in the number of directors shall affect the term of office of any incumbent director. Vacancies on the Board of Directors may be filled by a majority vote of the remaining directors, and the Board of Directors determines the class to which any director shall be assigned. A director elected to fill a vacancy, or a new directorship created by an increase in the size of the Board of Directors, serves until the next meeting of stockholders at which directors in his or her assigned class are elected, at which time he or she may stand for election if nominated by the full Board.</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has the following three committees: Audit; Corporate Governance and Compensation; and Executive. In addition, the Board of Directors appointed a Special Committee in 2022 to review, evaluate and negotiate on behalf of the Company the various agreements between the Company and Post in connection with the Reorganization Transactions. See “Certain Relationships and Related Transactions — Related Party Transactions — The Reorganization Transactions.” The table below contains information concerning the membership of each of the committees and the number of times the Board of Directors and each committee met during fiscal year 2022. During fiscal year 2022, each director attended at least 75% of the total number of meetings of the Board of Directors and the committee(s) on which he or she served. Because our annual meeting of stockholders is purely routine in nature, our corporate governance guidelines do not require our directors to attend the annual meeting of stockholders and, accordingly, two directors attended the 2022</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meeting of stockholders. As of January 1, 2023, the Board of Directors and committee members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32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80" w:type="dxa"/>
            <w:vAlign w:val="bottom"/>
          </w:tcPr>
          <w:p>
            <w:pPr>
              <w:spacing w:after="0"/>
              <w:rPr>
                <w:sz w:val="12"/>
                <w:szCs w:val="12"/>
                <w:color w:val="auto"/>
              </w:rPr>
            </w:pPr>
          </w:p>
        </w:tc>
        <w:tc>
          <w:tcPr>
            <w:tcW w:w="5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Special</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3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Elected</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Expires</w:t>
            </w:r>
          </w:p>
        </w:tc>
        <w:tc>
          <w:tcPr>
            <w:tcW w:w="74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280" w:type="dxa"/>
            <w:vAlign w:val="bottom"/>
            <w:shd w:val="clear" w:color="auto" w:fill="ABD8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ABD8EA"/>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ABD8EA"/>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ABD8EA"/>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ABD8EA"/>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ABD8EA"/>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ABD8EA"/>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ABD8EA"/>
          </w:tcPr>
          <w:p>
            <w:pPr>
              <w:spacing w:after="0" w:line="20" w:lineRule="exact"/>
              <w:rPr>
                <w:sz w:val="1"/>
                <w:szCs w:val="1"/>
                <w:color w:val="auto"/>
              </w:rPr>
            </w:pPr>
          </w:p>
        </w:tc>
        <w:tc>
          <w:tcPr>
            <w:tcW w:w="500" w:type="dxa"/>
            <w:vAlign w:val="bottom"/>
            <w:tcBorders>
              <w:right w:val="single" w:sz="8" w:color="ABD8EA"/>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w w:val="97"/>
              </w:rPr>
              <w:t>Robert V. Vitale</w:t>
            </w:r>
          </w:p>
        </w:tc>
        <w:tc>
          <w:tcPr>
            <w:tcW w:w="3260" w:type="dxa"/>
            <w:vAlign w:val="bottom"/>
            <w:shd w:val="clear" w:color="auto" w:fill="ABD8EA"/>
          </w:tcPr>
          <w:p>
            <w:pPr>
              <w:spacing w:after="0"/>
              <w:rPr>
                <w:sz w:val="21"/>
                <w:szCs w:val="21"/>
                <w:color w:val="auto"/>
              </w:rPr>
            </w:pPr>
          </w:p>
        </w:tc>
        <w:tc>
          <w:tcPr>
            <w:tcW w:w="280" w:type="dxa"/>
            <w:vAlign w:val="bottom"/>
            <w:shd w:val="clear" w:color="auto" w:fill="ABD8EA"/>
          </w:tcPr>
          <w:p>
            <w:pPr>
              <w:spacing w:after="0"/>
              <w:rPr>
                <w:sz w:val="21"/>
                <w:szCs w:val="21"/>
                <w:color w:val="auto"/>
              </w:rPr>
            </w:pPr>
          </w:p>
        </w:tc>
        <w:tc>
          <w:tcPr>
            <w:tcW w:w="58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56</w:t>
            </w:r>
          </w:p>
        </w:tc>
        <w:tc>
          <w:tcPr>
            <w:tcW w:w="80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gridSpan w:val="2"/>
            <w:shd w:val="clear" w:color="auto" w:fill="ABD8EA"/>
          </w:tcPr>
          <w:p>
            <w:pPr>
              <w:jc w:val="right"/>
              <w:ind w:right="3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shd w:val="clear" w:color="auto" w:fill="ABD8EA"/>
          </w:tcPr>
          <w:p>
            <w:pPr>
              <w:jc w:val="right"/>
              <w:ind w:right="3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shd w:val="clear" w:color="auto" w:fill="ABD8EA"/>
          </w:tcPr>
          <w:p>
            <w:pPr>
              <w:spacing w:after="0"/>
              <w:rPr>
                <w:sz w:val="21"/>
                <w:szCs w:val="21"/>
                <w:color w:val="auto"/>
              </w:rPr>
            </w:pPr>
          </w:p>
        </w:tc>
        <w:tc>
          <w:tcPr>
            <w:tcW w:w="340" w:type="dxa"/>
            <w:vAlign w:val="bottom"/>
            <w:shd w:val="clear" w:color="auto" w:fill="ABD8EA"/>
          </w:tcPr>
          <w:p>
            <w:pPr>
              <w:spacing w:after="0"/>
              <w:rPr>
                <w:sz w:val="21"/>
                <w:szCs w:val="21"/>
                <w:color w:val="auto"/>
              </w:rPr>
            </w:pPr>
          </w:p>
        </w:tc>
        <w:tc>
          <w:tcPr>
            <w:tcW w:w="880" w:type="dxa"/>
            <w:vAlign w:val="bottom"/>
            <w:shd w:val="clear" w:color="auto" w:fill="ABD8EA"/>
          </w:tcPr>
          <w:p>
            <w:pPr>
              <w:spacing w:after="0"/>
              <w:rPr>
                <w:sz w:val="21"/>
                <w:szCs w:val="21"/>
                <w:color w:val="auto"/>
              </w:rPr>
            </w:pPr>
          </w:p>
        </w:tc>
        <w:tc>
          <w:tcPr>
            <w:tcW w:w="340" w:type="dxa"/>
            <w:vAlign w:val="bottom"/>
            <w:shd w:val="clear" w:color="auto" w:fill="ABD8EA"/>
          </w:tcPr>
          <w:p>
            <w:pPr>
              <w:spacing w:after="0"/>
              <w:rPr>
                <w:sz w:val="21"/>
                <w:szCs w:val="21"/>
                <w:color w:val="auto"/>
              </w:rPr>
            </w:pPr>
          </w:p>
        </w:tc>
        <w:tc>
          <w:tcPr>
            <w:tcW w:w="960" w:type="dxa"/>
            <w:vAlign w:val="bottom"/>
            <w:gridSpan w:val="2"/>
            <w:shd w:val="clear" w:color="auto" w:fill="ABD8EA"/>
          </w:tcPr>
          <w:p>
            <w:pPr>
              <w:jc w:val="right"/>
              <w:ind w:right="3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Borders>
              <w:right w:val="single" w:sz="8" w:color="ABD8EA"/>
            </w:tcBorders>
            <w:shd w:val="clear" w:color="auto" w:fill="ABD8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50</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gridSpan w:val="2"/>
            <w:shd w:val="clear" w:color="auto" w:fill="ABD8EA"/>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860" w:type="dxa"/>
            <w:vAlign w:val="bottom"/>
            <w:gridSpan w:val="3"/>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gridSpan w:val="2"/>
            <w:shd w:val="clear" w:color="auto" w:fill="ABD8EA"/>
          </w:tcPr>
          <w:p>
            <w:pPr>
              <w:jc w:val="right"/>
              <w:ind w:right="3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ABD8EA"/>
          </w:tcPr>
          <w:p>
            <w:pPr>
              <w:jc w:val="right"/>
              <w:ind w:right="32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BD8EA"/>
            </w:tcBorders>
            <w:shd w:val="clear" w:color="auto" w:fill="ABD8EA"/>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68</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ABD8EA"/>
            </w:tcBorders>
            <w:gridSpan w:val="2"/>
            <w:shd w:val="clear" w:color="auto" w:fill="ABD8EA"/>
          </w:tcPr>
          <w:p>
            <w:pPr>
              <w:spacing w:after="0"/>
              <w:rPr>
                <w:sz w:val="20"/>
                <w:szCs w:val="20"/>
                <w:color w:val="auto"/>
              </w:rPr>
            </w:pPr>
            <w:r>
              <w:rPr>
                <w:rFonts w:ascii="Times New Roman" w:cs="Times New Roman" w:eastAsia="Times New Roman" w:hAnsi="Times New Roman"/>
                <w:sz w:val="18"/>
                <w:szCs w:val="18"/>
                <w:color w:val="auto"/>
              </w:rPr>
              <w:t>Jennifer Kuperman</w:t>
            </w:r>
          </w:p>
        </w:tc>
        <w:tc>
          <w:tcPr>
            <w:tcW w:w="860" w:type="dxa"/>
            <w:vAlign w:val="bottom"/>
            <w:tcBorders>
              <w:bottom w:val="single" w:sz="8" w:color="ABD8EA"/>
            </w:tcBorders>
            <w:gridSpan w:val="3"/>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tcBorders>
              <w:bottom w:val="single" w:sz="8" w:color="ABD8EA"/>
            </w:tcBorders>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tcBorders>
              <w:bottom w:val="single" w:sz="8" w:color="ABD8EA"/>
            </w:tcBorders>
            <w:gridSpan w:val="2"/>
            <w:shd w:val="clear" w:color="auto" w:fill="ABD8EA"/>
          </w:tcPr>
          <w:p>
            <w:pPr>
              <w:jc w:val="right"/>
              <w:ind w:right="3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bottom w:val="single" w:sz="8" w:color="ABD8EA"/>
            </w:tcBorders>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BD8EA"/>
            </w:tcBorders>
            <w:shd w:val="clear" w:color="auto" w:fill="ABD8EA"/>
          </w:tcPr>
          <w:p>
            <w:pPr>
              <w:spacing w:after="0"/>
              <w:rPr>
                <w:sz w:val="21"/>
                <w:szCs w:val="21"/>
                <w:color w:val="auto"/>
              </w:rPr>
            </w:pPr>
          </w:p>
        </w:tc>
        <w:tc>
          <w:tcPr>
            <w:tcW w:w="340" w:type="dxa"/>
            <w:vAlign w:val="bottom"/>
            <w:tcBorders>
              <w:bottom w:val="single" w:sz="8" w:color="ABD8EA"/>
            </w:tcBorders>
            <w:shd w:val="clear" w:color="auto" w:fill="ABD8EA"/>
          </w:tcPr>
          <w:p>
            <w:pPr>
              <w:spacing w:after="0"/>
              <w:rPr>
                <w:sz w:val="21"/>
                <w:szCs w:val="21"/>
                <w:color w:val="auto"/>
              </w:rPr>
            </w:pPr>
          </w:p>
        </w:tc>
        <w:tc>
          <w:tcPr>
            <w:tcW w:w="1220" w:type="dxa"/>
            <w:vAlign w:val="bottom"/>
            <w:tcBorders>
              <w:bottom w:val="single" w:sz="8" w:color="ABD8EA"/>
            </w:tcBorders>
            <w:gridSpan w:val="2"/>
            <w:shd w:val="clear" w:color="auto" w:fill="ABD8EA"/>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BD8EA"/>
            </w:tcBorders>
            <w:shd w:val="clear" w:color="auto" w:fill="ABD8EA"/>
          </w:tcPr>
          <w:p>
            <w:pPr>
              <w:spacing w:after="0"/>
              <w:rPr>
                <w:sz w:val="21"/>
                <w:szCs w:val="21"/>
                <w:color w:val="auto"/>
              </w:rPr>
            </w:pPr>
          </w:p>
        </w:tc>
        <w:tc>
          <w:tcPr>
            <w:tcW w:w="340" w:type="dxa"/>
            <w:vAlign w:val="bottom"/>
            <w:tcBorders>
              <w:bottom w:val="single" w:sz="8" w:color="ABD8EA"/>
            </w:tcBorders>
            <w:shd w:val="clear" w:color="auto" w:fill="ABD8EA"/>
          </w:tcPr>
          <w:p>
            <w:pPr>
              <w:spacing w:after="0"/>
              <w:rPr>
                <w:sz w:val="21"/>
                <w:szCs w:val="21"/>
                <w:color w:val="auto"/>
              </w:rPr>
            </w:pPr>
          </w:p>
        </w:tc>
        <w:tc>
          <w:tcPr>
            <w:tcW w:w="500" w:type="dxa"/>
            <w:vAlign w:val="bottom"/>
            <w:tcBorders>
              <w:bottom w:val="single" w:sz="8" w:color="ABD8EA"/>
              <w:right w:val="single" w:sz="8" w:color="ABD8EA"/>
            </w:tcBorders>
            <w:shd w:val="clear" w:color="auto" w:fill="ABD8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51</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ABD8EA"/>
            </w:tcBorders>
            <w:gridSpan w:val="2"/>
            <w:shd w:val="clear" w:color="auto" w:fill="ABD8EA"/>
          </w:tcPr>
          <w:p>
            <w:pPr>
              <w:spacing w:after="0"/>
              <w:rPr>
                <w:sz w:val="20"/>
                <w:szCs w:val="20"/>
                <w:color w:val="auto"/>
              </w:rPr>
            </w:pPr>
            <w:r>
              <w:rPr>
                <w:rFonts w:ascii="Times New Roman" w:cs="Times New Roman" w:eastAsia="Times New Roman" w:hAnsi="Times New Roman"/>
                <w:sz w:val="18"/>
                <w:szCs w:val="18"/>
                <w:color w:val="auto"/>
              </w:rPr>
              <w:t>Meetings held in fiscal year 2022</w:t>
            </w:r>
          </w:p>
        </w:tc>
        <w:tc>
          <w:tcPr>
            <w:tcW w:w="280" w:type="dxa"/>
            <w:vAlign w:val="bottom"/>
            <w:tcBorders>
              <w:bottom w:val="single" w:sz="8" w:color="ABD8EA"/>
            </w:tcBorders>
            <w:shd w:val="clear" w:color="auto" w:fill="ABD8EA"/>
          </w:tcPr>
          <w:p>
            <w:pPr>
              <w:spacing w:after="0"/>
              <w:rPr>
                <w:sz w:val="21"/>
                <w:szCs w:val="21"/>
                <w:color w:val="auto"/>
              </w:rPr>
            </w:pPr>
          </w:p>
        </w:tc>
        <w:tc>
          <w:tcPr>
            <w:tcW w:w="240" w:type="dxa"/>
            <w:vAlign w:val="bottom"/>
            <w:tcBorders>
              <w:bottom w:val="single" w:sz="8" w:color="ABD8EA"/>
            </w:tcBorders>
            <w:shd w:val="clear" w:color="auto" w:fill="ABD8EA"/>
          </w:tcPr>
          <w:p>
            <w:pPr>
              <w:spacing w:after="0"/>
              <w:rPr>
                <w:sz w:val="21"/>
                <w:szCs w:val="21"/>
                <w:color w:val="auto"/>
              </w:rPr>
            </w:pPr>
          </w:p>
        </w:tc>
        <w:tc>
          <w:tcPr>
            <w:tcW w:w="340" w:type="dxa"/>
            <w:vAlign w:val="bottom"/>
            <w:tcBorders>
              <w:bottom w:val="single" w:sz="8" w:color="ABD8EA"/>
            </w:tcBorders>
            <w:shd w:val="clear" w:color="auto" w:fill="ABD8EA"/>
          </w:tcPr>
          <w:p>
            <w:pPr>
              <w:spacing w:after="0"/>
              <w:rPr>
                <w:sz w:val="21"/>
                <w:szCs w:val="21"/>
                <w:color w:val="auto"/>
              </w:rPr>
            </w:pPr>
          </w:p>
        </w:tc>
        <w:tc>
          <w:tcPr>
            <w:tcW w:w="460" w:type="dxa"/>
            <w:vAlign w:val="bottom"/>
            <w:tcBorders>
              <w:bottom w:val="single" w:sz="8" w:color="ABD8EA"/>
            </w:tcBorders>
            <w:shd w:val="clear" w:color="auto" w:fill="ABD8EA"/>
          </w:tcPr>
          <w:p>
            <w:pPr>
              <w:spacing w:after="0"/>
              <w:rPr>
                <w:sz w:val="21"/>
                <w:szCs w:val="21"/>
                <w:color w:val="auto"/>
              </w:rPr>
            </w:pPr>
          </w:p>
        </w:tc>
        <w:tc>
          <w:tcPr>
            <w:tcW w:w="340" w:type="dxa"/>
            <w:vAlign w:val="bottom"/>
            <w:tcBorders>
              <w:bottom w:val="single" w:sz="8" w:color="ABD8EA"/>
            </w:tcBorders>
            <w:shd w:val="clear" w:color="auto" w:fill="ABD8EA"/>
          </w:tcPr>
          <w:p>
            <w:pPr>
              <w:spacing w:after="0"/>
              <w:rPr>
                <w:sz w:val="21"/>
                <w:szCs w:val="21"/>
                <w:color w:val="auto"/>
              </w:rPr>
            </w:pPr>
          </w:p>
        </w:tc>
        <w:tc>
          <w:tcPr>
            <w:tcW w:w="480" w:type="dxa"/>
            <w:vAlign w:val="bottom"/>
            <w:tcBorders>
              <w:bottom w:val="single" w:sz="8" w:color="ABD8EA"/>
            </w:tcBorders>
            <w:shd w:val="clear" w:color="auto" w:fill="ABD8EA"/>
          </w:tcPr>
          <w:p>
            <w:pPr>
              <w:spacing w:after="0"/>
              <w:rPr>
                <w:sz w:val="21"/>
                <w:szCs w:val="21"/>
                <w:color w:val="auto"/>
              </w:rPr>
            </w:pPr>
          </w:p>
        </w:tc>
        <w:tc>
          <w:tcPr>
            <w:tcW w:w="320" w:type="dxa"/>
            <w:vAlign w:val="bottom"/>
            <w:tcBorders>
              <w:bottom w:val="single" w:sz="8" w:color="ABD8EA"/>
            </w:tcBorders>
            <w:shd w:val="clear" w:color="auto" w:fill="ABD8EA"/>
          </w:tcPr>
          <w:p>
            <w:pPr>
              <w:spacing w:after="0"/>
              <w:rPr>
                <w:sz w:val="21"/>
                <w:szCs w:val="21"/>
                <w:color w:val="auto"/>
              </w:rPr>
            </w:pPr>
          </w:p>
        </w:tc>
        <w:tc>
          <w:tcPr>
            <w:tcW w:w="740" w:type="dxa"/>
            <w:vAlign w:val="bottom"/>
            <w:tcBorders>
              <w:bottom w:val="single" w:sz="8" w:color="ABD8EA"/>
            </w:tcBorders>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Borders>
              <w:bottom w:val="single" w:sz="8" w:color="ABD8EA"/>
            </w:tcBorders>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Borders>
              <w:bottom w:val="single" w:sz="8" w:color="ABD8EA"/>
            </w:tcBorders>
            <w:gridSpan w:val="2"/>
            <w:shd w:val="clear" w:color="auto" w:fill="ABD8EA"/>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Borders>
              <w:bottom w:val="single" w:sz="8" w:color="ABD8EA"/>
            </w:tcBorders>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tcBorders>
              <w:bottom w:val="single" w:sz="8" w:color="ABD8EA"/>
              <w:right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44"/>
        </w:trPr>
        <w:tc>
          <w:tcPr>
            <w:tcW w:w="11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Chair</w:t>
            </w:r>
          </w:p>
        </w:tc>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Member</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The Audit Committee’s primary responsibilities are to monitor and oversee (a) the quality and integrity of our financial statements and financial reporting, (b) the independence and qualifications of our independent registered public accounting firm, (c) the performance of our internal audit function and independent registered public accounting firm, (d) our systems of internal accounting, financial controls and disclosure controls and</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 compliance with legal and regulatory requirements, codes of conduct and ethics programs.</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has determined, in its judgment, that the Audit Committee is comprised solely of independent directors as defined in the NYSE listing standards and Rule 10A-3 of the Exchange Act. The Audit Committee operates under a written charter, adopted by the Board of Directors, which is available under the Corporate Governance section within the Investor Relations portion of our website at www.bellring.com. The Board of Directors also has determined, in its judgment, that Mr. Erickson, the chair of our Audit Committee, as “audit committee financial expert” as defined by SEC rules and that each member of the Audit Committee is “financially literate” as defined in the NYSE listing standards. Our corporate governance guidelines and Audit Committee charter provide that no Audit Committee member may serve on more than two other public company audit committees absent a judgment that such simultaneous service would not impair the ability of that director to effectively serve on our Audit Committee. The Board of Directors has determined that none of the members of the Audit Committee currently serves on the audit committees of more than three public companies. The report of the Audit Committee can be found on page 24 of this proxy statement.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Compensation Committee</w:t>
      </w:r>
    </w:p>
    <w:p>
      <w:pPr>
        <w:spacing w:after="0" w:line="12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The Corporate Governance and Compensation Committee (a) determines the compensation level of our Section 16 officers, (b) at such time as the Company no longer qualifies as an “emerging growth company” as defined in the Jumpstart Our Business Startups Act of 2012, will review management’s Compensation Discussion and Analysis relating to our executive compensation programs and approve the inclusion of the same in our proxy statement and/or annual report to stockholders, (c) will issue a report confirming the Committee’s review and approval of the Compensation Discussion and Analysis for inclusion in our proxy statement and/or annual report to stockholders, (d) administers and makes recommendations with respect to director compensation, incentive compensation plans and stock-based plans and (e) reviews and oversees risks arising from or in connection with our compensation policies and programs for all employees. The Corporate Governance and Compensation Committee also (i) reviews and revises, as necessary, our corporate governance guidelines, (ii) considers and evaluates transactions between the Company and any director, officer or affiliate of</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and (iii) identifies individuals qualified to become members of our Board of Directors. The Corporate Governance and Compensation Committee has the authority to delegate any of its responsibilities to subcommittees as it deems appropriate, provided that any such subcommittees are composed entirely of independent directors.</w:t>
      </w:r>
    </w:p>
    <w:p>
      <w:pPr>
        <w:spacing w:after="0" w:line="176" w:lineRule="exact"/>
        <w:rPr>
          <w:sz w:val="20"/>
          <w:szCs w:val="20"/>
          <w:color w:val="auto"/>
        </w:rPr>
      </w:pPr>
    </w:p>
    <w:p>
      <w:pPr>
        <w:jc w:val="both"/>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determined, in its judgment, that the Corporate Governance and Compensation Committee is comprised solely of independent directors as defined in the NYSE listing standards. The Corporate Governance and Compensation Committee operates under a written charter, adopted by the Board of Directors, which is available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Executive Committee may exercise all Board authority in the intervals between Board meetings, to the extent such authority is in compliance with our corporate governance guidelines and does not infringe upon the duties and responsibilities of other Board committees.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Committee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Special Committee was formed to exercise all Board authority to review, evaluate and negotiation on behalf of the Company the various agreements between the Company and Post in connection with the Reorganization Transactions. See “Certain Relationships and Related Transactions — Related Party Transactions — The Reorganization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Nomination Process for Election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Corporate Governance and Compensation Committee has responsibility for assessing the need for new directors to address specific requirements or to fill a vacancy. The Committee may, from time to time, initiate a search for a new candidate, seeking input from our Executive Chairman of the Board and from other directors. The Committee may retain an executive search firm to identify potential candidates. All candidates must meet the requirements specified in our Bylaws and our corporate governance guidelines. Candidates who meet those requirements and otherwise qualify for membership on our Board of Directors are identified, and the Committee initiates contact with preferred candidates. The Committee meets to consider and approve final candidates who are then presented to the Board of Directors for consideration and approval. Our Executive Chairman or the chairman of the Corporate Governance and Compensation Committee may extend an invitation to join the Board of Directors.</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Committee relies primarily on recommendations from management and members of the Board of Directors to identify director nominee candidates. However, the Committee will consider timely written suggestions from stockholders. Such suggestions and the nominee’s consent to being nominated, together with appropriate biographical information (including principal occupation for the previous five years and business and residential addresses) and other relevant information, as outlined in our Bylaws, should be submitted in writing to our corporate secretary. Stockholders wishing to suggest a candidate for director nomination for the 2023 annual meeting of stockholders should mail their suggestions to our principal executive offices at Bellring Brands, Inc., 2503 S. Hanley Road, St. Louis, Missouri 63144, Attn: Corporate Secretary. Suggestions must be received by the corporate secretary no earlier than October 9, 2023 and no later than November 8,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Board Service</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do not prohibit our directors from serving on boards or committees of other organizations, except that no Audit Committee member may serve on more than two other public company audit committees absent a judgment by the Board of Directors that such simultaneous service would not impair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ability of that director to effectively serve on our Audit Committee. Our corporate governance guidelines provide, however, that each of our directors is expected to ensure that other commitments do not interfere with the director’s discharge of his or her duties.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being the executive chairman of our Board of Directors, Mr. Vitale serves as a member of the Board of Directors of our former parent company, the publicly-traded Post Holdings, Inc. (“Post”), as well as the board of directors of the publicly-traded company Energizer Holdings, Inc. We believe that Mr. Vitale has the capacity to serve in these various roles. From 2015 until BellRing’s initial public offering in October 2019, our business comprised the active nutrition business of Post. As part of his role as President, CEO and a director of Post since 2014, Mr. Vitale has overseen the business that now comprises BellRing for its entire existence and Mr. Vitale has served as executive chairman of BellRing since its formation shortly before our October 2019 initial public offering. In March 2022, Post completed the spin-off of 80.1% of its interest in BellRing (the “Spin-Off”) through a distribution of BellRing common stock to Post shareholders. Since the Spin-Off, BellRing is no longer a part of Post’s portfolio of businesses and as of September 30, 2022, Post owned approximately 3.4% of BellRing. Since he began serving as BellRing’s executive chairman in 2019, Mr. Vitale’s service on the boards of Post and Energizer Holdings, Inc. has not impacted the discharge of his duties as executive chairman of BellRing. As such, our Board of Directors does not believe that Mr. Vitale’s other board commitments have interfered or will interfere with Mr. Vitale’s discharge of his duties as executive chairman of our Board of Directors.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Board of Directors is responsible for the oversight of risk, while management is responsible for the day-to-day management of risk. The Board of Directors, directly and through its committees, carries out its oversight role by regularly reviewing and discussing with management the risks inherent in the operation of our business and applicable risk mitigation efforts. Management meets regularly to discuss our business strategies, challenges, risks and opportunities and reviews those items with the Board of Directors at regularly scheduled meetings. The Board of Directors has received updates on the evolving COVID-19 pandemic from, and has discussed these updates with, our management, including with regard to protecting the health and safety of our employees and evaluating the impact of the COVID-19 pandemic on strategy, operations, liquidity and financial matters.</w:t>
      </w:r>
    </w:p>
    <w:p>
      <w:pPr>
        <w:spacing w:after="0" w:line="17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do not believe that our compensation policies and practices encourage excessive and unnecessary risk-taking. The design of our compensation policies and practices encourages employees to remain focused on both short- and long-term financial and operational goals. For example, bonus plans measure performance on an annual basis but are subject to the Corporate Governance and Compensation Committee’s ultimate judgment and discretion. In addition, equity awards typically vest over a number of years, which we believe encourages employees to focus on sustained stock price appreciation over an extended period of time instead of on short-term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Board leadership structure consists of:</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Chairman of the Board and Chief Executive Officer roles;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Lead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non-management directors except for the Executive Chairman of the Board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 and Corporate Governance and Compensation Committees;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practices that promote independent leadership and oversight.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Separate Chairman and Chief Executive Officer</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do not have a formal policy with respect to separation of the offices of Chairman of the Board and Chief Executive Officer, and the Board of Directors believes that it should maintain flexibility to select our chairperson and Board leadership structure from time to time. Robert V. Vitale serves as Executive Chairman of the Board and Darcy Horn Davenport serves as our Chief Executive Officer. Ms. Davenport also is a member of the Board. The Board believes that this leadership structure, which separates the Executive Chairman and Chief Executive Officer roles, is optimal at this time because it allows Ms. Davenport to focus on operating and managing our Company, while Mr. Vitale can focus on leading our Board. In addition, an independent director serves as Lead Director. As described below, we believe our governance practices ensure that skilled and experienced independent directors provide independent guidance and leadership.</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When determining the leadership structure that will allow the Board of Directors to effectively carry out its responsibilities and best represent our stockholders’ interests, the Board will consider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Independent Lead Director and Independent Directors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our corporate governance guidelines, the chairman of the Corporate Governance and Compensation Committee, currently Mr. Stein, acts in the role of our independent Lead Director. The Lead Director’s duties are described above under “Director Independence and Role of the Independent Lead Director.”</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Lead Director, the Board has a majority of independent directors. The Audit Committee and Corporate Governance and Compensation Committee are composed solely of independent directors. Consequently, independent directors directly oversee critical matters and appropriately monitor the Chief Executive Officer. Our independent directors have the opportunity to meet in executive session at the conclusion of each of our Board of Directors meetings.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Evaluations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an annual basis, the Corporate Governance and Compensation Committee is expected to conduct an evaluation of the Board of Directors and the functioning of the committees of the Board. In addition to this evaluation, and as a part of this process, the Board and each committee conducts a self-assessment. The Corporate Governance and Compensation Committee reviews the results of these self-assessments, shares the same with the Board and each committee, as appropriate, and makes any advisable recommendations based on this feedback.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Director Diversity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the Corporate Governance and Compensation Committee does not have a written policy regarding diversity in identifying new director candidates, the Committee takes diversity into account in its search for the best available candidates to serve on the Board of Directors. The Committee believes that maintaining a diverse membership with varying backgrounds, skills, expertise and other differentiating personal characteristics promotes inclusiveness, enhances the Board of Directors’ deliberations and enables the Board of Directors to better represent all of our constituents, including our diverse consumer base and workforce. Accordingly, the Committee seeks out highly qualified candidates with diverse backgrounds, skills and experiences. The Committee looks to establish diversity on the Board of Directors through a number of demographics, experience (including operational experience), skills and viewpoints, all with a view to identify candidates who can assist the Board with its decision making. The Committee also considers factors such as diversity on the basis of race, color, national origin, gender, religion, disability and sexual orientation. Three of our six directors are women, Ms. Davenport, also our Chief Executive Officer, Ms. Kuperman and Ms. Nwamu, and Ms. Nwamu is African-American.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Stockholders and other parties interested in communicating directly with our Board of Directors, an individual director or with the non-management directors as a group may do so by writing to the individual director or group, c/o BellRing Brands, Inc., 2503 S. Hanley Road, St. Louis, Missouri 63144, Attn: Corporate Secretary or via email to investor.relations@bellringbrands.com. The Board of Directors has directed our corporate secretary to forward stockholder communications to our Executive Chairman and any other director to whom the communications are directed. In order to facilitate an efficient and reliable means for directors to receive all legitimate communications directed to them regarding our governance or operations, our corporate secretary will use his discretion to refrain from forwarding the following: sales literature; defamatory material regarding us and/or our directors; incoherent or inflammatory correspondence, particularly when such correspondence is repetitive or was addressed previously in some manner; and other correspondence unrelated to the Board of Directors’ corporate governance and oversight responsibilities.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Sustainability and Social Matters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recognize the importance of Environmental, Social and Governance (“ESG “) issues for all of our stakeholders and we are committed to incorporating ESG principles into our business strategies and organizational culture. The Audit Committee of our Board of Directors provides direction with respect to the evolving priorities of our ESG initiatives and receives quarterly reports with respect to the progress we are making against these objectives. Our Executive Sustainability Steering committee, which is comprised of senior leaders within our organization, provides guidance on goals and strategies and makes recommendations on disclosure and reporting guidelines. Our Sustainability Operations Committee, which is comprised of technical experts within key business functions, meets regularly to implement programs and track progress on key objectives.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Environmental Sustainability</w:t>
      </w:r>
    </w:p>
    <w:p>
      <w:pPr>
        <w:spacing w:after="0" w:line="11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fiscal year 2022, we launched a process to develop a thoughtful sustainability strategy and establish concrete, measurable sustainability goals for our business. With oversight from the Audit Committee and the direction from our Executive Sustainability Steering Committee, we conducted a third-party supported materiality assessment, Scope 1 &amp; 2 greenhouse gas (GHG) emissions inventories and a Scope 3 GHG emissions screen. Based on the results of this process, we set several ambitious sustainability goals: (i) transition to 100% renewable electricity in our direct operations (Scope 1 and</w:t>
      </w:r>
    </w:p>
    <w:p>
      <w:pPr>
        <w:spacing w:after="0" w:line="3" w:lineRule="exact"/>
        <w:rPr>
          <w:sz w:val="20"/>
          <w:szCs w:val="20"/>
          <w:color w:val="auto"/>
        </w:rPr>
      </w:pPr>
    </w:p>
    <w:p>
      <w:pPr>
        <w:ind w:left="120" w:right="80" w:hanging="4"/>
        <w:spacing w:after="0" w:line="260"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2025, (ii) achieve Net Zero emissions across our direct operations (Scope 1 and 2) by 2030, (iii) ensure all cardboard and paper packaging for our products is made from sustainable forestry certified materials or recycled content by 2025, (iv) source 30% of our plastic packaging from renewable or recycled materials by 2027 and (v) for 100% of our product packaging to be recyclable, reusable or compostable by 2030. Additionally, in fiscal 2022, we transitioned to a new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ready-to-drink shake bottle that uses 35% less plastic and is produced with 100% renewable energy and we began to implement How2Recycle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standardized labeling system that clearly communicates recycling instructions to the public.</w:t>
      </w:r>
    </w:p>
    <w:p>
      <w:pPr>
        <w:spacing w:after="0" w:line="5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remain committed to improved transparency around our programs and practices that impact ESG. In December 2022, we published our inaugural SASB-aligned annual Impact Report, which is available on our website at </w:t>
      </w:r>
      <w:r>
        <w:rPr>
          <w:rFonts w:ascii="Times New Roman" w:cs="Times New Roman" w:eastAsia="Times New Roman" w:hAnsi="Times New Roman"/>
          <w:sz w:val="18"/>
          <w:szCs w:val="18"/>
          <w:i w:val="1"/>
          <w:iCs w:val="1"/>
          <w:color w:val="auto"/>
        </w:rPr>
        <w:t>www.bellring.com/impact</w:t>
      </w:r>
      <w:r>
        <w:rPr>
          <w:rFonts w:ascii="Times New Roman" w:cs="Times New Roman" w:eastAsia="Times New Roman" w:hAnsi="Times New Roman"/>
          <w:sz w:val="18"/>
          <w:szCs w:val="18"/>
          <w:color w:val="auto"/>
        </w:rPr>
        <w:t>. Information on our website, including in our Impact Report, does not constitute part of (and shall not be deemed incorporated by reference into) this proxy statement or any other document we file with the SEC.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Empowering Our People</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a people-first culture. Our people are critical to our success and we prioritize providing a safe, rewarding and respectful workplace where our people are provided with opportunities to pursue career paths based on capabilities, performance and mindset. We adhere to our Code of Conduct, which sets forth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8"/>
          <w:szCs w:val="18"/>
          <w:color w:val="auto"/>
        </w:rPr>
        <w:t xml:space="preserve">commitment to our stakeholders, including our employees, to operate with integrity and mutual respect. For the fourth year running, Premier Nutrition Company, LLC, our primary operating subsidiary (“Premier Nutrition”) has been named in the top 15 best small and medium workplaces in our category in the U.S. by </w:t>
      </w:r>
      <w:r>
        <w:rPr>
          <w:rFonts w:ascii="Times New Roman" w:cs="Times New Roman" w:eastAsia="Times New Roman" w:hAnsi="Times New Roman"/>
          <w:sz w:val="18"/>
          <w:szCs w:val="18"/>
          <w:i w:val="1"/>
          <w:iCs w:val="1"/>
          <w:color w:val="auto"/>
        </w:rPr>
        <w:t>Fortune Magazine</w:t>
      </w:r>
      <w:r>
        <w:rPr>
          <w:rFonts w:ascii="Times New Roman" w:cs="Times New Roman" w:eastAsia="Times New Roman" w:hAnsi="Times New Roman"/>
          <w:sz w:val="18"/>
          <w:szCs w:val="18"/>
          <w:color w:val="auto"/>
        </w:rPr>
        <w:t xml:space="preserve"> and Great Places to Work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Institute.</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Diversity, Equity, Inclusion and Belonging</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recognize the importance of a diverse, equitable and inclusive culture for our employees and are dedicated to creating an inclusive environment that reflects the communities in which we live and work that creates a feeling of belonging. We have implemented initiatives to track and improve our performance in these areas, including having a CEO-sponsored, employee-led team that establishes strategies and initiatives towards this objective, tracks our progress and shares successes and key learnings. During fiscal 2022, we also provided interactive anti-harassment and diversity training for all supervisory and non-supervisory employees taught by outside experts.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fiscal year 2022, as the COVID-19 pandemic has persisted, we have continued to prioritize the health, safety and well-being of our employees. Many of the COVID-19 safety measures we originally implemented in fiscal 2020 were also utilized at various points during fiscal 2022, including, where practicable; practicing social distancing, providing personal protective equipment, encouraging hygiene practices advised by health authorities, limiting business travel and site visitors, increasing ventilation to promote frequent air exchanges, placing air filtration units throughout our offices and implementing remote working for certain office employees. We continue to monitor our practices to remain aligned with all applicable laws, regulations and guidelines.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Community Involvement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passionate about supporting the communities in which we live and work and use our time, talent and resources to give back. We support local charities with our time during “all company” give back days each year and supporting our employees with paid volunteer time off. We also support our employees who are passionate about a cause by matching their donations one-to-one. Additionally, we make donations to philanthropic organizations that align with our purpose, culture and community. In 2022, the </w:t>
      </w:r>
      <w:r>
        <w:rPr>
          <w:rFonts w:ascii="Times New Roman" w:cs="Times New Roman" w:eastAsia="Times New Roman" w:hAnsi="Times New Roman"/>
          <w:sz w:val="18"/>
          <w:szCs w:val="18"/>
          <w:i w:val="1"/>
          <w:iCs w:val="1"/>
          <w:color w:val="auto"/>
        </w:rPr>
        <w:t>San Francisco Business Times</w:t>
      </w:r>
      <w:r>
        <w:rPr>
          <w:rFonts w:ascii="Times New Roman" w:cs="Times New Roman" w:eastAsia="Times New Roman" w:hAnsi="Times New Roman"/>
          <w:sz w:val="18"/>
          <w:szCs w:val="18"/>
          <w:color w:val="auto"/>
        </w:rPr>
        <w:t xml:space="preserve"> again identified Premier Nutrition as one of the Top 100 Bay Area Corporate Philanthropists as it has for the last several years.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 and Cybersecurity Risk Oversight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recognize the importance of protecting our information and our information technology (“IT”) systems. With this in mind, we’ve employed an IT and cybersecurity framework with the objective of protecting our information and IT systems to help secure long-term value for our stakeholders. Safeguards included in this framework include, but are not limited to:</w:t>
      </w:r>
    </w:p>
    <w:p>
      <w:pPr>
        <w:spacing w:after="0" w:line="81" w:lineRule="exact"/>
        <w:rPr>
          <w:sz w:val="20"/>
          <w:szCs w:val="20"/>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 targeted controls to protect our environment, including antivirus, antimalware, multi-factor authentication, long and regularly changed passwords, email security and firewalls to protect our assets and our ability to maintain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detect and response (EDR), security information and event management (SIEM) and vulnerability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processes that incorporate third party response retainers;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assessments to our cybersecurity program using external parties including cyber maturity assessments &amp; penetration tests;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Service Organization Controls (SOC) reports for any supplier housing financial or mission critical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scoring of our critical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system backups and associated disaster recovery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and awareness programs addressing cybersecurity and data privacy challenges.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Through continuous assessment of our framework, we make improvements to mitigate new cybersecurity risks as they arise. Our Audit Committee is responsible for overseeing matters relating to our IT and cybersecurity practices and initiatives. We also have designated specific roles who oversee IT and cybersecurity matters for the Company.</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0"/>
          </w:cols>
          <w:pgMar w:left="320" w:top="455" w:right="7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ITEM NO. 1)</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terms of two current directors (Ms. Davenport and Mr. Stein) will expire at the 2023 annual meeting of stockholders. Our Board of Directors has nominated Ms. Davenport and Mr. Stein for election for a three-year term that will expire in 2026. The Board of Directors is not aware that either of these nominees will be unwilling or unable to serve as a director. Each nominee has consented to be named in the proxy statement and to serve if elected. If, however, a nominee is unavailable for election, your proxy authorizes the persons named on the proxy card to vote for a replacement nominee if the Board of Directors names one. As an alternative, the Board of Directors may reduce the number of directors to be elected at the meeting. Proxies may not be voted for a greater number of persons than the nominees presented.</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nominee is currently a director who was originally elected to the Board in September 2019, prior to the closing of our initial public offering (our “IPO”).</w:t>
      </w:r>
    </w:p>
    <w:p>
      <w:pPr>
        <w:spacing w:after="0" w:line="16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persons named on the proxy card intend to vote the proxy representing your shares for the election of Ms. Davenport and Mr. Stein, unless you indicate on the proxy card that the vote should be withheld or you indicate contrary directions. If you deliver the proxy card without giving any direction, the persons named on the proxy card will vote the proxy representing your shares FOR the election of the nominees named on the proxy card.</w:t>
      </w:r>
    </w:p>
    <w:p>
      <w:pPr>
        <w:spacing w:after="0" w:line="262" w:lineRule="exact"/>
        <w:rPr>
          <w:sz w:val="20"/>
          <w:szCs w:val="20"/>
          <w:color w:val="auto"/>
        </w:rPr>
      </w:pPr>
    </w:p>
    <w:p>
      <w:pPr>
        <w:ind w:left="120" w:right="37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Information about the Current Directors and Nominees for Election to the Board of Directors </w:t>
      </w:r>
      <w:r>
        <w:rPr>
          <w:rFonts w:ascii="Times New Roman" w:cs="Times New Roman" w:eastAsia="Times New Roman" w:hAnsi="Times New Roman"/>
          <w:sz w:val="18"/>
          <w:szCs w:val="18"/>
          <w:b w:val="1"/>
          <w:bCs w:val="1"/>
          <w:i w:val="1"/>
          <w:iCs w:val="1"/>
          <w:color w:val="auto"/>
        </w:rPr>
        <w:t>Board Composition</w:t>
      </w: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directors should possess the highest personal and professional integrity and values and be committed to representing the long-term interests of our stockholders. We further believe that the backgrounds and qualifications of our directors, considered as a group, should provide a blend of business experience and competence, and professional and personal abilities, that will allow the Board of Directors to fulfill its responsibilities. The Corporate Governance and Compensation Committee works with the Board to determine the appropriate mix of these backgrounds and qualifications to maintain a Board with strong collective abilities.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fulfill these objectives, the Board of Directors has determined that it is important to nominate directors with the skills and experiences set forth below, among others. The experiences, qualifications and skills that the Board considered in each director’s re-nomination are included in their individual biographies.</w:t>
      </w:r>
    </w:p>
    <w:p>
      <w:pPr>
        <w:spacing w:after="0" w:line="79" w:lineRule="exact"/>
        <w:rPr>
          <w:sz w:val="20"/>
          <w:szCs w:val="20"/>
          <w:color w:val="auto"/>
        </w:rPr>
      </w:pPr>
    </w:p>
    <w:p>
      <w:pPr>
        <w:ind w:left="1080" w:right="280" w:hanging="424"/>
        <w:spacing w:after="0" w:line="290"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Leadership Experience</w:t>
      </w:r>
      <w:r>
        <w:rPr>
          <w:rFonts w:ascii="Times New Roman" w:cs="Times New Roman" w:eastAsia="Times New Roman" w:hAnsi="Times New Roman"/>
          <w:sz w:val="17"/>
          <w:szCs w:val="17"/>
          <w:color w:val="auto"/>
        </w:rPr>
        <w:t>. We believe that directors with experience in significant leadership positions over an extended period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possess strong abilities to motivate and manage others and to identify and develop leadership qualities in others. They also generally possess a practical understanding of organizations, processes, strategy, risk management and the methods to drive change and growth.</w:t>
      </w:r>
    </w:p>
    <w:p>
      <w:pPr>
        <w:spacing w:after="0" w:line="60" w:lineRule="exact"/>
        <w:rPr>
          <w:rFonts w:ascii="Times New Roman" w:cs="Times New Roman" w:eastAsia="Times New Roman" w:hAnsi="Times New Roman"/>
          <w:sz w:val="17"/>
          <w:szCs w:val="17"/>
          <w:color w:val="auto"/>
        </w:rPr>
      </w:pPr>
    </w:p>
    <w:p>
      <w:pPr>
        <w:jc w:val="both"/>
        <w:ind w:left="1080" w:right="140" w:hanging="424"/>
        <w:spacing w:after="0" w:line="267"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or Accounting Acumen. </w:t>
      </w:r>
      <w:r>
        <w:rPr>
          <w:rFonts w:ascii="Times New Roman" w:cs="Times New Roman" w:eastAsia="Times New Roman" w:hAnsi="Times New Roman"/>
          <w:sz w:val="18"/>
          <w:szCs w:val="18"/>
          <w:color w:val="auto"/>
        </w:rPr>
        <w:t>We believe that an understanding of finance and financial reporting processes enables our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and understand the impact of business decisions on our financial statements and capital structure. In addition, accurate financial reporting and robust auditing are critical to our ongoing success.</w:t>
      </w:r>
    </w:p>
    <w:p>
      <w:pPr>
        <w:spacing w:after="0" w:line="78"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w:t>
      </w:r>
      <w:r>
        <w:rPr>
          <w:rFonts w:ascii="Times New Roman" w:cs="Times New Roman" w:eastAsia="Times New Roman" w:hAnsi="Times New Roman"/>
          <w:sz w:val="18"/>
          <w:szCs w:val="18"/>
          <w:color w:val="auto"/>
        </w:rPr>
        <w:t>We seek directors with experience as executives or directors or in other leadership positions in industries relevant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including consumer packaged goods, branded products, retail or consumer product manufacturing.</w:t>
      </w:r>
    </w:p>
    <w:p>
      <w:pPr>
        <w:spacing w:after="0" w:line="63" w:lineRule="exact"/>
        <w:rPr>
          <w:rFonts w:ascii="Times New Roman" w:cs="Times New Roman" w:eastAsia="Times New Roman" w:hAnsi="Times New Roman"/>
          <w:sz w:val="18"/>
          <w:szCs w:val="18"/>
          <w:color w:val="auto"/>
        </w:rPr>
      </w:pPr>
    </w:p>
    <w:p>
      <w:pPr>
        <w:ind w:left="1080" w:right="260" w:hanging="424"/>
        <w:spacing w:after="0" w:line="267"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Experience. </w:t>
      </w:r>
      <w:r>
        <w:rPr>
          <w:rFonts w:ascii="Times New Roman" w:cs="Times New Roman" w:eastAsia="Times New Roman" w:hAnsi="Times New Roman"/>
          <w:sz w:val="18"/>
          <w:szCs w:val="18"/>
          <w:color w:val="auto"/>
        </w:rPr>
        <w:t>We believe that directors who are current or former executives with direct operational responsibilities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valuable practical insight to helping to develop, implement and assess our operating plan and business strategy. Operational experience includes experience in areas such as marketing, supply chain, sustainability and commodity management.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80" w:hanging="424"/>
        <w:spacing w:after="0" w:line="267"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Company Experience. </w:t>
      </w:r>
      <w:r>
        <w:rPr>
          <w:rFonts w:ascii="Times New Roman" w:cs="Times New Roman" w:eastAsia="Times New Roman" w:hAnsi="Times New Roman"/>
          <w:sz w:val="18"/>
          <w:szCs w:val="18"/>
          <w:color w:val="auto"/>
        </w:rPr>
        <w:t>Directors with experience as executives or directors of other publicly traded companies generally are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to fulfill the Board’s responsibilities of overseeing and providing insight and guidance to management, and help further our goals of greater transparency, accountability for management and the Board and protection of our stockholders’ interests.</w:t>
      </w:r>
    </w:p>
    <w:p>
      <w:pPr>
        <w:spacing w:after="0" w:line="17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when evaluating the suitability of individuals for nomination, the Corporate Governance and Compensation Committee considers other appropriate factors, including whether the individual satisfies applicable independence requirements.</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information is furnished with respect to each nominee for election as a director and each continuing director. The ages of the directors are as of January 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 Class I Directors - Terms to Expire in 2026</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DARCY HORN DAVENPORT </w:t>
      </w:r>
      <w:r>
        <w:rPr>
          <w:rFonts w:ascii="Times New Roman" w:cs="Times New Roman" w:eastAsia="Times New Roman" w:hAnsi="Times New Roman"/>
          <w:sz w:val="18"/>
          <w:szCs w:val="18"/>
          <w:color w:val="auto"/>
        </w:rPr>
        <w:t>has served as our President and Chief Executive Officer since September 2019 and as a member of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October 2019. Prior to our IPO, Ms. Davenport has served 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has experience in significant leadership positions, extensive experience in leadership roles in industries relevant to our business, an understanding of finance and financial reporting processes, experience in marketing and sales and experience as an executive with direct operational responsibilities. Age 50.</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Qualifications</w:t>
      </w:r>
      <w:r>
        <w:rPr>
          <w:rFonts w:ascii="Times New Roman" w:cs="Times New Roman" w:eastAsia="Times New Roman" w:hAnsi="Times New Roman"/>
          <w:sz w:val="18"/>
          <w:szCs w:val="18"/>
          <w:color w:val="auto"/>
        </w:rPr>
        <w:t>: Leadership Experience, Financial or Accounting Acumen, Industry Experience, Operational Experience.</w:t>
      </w:r>
    </w:p>
    <w:p>
      <w:pPr>
        <w:spacing w:after="0" w:line="2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ELLIOT H. STEIN, JR. </w:t>
      </w:r>
      <w:r>
        <w:rPr>
          <w:rFonts w:ascii="Times New Roman" w:cs="Times New Roman" w:eastAsia="Times New Roman" w:hAnsi="Times New Roman"/>
          <w:sz w:val="18"/>
          <w:szCs w:val="18"/>
          <w:color w:val="auto"/>
        </w:rPr>
        <w:t>has served as a member of our Board of Directors since October 2019. Mr. Stein has been chairman of Acertas,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Senturion Forecasting, LLC, two privately owned data analytics firms, since 2013. In addition, Mr. Stein has been a director of Midcap Financial Investment Corporation, a publicly traded closed-end, externally managed, non-diversified management investment company, since 2004, and a director of two publicly traded diversified, closed-end management investment companies: Apollo Senior Floating Rate Fund, Inc., since 2011, and Apollo Tactical Income Fund Inc., since 2013. Mr. Stein is also a board member of Cohere Holdings, LLC, a privately owned managed IT services and cybersecurity provider. Previously, Mr. Stein was a managing director of Commonwealth Capital Partners, L.P. He also previously served as a director of various private companies in the media, manufacturing, retail and finance industries. Mr. Stein was chairman of Caribbean International News Corporation when it filed a voluntary petition under the U.S. Bankruptcy Code in September 2013 and of News Distributors of Puerto Rico LLC when it filed a voluntary petition under the U.S. Bankruptcy Code in February 2014. Mr. Stein has experience in significant leadership positions, an extensive understanding of financial and financial reporting processes and experience as a director of other publicly traded companies. Age 73.</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Qualifications</w:t>
      </w:r>
      <w:r>
        <w:rPr>
          <w:rFonts w:ascii="Times New Roman" w:cs="Times New Roman" w:eastAsia="Times New Roman" w:hAnsi="Times New Roman"/>
          <w:sz w:val="18"/>
          <w:szCs w:val="18"/>
          <w:color w:val="auto"/>
        </w:rPr>
        <w:t>: Leadership Experience, Financial or Accounting Acumen, Public Company Experience.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Service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 Terms Expire in 2024</w:t>
      </w:r>
    </w:p>
    <w:p>
      <w:pPr>
        <w:spacing w:after="0" w:line="117"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THOMAS P. ERICKSON </w:t>
      </w:r>
      <w:r>
        <w:rPr>
          <w:rFonts w:ascii="Times New Roman" w:cs="Times New Roman" w:eastAsia="Times New Roman" w:hAnsi="Times New Roman"/>
          <w:sz w:val="18"/>
          <w:szCs w:val="18"/>
          <w:color w:val="auto"/>
        </w:rPr>
        <w:t>has served as a member of our Board of Directors since October 2019. Mr. Erickson has been the managing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Thomas P. Erickson, CPA, LLC, a tax consulting firm, since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May 2016 and is a retired tax partner from KPMG, where he worked from 1980 to September 2015. From September 2015 to May 2016, Mr. Erickson provided tax consulting services to various companies and individuals. Mr. Erickson has over 40 years of public accounting experience and has previously been an instructor of advanced partnership planning, taxable and nontaxable corporate transactions and formations and S corporation planning for KPMG. Mr. Erickson has extensive expertise in tax matters and finance and financial reporting processes. Mr. Erickson is a Certified Public Accountant. Age 68.</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Qualifications</w:t>
      </w:r>
      <w:r>
        <w:rPr>
          <w:rFonts w:ascii="Times New Roman" w:cs="Times New Roman" w:eastAsia="Times New Roman" w:hAnsi="Times New Roman"/>
          <w:sz w:val="18"/>
          <w:szCs w:val="18"/>
          <w:color w:val="auto"/>
        </w:rPr>
        <w:t>: Leadership Experience, Financial or Accounting Acumen.</w:t>
      </w:r>
    </w:p>
    <w:p>
      <w:pPr>
        <w:spacing w:after="0" w:line="22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JENNIFER KUPERMAN </w:t>
      </w:r>
      <w:r>
        <w:rPr>
          <w:rFonts w:ascii="Times New Roman" w:cs="Times New Roman" w:eastAsia="Times New Roman" w:hAnsi="Times New Roman"/>
          <w:sz w:val="18"/>
          <w:szCs w:val="18"/>
          <w:color w:val="auto"/>
        </w:rPr>
        <w:t>has served as a member of our Board of Directors since October 2019. Ms. Kuperman has served as the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Corporate Affairs at Chime Financial, Inc. since September 2022. Prior to Chime, Ms. Kuperman was head of international corporate affairs at Alibaba Group Holding Limited, a multinational conglomerate holding company specializing in eCommerce, retail, internet and technology, from April 2016 to January 2021 and served as vice president, international corporate affairs at Alibaba Group Holding Limited from August 2014 to April 2016. Prior to joining Alibaba Group Holding Limited, Ms. Kuperman was senior vice president of corporate brand and reputation at Visa Inc., a global payments technology company, from April 2013 to August 2014 and chief of staff, office of the chairman and chief executive officer at Visa Inc. from August 2010 to April 2013. Ms. Kuperman also served as head of global corporate communications and citizenship at Visa Inc. from August 2008 to July 2010 and head of employee and client communication at Visa Inc. from August 2004 to June 2008. Ms. Kuperman has served on the board of directors of Post Holdings, Inc. since May 2021 and on the board of Post Holdings Partnering Corporation, a publicly-traded affiliate of Post that is a SPAC formed for the purpose of effecting a partnering transaction with one or more businesses, since May 2021. She has also served on the board of directors to Kyriba Corp., a privately held cloud treasury and finance solutions company, since August 2021. Ms. Kuperman has experience in significant leadership positions and extensive international experience. Age 49.</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Qualifications</w:t>
      </w:r>
      <w:r>
        <w:rPr>
          <w:rFonts w:ascii="Times New Roman" w:cs="Times New Roman" w:eastAsia="Times New Roman" w:hAnsi="Times New Roman"/>
          <w:sz w:val="18"/>
          <w:szCs w:val="18"/>
          <w:color w:val="auto"/>
        </w:rPr>
        <w:t>: Leadership Experience, Financial or Accounting Acumen, Operational Experience, Public Company Experience.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 Terms Expire in 2025</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Robert V. Vitale </w:t>
      </w:r>
      <w:r>
        <w:rPr>
          <w:rFonts w:ascii="Times New Roman" w:cs="Times New Roman" w:eastAsia="Times New Roman" w:hAnsi="Times New Roman"/>
          <w:sz w:val="18"/>
          <w:szCs w:val="18"/>
          <w:color w:val="auto"/>
        </w:rPr>
        <w:t>has served as our Executive Chairman since September 2019. Mr. Vitale has been the President and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 a member of Post’s board of directors, since November 2014 and is a member of the board of directors of 8th Avenue Food &amp; Provisions, Inc., a majority-owned business of Post.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also has been the president and chief investment officer of Post Holdings Partnering Corporation, a publicly-traded affiliate of Post that is a special purpose acquisition company formed for the purpose of effecting a partnering transaction with one or more businesses, since January 2021, and has served on the board of directors of Energizer Holdings, Inc., a publicly traded manufacturer and distributor of primary batteries, portable lights and auto care, appearance, performance, refrigerant and fragrance products, since August 2017. Mr. Vitale has experience in significant leadership positions, an extensive understanding of finance and financial reporting processes, experience in leadership roles in industries relevant to our business, including consumer packaged goods, retail and consumer product manufacturing, experience in mergers and acquisitions, experience as an executive with direct operational responsibilities and experience as an executive and as a director of other publicly traded companies. Age 56.</w:t>
      </w:r>
    </w:p>
    <w:p>
      <w:pPr>
        <w:spacing w:after="0" w:line="190" w:lineRule="exact"/>
        <w:rPr>
          <w:sz w:val="20"/>
          <w:szCs w:val="20"/>
          <w:color w:val="auto"/>
        </w:rPr>
      </w:pPr>
    </w:p>
    <w:p>
      <w:pPr>
        <w:ind w:left="120" w:right="460"/>
        <w:spacing w:after="0" w:line="284" w:lineRule="auto"/>
        <w:rPr>
          <w:sz w:val="20"/>
          <w:szCs w:val="20"/>
          <w:color w:val="auto"/>
        </w:rPr>
      </w:pPr>
      <w:r>
        <w:rPr>
          <w:rFonts w:ascii="Times New Roman" w:cs="Times New Roman" w:eastAsia="Times New Roman" w:hAnsi="Times New Roman"/>
          <w:sz w:val="18"/>
          <w:szCs w:val="18"/>
          <w:i w:val="1"/>
          <w:iCs w:val="1"/>
          <w:color w:val="auto"/>
        </w:rPr>
        <w:t>Director Qualifications</w:t>
      </w:r>
      <w:r>
        <w:rPr>
          <w:rFonts w:ascii="Times New Roman" w:cs="Times New Roman" w:eastAsia="Times New Roman" w:hAnsi="Times New Roman"/>
          <w:sz w:val="18"/>
          <w:szCs w:val="18"/>
          <w:color w:val="auto"/>
        </w:rPr>
        <w:t>: Leadership Experience, Financial or Accounting Acumen, Industry Experience, Operational Experience, Public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CHONDA J. NWAMU </w:t>
      </w:r>
      <w:r>
        <w:rPr>
          <w:rFonts w:ascii="Times New Roman" w:cs="Times New Roman" w:eastAsia="Times New Roman" w:hAnsi="Times New Roman"/>
          <w:sz w:val="18"/>
          <w:szCs w:val="18"/>
          <w:color w:val="auto"/>
        </w:rPr>
        <w:t>has served as a member of our Board of Directors since May 2021. Ms. Nwamu is Senior Vice President,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and Secretary for Ameren Corporation, a public utility holding company, since August 2019, and is a director of its subsidiaries, Ameren Services, Ameren Missouri and Ameren Transmission Company of Illinois. From September 2016 to August 2019, Ms. Nwamu served as Vice President and Deputy General Counsel of Ameren Services. Ms. Nwamu was managing counsel and senior director at Pacific Gas and Electric Company, a California-based public utility, from June 2014 to June 2016 and regulatory counsel there from September 2000 until May 2014. Prior to joining Pacific Gas and Electric, Ms. Nwamu was in private practice at Hoyle, Morris &amp; Kerr LLP where she specialized in complex commercial litigation. Ms. Nwamu has extensive experience in legal, regulatory and compliance matters. Age 51.</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Qualifications</w:t>
      </w:r>
      <w:r>
        <w:rPr>
          <w:rFonts w:ascii="Times New Roman" w:cs="Times New Roman" w:eastAsia="Times New Roman" w:hAnsi="Times New Roman"/>
          <w:sz w:val="18"/>
          <w:szCs w:val="18"/>
          <w:color w:val="auto"/>
        </w:rPr>
        <w:t>: Leadership Experience, Operational Experience, Public Company Experience.</w:t>
      </w:r>
    </w:p>
    <w:p>
      <w:pPr>
        <w:spacing w:after="0" w:line="223" w:lineRule="exact"/>
        <w:rPr>
          <w:sz w:val="20"/>
          <w:szCs w:val="20"/>
          <w:color w:val="auto"/>
        </w:rPr>
      </w:pPr>
    </w:p>
    <w:p>
      <w:pPr>
        <w:jc w:val="center"/>
        <w:ind w:left="5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each of Ms. Davenport and Mr. Stein for election to the Board of Directors at the Annual Meeting.</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ITEM NO. 2)</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selected PricewaterhouseCoopers LLP as our independent registered public accounting firm for the fiscal year ending September 30, 2023, and the Board of Directors has directed that management submit the appointment of PricewaterhouseCoopers LLP as our independent registered public accounting firm for ratification by our stockholders at the annual meeting of stockholders. PricewaterhouseCoopers LLP has served as our independent registered public accounting firm since we were formed in March 2019 and served as the independent registered public accounting firm for the subsidiaries that comprise our business since 2014. A representative of that firm will be present at the annual meeting of stockholders, will have an opportunity to make a statement, if he or she desires, and will be available to respond to appropriate questions.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not required to obtain stockholder ratification of the appointment of PricewaterhouseCoopers LLP as our independent registered public accounting firm. However, we are submitting the appointment of PricewaterhouseCoopers LLP to stockholders for ratification as a matter of good corporate practice. If our stockholders fail to ratify the appointment, the Audit Committee will reconsider whether to retain PricewaterhouseCoopers LLP. Even if the appointment is ratified, the Audit Committee, in its discretion, may direct the appointment of a different independent registered public accounting firm at any time if it determines that such a change would be in our best interests and the best interests of our stockholders.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that we expect to be billed for audit services during the fiscal year ended September 30, 2022 and for other services during that fiscal year, and the fees billed for audit services during the fiscal year ended September 30, 2021 and for other services during that fiscal year.</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2"/>
        </w:trPr>
        <w:tc>
          <w:tcPr>
            <w:tcW w:w="5520" w:type="dxa"/>
            <w:vAlign w:val="bottom"/>
            <w:tcBorders>
              <w:bottom w:val="single" w:sz="8" w:color="ABD8EA"/>
            </w:tcBorders>
          </w:tcPr>
          <w:p>
            <w:pPr>
              <w:spacing w:after="0"/>
              <w:rPr>
                <w:sz w:val="12"/>
                <w:szCs w:val="12"/>
                <w:color w:val="auto"/>
              </w:rPr>
            </w:pPr>
          </w:p>
        </w:tc>
        <w:tc>
          <w:tcPr>
            <w:tcW w:w="500" w:type="dxa"/>
            <w:vAlign w:val="bottom"/>
            <w:tcBorders>
              <w:bottom w:val="single" w:sz="8" w:color="ABD8EA"/>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Borders>
              <w:bottom w:val="single" w:sz="8" w:color="ABD8EA"/>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50"/>
        </w:trPr>
        <w:tc>
          <w:tcPr>
            <w:tcW w:w="5520" w:type="dxa"/>
            <w:vAlign w:val="bottom"/>
            <w:shd w:val="clear" w:color="auto" w:fill="ABD8EA"/>
          </w:tcPr>
          <w:p>
            <w:pPr>
              <w:spacing w:after="0" w:line="25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1420" w:type="dxa"/>
            <w:vAlign w:val="bottom"/>
            <w:gridSpan w:val="2"/>
            <w:shd w:val="clear" w:color="auto" w:fill="ABD8EA"/>
          </w:tcPr>
          <w:p>
            <w:pPr>
              <w:jc w:val="center"/>
              <w:ind w:left="410"/>
              <w:spacing w:after="0"/>
              <w:rPr>
                <w:sz w:val="20"/>
                <w:szCs w:val="20"/>
                <w:color w:val="auto"/>
              </w:rPr>
            </w:pPr>
            <w:r>
              <w:rPr>
                <w:rFonts w:ascii="Times New Roman" w:cs="Times New Roman" w:eastAsia="Times New Roman" w:hAnsi="Times New Roman"/>
                <w:sz w:val="18"/>
                <w:szCs w:val="18"/>
                <w:color w:val="auto"/>
                <w:w w:val="98"/>
              </w:rPr>
              <w:t>$1,464,964</w:t>
            </w:r>
          </w:p>
        </w:tc>
        <w:tc>
          <w:tcPr>
            <w:tcW w:w="500" w:type="dxa"/>
            <w:vAlign w:val="bottom"/>
            <w:shd w:val="clear" w:color="auto" w:fill="ABD8EA"/>
          </w:tcPr>
          <w:p>
            <w:pPr>
              <w:spacing w:after="0"/>
              <w:rPr>
                <w:sz w:val="21"/>
                <w:szCs w:val="21"/>
                <w:color w:val="auto"/>
              </w:rPr>
            </w:pPr>
          </w:p>
        </w:tc>
        <w:tc>
          <w:tcPr>
            <w:tcW w:w="9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8"/>
              </w:rPr>
              <w:t>$1,093,900</w:t>
            </w:r>
          </w:p>
        </w:tc>
      </w:tr>
      <w:tr>
        <w:trPr>
          <w:trHeight w:val="270"/>
        </w:trPr>
        <w:tc>
          <w:tcPr>
            <w:tcW w:w="55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6"/>
                <w:szCs w:val="26"/>
                <w:color w:val="auto"/>
                <w:vertAlign w:val="superscript"/>
              </w:rPr>
              <w:t>(2)</w:t>
            </w:r>
          </w:p>
        </w:tc>
        <w:tc>
          <w:tcPr>
            <w:tcW w:w="500" w:type="dxa"/>
            <w:vAlign w:val="bottom"/>
          </w:tcPr>
          <w:p>
            <w:pPr>
              <w:spacing w:after="0"/>
              <w:rPr>
                <w:sz w:val="23"/>
                <w:szCs w:val="23"/>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520" w:type="dxa"/>
            <w:vAlign w:val="bottom"/>
            <w:shd w:val="clear" w:color="auto" w:fill="ABD8EA"/>
          </w:tcPr>
          <w:p>
            <w:pPr>
              <w:spacing w:after="0" w:line="27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(3)</w:t>
            </w:r>
          </w:p>
        </w:tc>
        <w:tc>
          <w:tcPr>
            <w:tcW w:w="1420" w:type="dxa"/>
            <w:vAlign w:val="bottom"/>
            <w:gridSpan w:val="2"/>
            <w:shd w:val="clear" w:color="auto" w:fill="ABD8EA"/>
          </w:tcPr>
          <w:p>
            <w:pPr>
              <w:jc w:val="center"/>
              <w:ind w:left="410"/>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shd w:val="clear" w:color="auto" w:fill="ABD8EA"/>
          </w:tcPr>
          <w:p>
            <w:pPr>
              <w:spacing w:after="0"/>
              <w:rPr>
                <w:sz w:val="23"/>
                <w:szCs w:val="23"/>
                <w:color w:val="auto"/>
              </w:rPr>
            </w:pPr>
          </w:p>
        </w:tc>
        <w:tc>
          <w:tcPr>
            <w:tcW w:w="9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$40,000</w:t>
            </w:r>
          </w:p>
        </w:tc>
      </w:tr>
      <w:tr>
        <w:trPr>
          <w:trHeight w:val="36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(4)</w:t>
            </w:r>
          </w:p>
        </w:tc>
        <w:tc>
          <w:tcPr>
            <w:tcW w:w="142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6"/>
              </w:rPr>
              <w:t>$6,750</w:t>
            </w:r>
          </w:p>
        </w:tc>
        <w:tc>
          <w:tcPr>
            <w:tcW w:w="5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771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primarily to the audit and reviews of our financial statements, comfort letter consents and reviews of SEC registration statements.</w:t>
      </w:r>
    </w:p>
    <w:p>
      <w:pPr>
        <w:spacing w:after="0" w:line="27"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for assurance and related services performed by PricewaterhouseCoopers LLP that are reasonably related to the performance of the audit or review of our financial statements.</w:t>
      </w: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consulting and compliance services and preparation of tax returns in jurisdictions outside of the United States.</w:t>
      </w:r>
    </w:p>
    <w:p>
      <w:pPr>
        <w:spacing w:after="0" w:line="9" w:lineRule="exact"/>
        <w:rPr>
          <w:rFonts w:ascii="Times New Roman" w:cs="Times New Roman" w:eastAsia="Times New Roman" w:hAnsi="Times New Roman"/>
          <w:sz w:val="18"/>
          <w:szCs w:val="18"/>
          <w:color w:val="auto"/>
        </w:rPr>
      </w:pPr>
    </w:p>
    <w:p>
      <w:pPr>
        <w:ind w:left="540" w:right="140" w:hanging="424"/>
        <w:spacing w:after="0" w:line="26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any fees for services rendered by PricewaterhouseCoopers LLP which are not included in any of the above categories. The other fees consist of licensing fees paid for accounting research software.</w:t>
      </w:r>
    </w:p>
    <w:p>
      <w:pPr>
        <w:spacing w:after="0" w:line="1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regard to the fees listed above, the Audit Committee has considered whether the provision by PricewaterhouseCoopers LLP of services other than audit services is compatible with its ability to maintain its independence. Regardless of the size or nature of the other services, if any, to be provided, it is the Audit Committee’s policy and practice to approve any services not under the heading “Audit Fees” before any such services are undertaken.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a formal policy concerning approval of all services to be provided by PricewaterhouseCoopers LLP, including audit, audit-related, tax and other services. The policy requires that all services PricewaterhouseCoopers LLP may provide to us must be pre-approved by the Audit Committee. The chairman of the Audit Committee has the authority to pre-approve permitted services that require action between regular Audit Committee meetings, provided that the chairman reports any pre-approval decisions to the Audit Committee at the next regular meeting. The Board of Directors approved all services provided by PricewaterhouseCoopers LLP during fiscal year 2022.</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was staffed primarily by full-time, permanent employees of PricewaterhouseCoopers LLP.</w:t>
      </w: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ratification of the appointment of</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PricewaterhouseCoopers LLP as our independent registered public accounting firm.</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320" w:top="455" w:right="5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Management is responsible for our internal controls, financial reporting processes and compliance with laws and regulations and ethical business standards. PricewaterhouseCoopers LLP, our independent registered public accounting firm, is responsible for performing an independent audit of our consolidated financial statements and our internal controls over financial reporting in accordance with the standards of the Public Company Accounting Oversight Board (the “PCAOB”) and issuing a report thereon. Our internal auditors assist the Audit Committee with its responsibility to monitor and oversee the financial reporting process and internal controls. The Audit Committee discusses with our internal auditors and independent registered public accounting firm the overall scopes and plans for their respective audits. The Audit Committee meets, at least quarterly, with the internal auditors and independent registered public accounting firm, and at the Committee’s discretion with and without management present, and discusses the results of their examinations, their evaluations of our internal controls and the overall quality of our financial reporting.</w:t>
      </w:r>
    </w:p>
    <w:p>
      <w:pPr>
        <w:spacing w:after="0" w:line="188"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With respect to our audited financial statements for the fiscal year ended September 30, 2022, management has represented to the Audit Committee that the financial statements were prepared in accordance with United States generally accepted accounting principles (“GAAP”) and the Audit Committee has reviewed and discussed those financial statements with management. The Audit Committee also has discussed with PricewaterhouseCoopers LLP the matters required to be discussed by the applicable requirements of the PCAOB and the Securities Exchange Commission (the “SEC”).</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letter from PricewaterhouseCoopers LLP required by applicable requirements of the PCAOB regarding the independent accountant’s communications with the Audit Committee concerning independence and has discussed the independence of PricewaterhouseCoopers LLP with members of that firm.</w:t>
      </w:r>
    </w:p>
    <w:p>
      <w:pPr>
        <w:spacing w:after="0" w:line="176"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Based on the review and discussions referred to above, the Audit Committee recommended to the Board of Directors that the audited consolidated financial statements for the fiscal year ended September 30, 2022 be included in our Annual Report on Form 10-K filed with the SEC for that year.</w:t>
      </w:r>
    </w:p>
    <w:p>
      <w:pPr>
        <w:spacing w:after="0" w:line="14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Although the Audit Committee has the responsibilities and powers set forth in its charter, it is not the duty of the Audit Committee to plan or conduct audits or to determine that our financial statements are complete and accurate or are in accordance with GAAP. This is the responsibility of management and the independent registered public accounting firm.</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Thomas P. Erickson, </w:t>
      </w:r>
      <w:r>
        <w:rPr>
          <w:rFonts w:ascii="Times New Roman" w:cs="Times New Roman" w:eastAsia="Times New Roman" w:hAnsi="Times New Roman"/>
          <w:sz w:val="18"/>
          <w:szCs w:val="18"/>
          <w:i w:val="1"/>
          <w:iCs w:val="1"/>
          <w:color w:val="auto"/>
        </w:rPr>
        <w:t>Chairman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Chonda J. Nwamu</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&amp; ANALYSIS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Compensation Discussion and Analysis (the “CD&amp;A”) describes our fiscal year 2022 executive compensation structure. This CD&amp;A is intended to be read in conjunction with the tables beginning on page 45, which provide detailed compensation information for our following named executive officers (the “named executive officers” or the “NEOs”):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ABD8EA"/>
            </w:tcBorders>
          </w:tcPr>
          <w:p>
            <w:pPr>
              <w:spacing w:after="0"/>
              <w:rPr>
                <w:sz w:val="16"/>
                <w:szCs w:val="16"/>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0"/>
        </w:trPr>
        <w:tc>
          <w:tcPr>
            <w:tcW w:w="386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00" w:type="dxa"/>
            <w:vAlign w:val="bottom"/>
            <w:tcBorders>
              <w:bottom w:val="single" w:sz="8" w:color="ABD8EA"/>
            </w:tcBorders>
            <w:shd w:val="clear" w:color="auto" w:fill="ABD8EA"/>
          </w:tcPr>
          <w:p>
            <w:pPr>
              <w:spacing w:after="0"/>
              <w:rPr>
                <w:sz w:val="20"/>
                <w:szCs w:val="20"/>
                <w:color w:val="auto"/>
              </w:rPr>
            </w:pPr>
          </w:p>
        </w:tc>
        <w:tc>
          <w:tcPr>
            <w:tcW w:w="706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0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86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00" w:type="dxa"/>
            <w:vAlign w:val="bottom"/>
            <w:tcBorders>
              <w:bottom w:val="single" w:sz="8" w:color="ABD8EA"/>
            </w:tcBorders>
            <w:shd w:val="clear" w:color="auto" w:fill="ABD8EA"/>
          </w:tcPr>
          <w:p>
            <w:pPr>
              <w:spacing w:after="0"/>
              <w:rPr>
                <w:sz w:val="21"/>
                <w:szCs w:val="21"/>
                <w:color w:val="auto"/>
              </w:rPr>
            </w:pPr>
          </w:p>
        </w:tc>
        <w:tc>
          <w:tcPr>
            <w:tcW w:w="706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0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Chief Growth Officer — Premier Nutrition Company</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86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00" w:type="dxa"/>
            <w:vAlign w:val="bottom"/>
            <w:tcBorders>
              <w:bottom w:val="single" w:sz="8" w:color="ABD8EA"/>
            </w:tcBorders>
            <w:shd w:val="clear" w:color="auto" w:fill="ABD8EA"/>
          </w:tcPr>
          <w:p>
            <w:pPr>
              <w:spacing w:after="0"/>
              <w:rPr>
                <w:sz w:val="21"/>
                <w:szCs w:val="21"/>
                <w:color w:val="auto"/>
              </w:rPr>
            </w:pPr>
          </w:p>
        </w:tc>
        <w:tc>
          <w:tcPr>
            <w:tcW w:w="706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Senior Vice President and General Counsel, Secretary</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0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Operations — Premier Nutrition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right="52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V. Vitale, our Executive Chairman of the Board of Directors, and Darcy Horn Davenport, our President and Chief Executive Officer, served as co-principal executive officers of the Company in fiscal year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Compensation Opportunity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executive compensation structure consists of three primary components: base salary, annual bonus (our Senior Management Bonus Program) and long-term incentives (equity awards). A fourth element of our compensation structure consists of traditional benefits programs (e.g., limited perquisites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140335</wp:posOffset>
            </wp:positionV>
            <wp:extent cx="4757420" cy="10801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5742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Company Highlights for Fiscal Year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stockholder value-driven organization and our compensation philosophy is designed to be aligned with stockholder interests.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Management’s objective is to maximize total stockholder return, and compensation decisions are guided by the principle of creating stockholder value.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view the Company’s performance in two primary ways:</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to stockholders over time, both on an absolute basis and relative to similar companies.</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other RTD beverages and powders.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continue to closely monitor the impact of the COVID-19 pandemic on our businesses. Our primary categories returned to growth rates in line with their pre-pandemic levels during the fourth quarter of fiscal 2020 and have remained strong in fiscal 2022. We have experienced inflationary headwinds and we continue to mitigate these impacts through sales price increases and cost saving measures. We also have experienced some challenges resulting from the COVID-19 pandemic, including labor shortages across our third party contract manufacturer network, input and freight inflation and other supply chain disruptions. Lower than anticipated production and delays in capacity expansion across our broader third party contract manufacturer network in fiscal 2022 resulted in low shake inventory volumes and we placed certain products on allocation.</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Despite these challenges, during fiscal year 2022, we achieved a number of strategic and financial accomplishments that we believe will benefit the Company and our stockholders alike in the coming years:</w:t>
      </w:r>
    </w:p>
    <w:p>
      <w:pPr>
        <w:spacing w:after="0" w:line="67" w:lineRule="exact"/>
        <w:rPr>
          <w:sz w:val="20"/>
          <w:szCs w:val="20"/>
          <w:color w:val="auto"/>
        </w:rPr>
      </w:pPr>
    </w:p>
    <w:p>
      <w:pPr>
        <w:ind w:left="1080" w:right="1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was another record year for us in terms of net sales and Adjusted EBITDA. Net sales increased 10.0% to just over $1.37 billion and Adjusted EBITDA grew 16.0% to $271.4 million.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Protein net sales grew of 7.3% and Dymatize had another strong year with net sales growth of 34.6%.</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$421.8 million, or 30.8% of net sales, an increase of 9.2%, or $35.6 million, compared to $386.2 million, or 31.0% of net sales, in fiscal year 2021.</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89" w:lineRule="auto"/>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2022, we spun off from Post Holdings as previously announced, with Post distributing a significant portion of its interest in us to Post’s shareholders. As of November 25, 2022, Post no longer has any ownership interest in us. With the completion of the spin off, among other benefits, we have increased strategic flexibility to manage our capital structure and should benefit from more liquidity in our shares.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Team Drives Performance and Creates Stockholder Value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a stockholder value-driven organization and our compensation philosophy is designed to be aligned with stockholder interests. Management’s objective is to maximize total stockholder return, and compensation decisions are guided by the principle of creating stockholder value. Corporate Governance Highlights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What We Do (Best Practice)</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BD8EA"/>
            </w:tcBorders>
          </w:tcPr>
          <w:p>
            <w:pPr>
              <w:spacing w:after="0"/>
              <w:rPr>
                <w:sz w:val="15"/>
                <w:szCs w:val="15"/>
                <w:color w:val="auto"/>
              </w:rPr>
            </w:pPr>
          </w:p>
        </w:tc>
        <w:tc>
          <w:tcPr>
            <w:tcW w:w="53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What We Don’t Allow</w:t>
            </w:r>
          </w:p>
        </w:tc>
      </w:tr>
      <w:tr>
        <w:trPr>
          <w:trHeight w:val="20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200" w:type="dxa"/>
            <w:vAlign w:val="bottom"/>
            <w:shd w:val="clear" w:color="auto" w:fill="ABD8EA"/>
          </w:tcPr>
          <w:p>
            <w:pPr>
              <w:ind w:left="200"/>
              <w:spacing w:after="0" w:line="205" w:lineRule="exact"/>
              <w:rPr>
                <w:sz w:val="20"/>
                <w:szCs w:val="20"/>
                <w:color w:val="auto"/>
              </w:rPr>
            </w:pPr>
            <w:r>
              <w:rPr>
                <w:rFonts w:ascii="Times New Roman" w:cs="Times New Roman" w:eastAsia="Times New Roman" w:hAnsi="Times New Roman"/>
                <w:sz w:val="18"/>
                <w:szCs w:val="18"/>
                <w:color w:val="auto"/>
              </w:rPr>
              <w:t>Enforce strict insider trading policies — have an anti-hedging and</w:t>
            </w:r>
          </w:p>
        </w:tc>
        <w:tc>
          <w:tcPr>
            <w:tcW w:w="100" w:type="dxa"/>
            <w:vAlign w:val="bottom"/>
            <w:shd w:val="clear" w:color="auto" w:fill="ABD8EA"/>
          </w:tcPr>
          <w:p>
            <w:pPr>
              <w:spacing w:after="0"/>
              <w:rPr>
                <w:sz w:val="17"/>
                <w:szCs w:val="17"/>
                <w:color w:val="auto"/>
              </w:rPr>
            </w:pPr>
          </w:p>
        </w:tc>
        <w:tc>
          <w:tcPr>
            <w:tcW w:w="220" w:type="dxa"/>
            <w:vAlign w:val="bottom"/>
            <w:shd w:val="clear" w:color="auto" w:fill="ABD8EA"/>
          </w:tcPr>
          <w:p>
            <w:pPr>
              <w:spacing w:after="0"/>
              <w:rPr>
                <w:sz w:val="17"/>
                <w:szCs w:val="17"/>
                <w:color w:val="auto"/>
              </w:rPr>
            </w:pPr>
          </w:p>
        </w:tc>
        <w:tc>
          <w:tcPr>
            <w:tcW w:w="5360" w:type="dxa"/>
            <w:vAlign w:val="bottom"/>
            <w:shd w:val="clear" w:color="auto" w:fill="ABD8EA"/>
          </w:tcPr>
          <w:p>
            <w:pPr>
              <w:spacing w:after="0" w:line="205" w:lineRule="exact"/>
              <w:rPr>
                <w:sz w:val="20"/>
                <w:szCs w:val="20"/>
                <w:color w:val="auto"/>
              </w:rPr>
            </w:pPr>
            <w:r>
              <w:rPr>
                <w:rFonts w:ascii="Times New Roman" w:cs="Times New Roman" w:eastAsia="Times New Roman" w:hAnsi="Times New Roman"/>
                <w:sz w:val="18"/>
                <w:szCs w:val="18"/>
                <w:color w:val="auto"/>
              </w:rPr>
              <w:t>X   No hedging or pledging of Company stock by executives or directors</w:t>
            </w:r>
          </w:p>
        </w:tc>
      </w:tr>
      <w:tr>
        <w:trPr>
          <w:trHeight w:val="216"/>
        </w:trPr>
        <w:tc>
          <w:tcPr>
            <w:tcW w:w="140" w:type="dxa"/>
            <w:vAlign w:val="bottom"/>
            <w:shd w:val="clear" w:color="auto" w:fill="ABD8EA"/>
          </w:tcPr>
          <w:p>
            <w:pPr>
              <w:spacing w:after="0"/>
              <w:rPr>
                <w:sz w:val="18"/>
                <w:szCs w:val="18"/>
                <w:color w:val="auto"/>
              </w:rPr>
            </w:pPr>
          </w:p>
        </w:tc>
        <w:tc>
          <w:tcPr>
            <w:tcW w:w="520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anti-pledging policy and enforce blackout trading periods for</w:t>
            </w:r>
          </w:p>
        </w:tc>
        <w:tc>
          <w:tcPr>
            <w:tcW w:w="100" w:type="dxa"/>
            <w:vAlign w:val="bottom"/>
            <w:shd w:val="clear" w:color="auto" w:fill="ABD8EA"/>
          </w:tcPr>
          <w:p>
            <w:pPr>
              <w:spacing w:after="0"/>
              <w:rPr>
                <w:sz w:val="18"/>
                <w:szCs w:val="18"/>
                <w:color w:val="auto"/>
              </w:rPr>
            </w:pPr>
          </w:p>
        </w:tc>
        <w:tc>
          <w:tcPr>
            <w:tcW w:w="220" w:type="dxa"/>
            <w:vAlign w:val="bottom"/>
            <w:shd w:val="clear" w:color="auto" w:fill="ABD8EA"/>
          </w:tcPr>
          <w:p>
            <w:pPr>
              <w:spacing w:after="0"/>
              <w:rPr>
                <w:sz w:val="18"/>
                <w:szCs w:val="18"/>
                <w:color w:val="auto"/>
              </w:rPr>
            </w:pPr>
          </w:p>
        </w:tc>
        <w:tc>
          <w:tcPr>
            <w:tcW w:w="5360" w:type="dxa"/>
            <w:vAlign w:val="bottom"/>
            <w:shd w:val="clear" w:color="auto" w:fill="ABD8EA"/>
          </w:tcPr>
          <w:p>
            <w:pPr>
              <w:spacing w:after="0"/>
              <w:rPr>
                <w:sz w:val="18"/>
                <w:szCs w:val="18"/>
                <w:color w:val="auto"/>
              </w:rPr>
            </w:pP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20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executives and directors</w:t>
            </w:r>
          </w:p>
        </w:tc>
        <w:tc>
          <w:tcPr>
            <w:tcW w:w="10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spacing w:after="0"/>
              <w:rPr>
                <w:sz w:val="20"/>
                <w:szCs w:val="20"/>
                <w:color w:val="auto"/>
              </w:rPr>
            </w:pP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Maintain a clawback policy for performance-based compensation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single-trigger or modified single-trigger change-in-control</w:t>
            </w:r>
          </w:p>
        </w:tc>
      </w:tr>
      <w:tr>
        <w:trPr>
          <w:trHeight w:val="234"/>
        </w:trPr>
        <w:tc>
          <w:tcPr>
            <w:tcW w:w="1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arrangements</w:t>
            </w:r>
          </w:p>
        </w:tc>
      </w:tr>
      <w:tr>
        <w:trPr>
          <w:trHeight w:val="27"/>
        </w:trPr>
        <w:tc>
          <w:tcPr>
            <w:tcW w:w="1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20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Set meaningful stock ownership guidelines for executives and</w:t>
            </w:r>
          </w:p>
        </w:tc>
        <w:tc>
          <w:tcPr>
            <w:tcW w:w="100" w:type="dxa"/>
            <w:vAlign w:val="bottom"/>
            <w:shd w:val="clear" w:color="auto" w:fill="ABD8EA"/>
          </w:tcPr>
          <w:p>
            <w:pPr>
              <w:spacing w:after="0"/>
              <w:rPr>
                <w:sz w:val="19"/>
                <w:szCs w:val="19"/>
                <w:color w:val="auto"/>
              </w:rPr>
            </w:pPr>
          </w:p>
        </w:tc>
        <w:tc>
          <w:tcPr>
            <w:tcW w:w="220" w:type="dxa"/>
            <w:vAlign w:val="bottom"/>
            <w:shd w:val="clear" w:color="auto" w:fill="ABD8EA"/>
          </w:tcPr>
          <w:p>
            <w:pPr>
              <w:spacing w:after="0"/>
              <w:rPr>
                <w:sz w:val="19"/>
                <w:szCs w:val="19"/>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change-in-control severance multiple in excess of three times</w:t>
            </w: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20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0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ind w:left="360"/>
              <w:spacing w:after="0"/>
              <w:rPr>
                <w:sz w:val="20"/>
                <w:szCs w:val="20"/>
                <w:color w:val="auto"/>
              </w:rPr>
            </w:pPr>
            <w:r>
              <w:rPr>
                <w:rFonts w:ascii="Times New Roman" w:cs="Times New Roman" w:eastAsia="Times New Roman" w:hAnsi="Times New Roman"/>
                <w:sz w:val="18"/>
                <w:szCs w:val="18"/>
                <w:color w:val="auto"/>
              </w:rPr>
              <w:t>salary and target bonus</w:t>
            </w: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Disclose performance goals and performance results for our Senior</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excise tax gross-ups upon a change in control</w:t>
            </w:r>
          </w:p>
        </w:tc>
      </w:tr>
      <w:tr>
        <w:trPr>
          <w:trHeight w:val="234"/>
        </w:trPr>
        <w:tc>
          <w:tcPr>
            <w:tcW w:w="140" w:type="dxa"/>
            <w:vAlign w:val="bottom"/>
          </w:tcPr>
          <w:p>
            <w:pPr>
              <w:spacing w:after="0"/>
              <w:rPr>
                <w:sz w:val="20"/>
                <w:szCs w:val="20"/>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Bonus Program</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20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Set a maximum individual payout limit on our Senior Management</w:t>
            </w:r>
          </w:p>
        </w:tc>
        <w:tc>
          <w:tcPr>
            <w:tcW w:w="100" w:type="dxa"/>
            <w:vAlign w:val="bottom"/>
            <w:shd w:val="clear" w:color="auto" w:fill="ABD8EA"/>
          </w:tcPr>
          <w:p>
            <w:pPr>
              <w:spacing w:after="0"/>
              <w:rPr>
                <w:sz w:val="19"/>
                <w:szCs w:val="19"/>
                <w:color w:val="auto"/>
              </w:rPr>
            </w:pPr>
          </w:p>
        </w:tc>
        <w:tc>
          <w:tcPr>
            <w:tcW w:w="220" w:type="dxa"/>
            <w:vAlign w:val="bottom"/>
            <w:shd w:val="clear" w:color="auto" w:fill="ABD8EA"/>
          </w:tcPr>
          <w:p>
            <w:pPr>
              <w:spacing w:after="0"/>
              <w:rPr>
                <w:sz w:val="19"/>
                <w:szCs w:val="19"/>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re-pricing or cash buyout of underwater stock options or stock</w:t>
            </w: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20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Bonus Program</w:t>
            </w:r>
          </w:p>
        </w:tc>
        <w:tc>
          <w:tcPr>
            <w:tcW w:w="10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ind w:left="360"/>
              <w:spacing w:after="0"/>
              <w:rPr>
                <w:sz w:val="20"/>
                <w:szCs w:val="20"/>
                <w:color w:val="auto"/>
              </w:rPr>
            </w:pPr>
            <w:r>
              <w:rPr>
                <w:rFonts w:ascii="Times New Roman" w:cs="Times New Roman" w:eastAsia="Times New Roman" w:hAnsi="Times New Roman"/>
                <w:sz w:val="18"/>
                <w:szCs w:val="18"/>
                <w:color w:val="auto"/>
              </w:rPr>
              <w:t>appreciation rights (“SARs”) allowed</w:t>
            </w:r>
          </w:p>
        </w:tc>
      </w:tr>
      <w:tr>
        <w:trPr>
          <w:trHeight w:val="277"/>
        </w:trPr>
        <w:tc>
          <w:tcPr>
            <w:tcW w:w="140" w:type="dxa"/>
            <w:vAlign w:val="bottom"/>
            <w:tcBorders>
              <w:bottom w:val="single" w:sz="8" w:color="ABD8EA"/>
            </w:tcBorders>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200" w:type="dxa"/>
            <w:vAlign w:val="bottom"/>
            <w:tcBorders>
              <w:bottom w:val="single" w:sz="8" w:color="ABD8EA"/>
            </w:tcBorders>
          </w:tcPr>
          <w:p>
            <w:pPr>
              <w:ind w:left="200"/>
              <w:spacing w:after="0"/>
              <w:rPr>
                <w:sz w:val="20"/>
                <w:szCs w:val="20"/>
                <w:color w:val="auto"/>
              </w:rPr>
            </w:pPr>
            <w:r>
              <w:rPr>
                <w:rFonts w:ascii="Times New Roman" w:cs="Times New Roman" w:eastAsia="Times New Roman" w:hAnsi="Times New Roman"/>
                <w:sz w:val="18"/>
                <w:szCs w:val="18"/>
                <w:color w:val="auto"/>
              </w:rPr>
              <w:t>Limited perquisites and other benefits</w:t>
            </w:r>
          </w:p>
        </w:tc>
        <w:tc>
          <w:tcPr>
            <w:tcW w:w="100" w:type="dxa"/>
            <w:vAlign w:val="bottom"/>
            <w:tcBorders>
              <w:bottom w:val="single" w:sz="8" w:color="ABD8EA"/>
            </w:tcBorders>
          </w:tcPr>
          <w:p>
            <w:pPr>
              <w:spacing w:after="0"/>
              <w:rPr>
                <w:sz w:val="24"/>
                <w:szCs w:val="24"/>
                <w:color w:val="auto"/>
              </w:rPr>
            </w:pPr>
          </w:p>
        </w:tc>
        <w:tc>
          <w:tcPr>
            <w:tcW w:w="220" w:type="dxa"/>
            <w:vAlign w:val="bottom"/>
            <w:tcBorders>
              <w:bottom w:val="single" w:sz="8" w:color="ABD8EA"/>
            </w:tcBorders>
          </w:tcPr>
          <w:p>
            <w:pPr>
              <w:spacing w:after="0"/>
              <w:rPr>
                <w:sz w:val="24"/>
                <w:szCs w:val="24"/>
                <w:color w:val="auto"/>
              </w:rPr>
            </w:pPr>
          </w:p>
        </w:tc>
        <w:tc>
          <w:tcPr>
            <w:tcW w:w="5360" w:type="dxa"/>
            <w:vAlign w:val="bottom"/>
            <w:tcBorders>
              <w:bottom w:val="single" w:sz="8" w:color="ABD8EA"/>
            </w:tcBorders>
          </w:tcPr>
          <w:p>
            <w:pPr>
              <w:spacing w:after="0"/>
              <w:rPr>
                <w:sz w:val="20"/>
                <w:szCs w:val="20"/>
                <w:color w:val="auto"/>
              </w:rPr>
            </w:pPr>
            <w:r>
              <w:rPr>
                <w:rFonts w:ascii="Times New Roman" w:cs="Times New Roman" w:eastAsia="Times New Roman" w:hAnsi="Times New Roman"/>
                <w:sz w:val="18"/>
                <w:szCs w:val="18"/>
                <w:color w:val="auto"/>
              </w:rPr>
              <w:t>X   No enhanced retirement formulas</w:t>
            </w:r>
          </w:p>
        </w:tc>
      </w:tr>
      <w:tr>
        <w:trPr>
          <w:trHeight w:val="198"/>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200" w:type="dxa"/>
            <w:vAlign w:val="bottom"/>
            <w:shd w:val="clear" w:color="auto" w:fill="ABD8EA"/>
          </w:tcPr>
          <w:p>
            <w:pPr>
              <w:ind w:left="200"/>
              <w:spacing w:after="0" w:line="198" w:lineRule="exact"/>
              <w:rPr>
                <w:sz w:val="20"/>
                <w:szCs w:val="20"/>
                <w:color w:val="auto"/>
              </w:rPr>
            </w:pPr>
            <w:r>
              <w:rPr>
                <w:rFonts w:ascii="Times New Roman" w:cs="Times New Roman" w:eastAsia="Times New Roman" w:hAnsi="Times New Roman"/>
                <w:sz w:val="18"/>
                <w:szCs w:val="18"/>
                <w:color w:val="auto"/>
              </w:rPr>
              <w:t>Incorporate general severance and change-in-control provisions in</w:t>
            </w:r>
          </w:p>
        </w:tc>
        <w:tc>
          <w:tcPr>
            <w:tcW w:w="100" w:type="dxa"/>
            <w:vAlign w:val="bottom"/>
            <w:shd w:val="clear" w:color="auto" w:fill="ABD8EA"/>
          </w:tcPr>
          <w:p>
            <w:pPr>
              <w:spacing w:after="0"/>
              <w:rPr>
                <w:sz w:val="17"/>
                <w:szCs w:val="17"/>
                <w:color w:val="auto"/>
              </w:rPr>
            </w:pPr>
          </w:p>
        </w:tc>
        <w:tc>
          <w:tcPr>
            <w:tcW w:w="220" w:type="dxa"/>
            <w:vAlign w:val="bottom"/>
            <w:shd w:val="clear" w:color="auto" w:fill="ABD8EA"/>
          </w:tcPr>
          <w:p>
            <w:pPr>
              <w:spacing w:after="0"/>
              <w:rPr>
                <w:sz w:val="17"/>
                <w:szCs w:val="17"/>
                <w:color w:val="auto"/>
              </w:rPr>
            </w:pPr>
          </w:p>
        </w:tc>
        <w:tc>
          <w:tcPr>
            <w:tcW w:w="5360" w:type="dxa"/>
            <w:vAlign w:val="bottom"/>
            <w:shd w:val="clear" w:color="auto" w:fill="ABD8EA"/>
          </w:tcPr>
          <w:p>
            <w:pPr>
              <w:spacing w:after="0" w:line="198" w:lineRule="exact"/>
              <w:rPr>
                <w:sz w:val="20"/>
                <w:szCs w:val="20"/>
                <w:color w:val="auto"/>
              </w:rPr>
            </w:pPr>
            <w:r>
              <w:rPr>
                <w:rFonts w:ascii="Times New Roman" w:cs="Times New Roman" w:eastAsia="Times New Roman" w:hAnsi="Times New Roman"/>
                <w:sz w:val="18"/>
                <w:szCs w:val="18"/>
                <w:color w:val="auto"/>
              </w:rPr>
              <w:t>X   No guaranteed compensation either annually or multi-year</w:t>
            </w:r>
          </w:p>
        </w:tc>
      </w:tr>
      <w:tr>
        <w:trPr>
          <w:trHeight w:val="216"/>
        </w:trPr>
        <w:tc>
          <w:tcPr>
            <w:tcW w:w="140" w:type="dxa"/>
            <w:vAlign w:val="bottom"/>
            <w:shd w:val="clear" w:color="auto" w:fill="ABD8EA"/>
          </w:tcPr>
          <w:p>
            <w:pPr>
              <w:spacing w:after="0"/>
              <w:rPr>
                <w:sz w:val="18"/>
                <w:szCs w:val="18"/>
                <w:color w:val="auto"/>
              </w:rPr>
            </w:pPr>
          </w:p>
        </w:tc>
        <w:tc>
          <w:tcPr>
            <w:tcW w:w="520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Separation and Change in Control Agreements with our executives</w:t>
            </w:r>
          </w:p>
        </w:tc>
        <w:tc>
          <w:tcPr>
            <w:tcW w:w="100" w:type="dxa"/>
            <w:vAlign w:val="bottom"/>
            <w:shd w:val="clear" w:color="auto" w:fill="ABD8EA"/>
          </w:tcPr>
          <w:p>
            <w:pPr>
              <w:spacing w:after="0"/>
              <w:rPr>
                <w:sz w:val="18"/>
                <w:szCs w:val="18"/>
                <w:color w:val="auto"/>
              </w:rPr>
            </w:pPr>
          </w:p>
        </w:tc>
        <w:tc>
          <w:tcPr>
            <w:tcW w:w="220" w:type="dxa"/>
            <w:vAlign w:val="bottom"/>
            <w:shd w:val="clear" w:color="auto" w:fill="ABD8EA"/>
          </w:tcPr>
          <w:p>
            <w:pPr>
              <w:spacing w:after="0"/>
              <w:rPr>
                <w:sz w:val="18"/>
                <w:szCs w:val="18"/>
                <w:color w:val="auto"/>
              </w:rPr>
            </w:pPr>
          </w:p>
        </w:tc>
        <w:tc>
          <w:tcPr>
            <w:tcW w:w="5360" w:type="dxa"/>
            <w:vAlign w:val="bottom"/>
            <w:shd w:val="clear" w:color="auto" w:fill="ABD8EA"/>
          </w:tcPr>
          <w:p>
            <w:pPr>
              <w:spacing w:after="0"/>
              <w:rPr>
                <w:sz w:val="18"/>
                <w:szCs w:val="18"/>
                <w:color w:val="auto"/>
              </w:rPr>
            </w:pPr>
          </w:p>
        </w:tc>
      </w:tr>
      <w:tr>
        <w:trPr>
          <w:trHeight w:val="216"/>
        </w:trPr>
        <w:tc>
          <w:tcPr>
            <w:tcW w:w="140" w:type="dxa"/>
            <w:vAlign w:val="bottom"/>
            <w:shd w:val="clear" w:color="auto" w:fill="ABD8EA"/>
          </w:tcPr>
          <w:p>
            <w:pPr>
              <w:spacing w:after="0"/>
              <w:rPr>
                <w:sz w:val="18"/>
                <w:szCs w:val="18"/>
                <w:color w:val="auto"/>
              </w:rPr>
            </w:pPr>
          </w:p>
        </w:tc>
        <w:tc>
          <w:tcPr>
            <w:tcW w:w="520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that are consistent with market practice, including double-trigger</w:t>
            </w:r>
          </w:p>
        </w:tc>
        <w:tc>
          <w:tcPr>
            <w:tcW w:w="100" w:type="dxa"/>
            <w:vAlign w:val="bottom"/>
            <w:shd w:val="clear" w:color="auto" w:fill="ABD8EA"/>
          </w:tcPr>
          <w:p>
            <w:pPr>
              <w:spacing w:after="0"/>
              <w:rPr>
                <w:sz w:val="18"/>
                <w:szCs w:val="18"/>
                <w:color w:val="auto"/>
              </w:rPr>
            </w:pPr>
          </w:p>
        </w:tc>
        <w:tc>
          <w:tcPr>
            <w:tcW w:w="220" w:type="dxa"/>
            <w:vAlign w:val="bottom"/>
            <w:shd w:val="clear" w:color="auto" w:fill="ABD8EA"/>
          </w:tcPr>
          <w:p>
            <w:pPr>
              <w:spacing w:after="0"/>
              <w:rPr>
                <w:sz w:val="18"/>
                <w:szCs w:val="18"/>
                <w:color w:val="auto"/>
              </w:rPr>
            </w:pPr>
          </w:p>
        </w:tc>
        <w:tc>
          <w:tcPr>
            <w:tcW w:w="5360" w:type="dxa"/>
            <w:vAlign w:val="bottom"/>
            <w:shd w:val="clear" w:color="auto" w:fill="ABD8EA"/>
          </w:tcPr>
          <w:p>
            <w:pPr>
              <w:spacing w:after="0"/>
              <w:rPr>
                <w:sz w:val="18"/>
                <w:szCs w:val="18"/>
                <w:color w:val="auto"/>
              </w:rPr>
            </w:pP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20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requirements for change-in-control protection</w:t>
            </w:r>
          </w:p>
        </w:tc>
        <w:tc>
          <w:tcPr>
            <w:tcW w:w="10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spacing w:after="0"/>
              <w:rPr>
                <w:sz w:val="20"/>
                <w:szCs w:val="20"/>
                <w:color w:val="auto"/>
              </w:rPr>
            </w:pP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 an independent compensation consultant reporting directly to</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market timing with granting of equity awards</w:t>
            </w:r>
          </w:p>
        </w:tc>
      </w:tr>
      <w:tr>
        <w:trPr>
          <w:trHeight w:val="234"/>
        </w:trPr>
        <w:tc>
          <w:tcPr>
            <w:tcW w:w="140" w:type="dxa"/>
            <w:vAlign w:val="bottom"/>
          </w:tcPr>
          <w:p>
            <w:pPr>
              <w:spacing w:after="0"/>
              <w:rPr>
                <w:sz w:val="20"/>
                <w:szCs w:val="20"/>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Committee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53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programs are intended to attract and retain executive officers and to align the interests of our executive officers and our stockholders. The Committee’s objectives for our programs include, but are not limited to, the following:</w:t>
      </w:r>
    </w:p>
    <w:p>
      <w:pPr>
        <w:spacing w:after="0" w:line="67" w:lineRule="exact"/>
        <w:rPr>
          <w:sz w:val="20"/>
          <w:szCs w:val="20"/>
          <w:color w:val="auto"/>
        </w:rPr>
      </w:pPr>
    </w:p>
    <w:p>
      <w:pPr>
        <w:ind w:left="1080" w:right="4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industry standards, offering competitive total compensation opportunities and balancing the need for talent with reasonable compensation expense;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stockholder value by focusing management on financial metrics that drive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at-risk, incentive-based compensation versus fixed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motivating and retaining executive talent willing to commit to long-term stockholder value creation;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executive decision-making with business strategy and discouraging excessive risk taking.</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Committee determines the type and amount of compensation opportunity for our officers based on a thorough review of a variety of factors, including competitive market data, the officer’s current responsibilities and value to the Company, future leadership potential and individual/corporate/business performance.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executive compensation structure strikes a balance of incentive opportunities based on:</w:t>
      </w:r>
    </w:p>
    <w:p>
      <w:pPr>
        <w:spacing w:after="0" w:line="131" w:lineRule="exact"/>
        <w:rPr>
          <w:sz w:val="20"/>
          <w:szCs w:val="20"/>
          <w:color w:val="auto"/>
        </w:rPr>
      </w:pPr>
    </w:p>
    <w:p>
      <w:pPr>
        <w:ind w:left="1080" w:right="4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metrics in the Senior Management Bonus Program that directly impact our stock price and enhance longer-term stockholder value;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performance through restricted stock units (RSUs) and performance restricted stock units (PRSUs) to focus our executive team on delivering superior long-term stockholder value.</w:t>
      </w:r>
    </w:p>
    <w:p>
      <w:pPr>
        <w:spacing w:after="0" w:line="162"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elements of our executive pay programs and each element’s relationship with our ongoing annual executive compensation philosophy for NEOs:</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5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30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7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152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7"/>
        </w:trPr>
        <w:tc>
          <w:tcPr>
            <w:tcW w:w="208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2780" w:type="dxa"/>
            <w:vAlign w:val="bottom"/>
            <w:vMerge w:val="continue"/>
          </w:tcPr>
          <w:p>
            <w:pPr>
              <w:spacing w:after="0"/>
              <w:rPr>
                <w:sz w:val="16"/>
                <w:szCs w:val="16"/>
                <w:color w:val="auto"/>
              </w:rPr>
            </w:pPr>
          </w:p>
        </w:tc>
        <w:tc>
          <w:tcPr>
            <w:tcW w:w="15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(Senior Management Bonus Program)</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Attracts and retains executives through market-based pay</w:t>
      </w:r>
    </w:p>
    <w:p>
      <w:pPr>
        <w:spacing w:after="0" w:line="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Encourages achievement of financial performance metrics that drive short-term results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Compensates executives fairly and</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Fixed</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competitively for their roles</w:t>
            </w:r>
          </w:p>
        </w:tc>
        <w:tc>
          <w:tcPr>
            <w:tcW w:w="1320" w:type="dxa"/>
            <w:vAlign w:val="bottom"/>
          </w:tcPr>
          <w:p>
            <w:pPr>
              <w:spacing w:after="0"/>
              <w:rPr>
                <w:sz w:val="20"/>
                <w:szCs w:val="20"/>
                <w:color w:val="auto"/>
              </w:rPr>
            </w:pPr>
          </w:p>
        </w:tc>
      </w:tr>
      <w:tr>
        <w:trPr>
          <w:trHeight w:val="25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on achievement of predefined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business financial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objectives</w:t>
            </w: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-719455</wp:posOffset>
            </wp:positionV>
            <wp:extent cx="483489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34890" cy="29146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3">
            <w:col w:w="3020" w:space="720"/>
            <w:col w:w="2800" w:space="280"/>
            <w:col w:w="43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tc>
        <w:tc>
          <w:tcPr>
            <w:tcW w:w="29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Align executives’ long-term</w:t>
            </w:r>
          </w:p>
        </w:tc>
        <w:tc>
          <w:tcPr>
            <w:tcW w:w="3140" w:type="dxa"/>
            <w:vAlign w:val="bottom"/>
            <w:shd w:val="clear" w:color="auto" w:fill="ABD8EA"/>
          </w:tcPr>
          <w:p>
            <w:pPr>
              <w:ind w:left="320"/>
              <w:spacing w:after="0"/>
              <w:rPr>
                <w:sz w:val="20"/>
                <w:szCs w:val="20"/>
                <w:color w:val="auto"/>
              </w:rPr>
            </w:pPr>
            <w:r>
              <w:rPr>
                <w:rFonts w:ascii="Times New Roman" w:cs="Times New Roman" w:eastAsia="Times New Roman" w:hAnsi="Times New Roman"/>
                <w:sz w:val="18"/>
                <w:szCs w:val="18"/>
                <w:color w:val="auto"/>
              </w:rPr>
              <w:t>Value to the executive is based on</w:t>
            </w:r>
          </w:p>
        </w:tc>
        <w:tc>
          <w:tcPr>
            <w:tcW w:w="1500" w:type="dxa"/>
            <w:vAlign w:val="bottom"/>
            <w:shd w:val="clear" w:color="auto" w:fill="ABD8EA"/>
          </w:tcPr>
          <w:p>
            <w:pPr>
              <w:jc w:val="center"/>
              <w:ind w:left="70"/>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(“LTI”)</w:t>
            </w:r>
          </w:p>
        </w:tc>
        <w:tc>
          <w:tcPr>
            <w:tcW w:w="29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compensation interests with</w:t>
            </w:r>
          </w:p>
        </w:tc>
        <w:tc>
          <w:tcPr>
            <w:tcW w:w="3140" w:type="dxa"/>
            <w:vAlign w:val="bottom"/>
            <w:shd w:val="clear" w:color="auto" w:fill="ABD8EA"/>
          </w:tcPr>
          <w:p>
            <w:pPr>
              <w:ind w:left="320"/>
              <w:spacing w:after="0"/>
              <w:rPr>
                <w:sz w:val="20"/>
                <w:szCs w:val="20"/>
                <w:color w:val="auto"/>
              </w:rPr>
            </w:pPr>
            <w:r>
              <w:rPr>
                <w:rFonts w:ascii="Times New Roman" w:cs="Times New Roman" w:eastAsia="Times New Roman" w:hAnsi="Times New Roman"/>
                <w:sz w:val="18"/>
                <w:szCs w:val="18"/>
                <w:color w:val="auto"/>
              </w:rPr>
              <w:t>long-term stock price performance</w:t>
            </w:r>
          </w:p>
        </w:tc>
        <w:tc>
          <w:tcPr>
            <w:tcW w:w="1500" w:type="dxa"/>
            <w:vAlign w:val="bottom"/>
            <w:shd w:val="clear" w:color="auto" w:fill="ABD8EA"/>
          </w:tcPr>
          <w:p>
            <w:pPr>
              <w:jc w:val="center"/>
              <w:ind w:left="90"/>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34"/>
        </w:trPr>
        <w:tc>
          <w:tcPr>
            <w:tcW w:w="3400" w:type="dxa"/>
            <w:vAlign w:val="bottom"/>
            <w:shd w:val="clear" w:color="auto" w:fill="ABD8EA"/>
          </w:tcPr>
          <w:p>
            <w:pPr>
              <w:spacing w:after="0"/>
              <w:rPr>
                <w:sz w:val="20"/>
                <w:szCs w:val="20"/>
                <w:color w:val="auto"/>
              </w:rPr>
            </w:pPr>
          </w:p>
        </w:tc>
        <w:tc>
          <w:tcPr>
            <w:tcW w:w="29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stockholders’ investment interests</w:t>
            </w:r>
          </w:p>
        </w:tc>
        <w:tc>
          <w:tcPr>
            <w:tcW w:w="3140" w:type="dxa"/>
            <w:vAlign w:val="bottom"/>
            <w:shd w:val="clear" w:color="auto" w:fill="ABD8EA"/>
          </w:tcPr>
          <w:p>
            <w:pPr>
              <w:spacing w:after="0"/>
              <w:rPr>
                <w:sz w:val="20"/>
                <w:szCs w:val="20"/>
                <w:color w:val="auto"/>
              </w:rPr>
            </w:pPr>
          </w:p>
        </w:tc>
        <w:tc>
          <w:tcPr>
            <w:tcW w:w="1500" w:type="dxa"/>
            <w:vAlign w:val="bottom"/>
            <w:shd w:val="clear" w:color="auto" w:fill="ABD8EA"/>
          </w:tcPr>
          <w:p>
            <w:pPr>
              <w:spacing w:after="0"/>
              <w:rPr>
                <w:sz w:val="20"/>
                <w:szCs w:val="20"/>
                <w:color w:val="auto"/>
              </w:rPr>
            </w:pPr>
          </w:p>
        </w:tc>
      </w:tr>
      <w:tr>
        <w:trPr>
          <w:trHeight w:val="27"/>
        </w:trPr>
        <w:tc>
          <w:tcPr>
            <w:tcW w:w="3400" w:type="dxa"/>
            <w:vAlign w:val="bottom"/>
            <w:shd w:val="clear" w:color="auto" w:fill="ABD8EA"/>
          </w:tcPr>
          <w:p>
            <w:pPr>
              <w:spacing w:after="0"/>
              <w:rPr>
                <w:sz w:val="2"/>
                <w:szCs w:val="2"/>
                <w:color w:val="auto"/>
              </w:rPr>
            </w:pPr>
          </w:p>
        </w:tc>
        <w:tc>
          <w:tcPr>
            <w:tcW w:w="2980" w:type="dxa"/>
            <w:vAlign w:val="bottom"/>
            <w:shd w:val="clear" w:color="auto" w:fill="ABD8EA"/>
          </w:tcPr>
          <w:p>
            <w:pPr>
              <w:spacing w:after="0"/>
              <w:rPr>
                <w:sz w:val="2"/>
                <w:szCs w:val="2"/>
                <w:color w:val="auto"/>
              </w:rPr>
            </w:pPr>
          </w:p>
        </w:tc>
        <w:tc>
          <w:tcPr>
            <w:tcW w:w="3140" w:type="dxa"/>
            <w:vAlign w:val="bottom"/>
            <w:shd w:val="clear" w:color="auto" w:fill="ABD8EA"/>
          </w:tcPr>
          <w:p>
            <w:pPr>
              <w:spacing w:after="0"/>
              <w:rPr>
                <w:sz w:val="2"/>
                <w:szCs w:val="2"/>
                <w:color w:val="auto"/>
              </w:rPr>
            </w:pPr>
          </w:p>
        </w:tc>
        <w:tc>
          <w:tcPr>
            <w:tcW w:w="1500" w:type="dxa"/>
            <w:vAlign w:val="bottom"/>
            <w:shd w:val="clear" w:color="auto" w:fill="ABD8EA"/>
          </w:tcPr>
          <w:p>
            <w:pPr>
              <w:spacing w:after="0"/>
              <w:rPr>
                <w:sz w:val="2"/>
                <w:szCs w:val="2"/>
                <w:color w:val="auto"/>
              </w:rPr>
            </w:pPr>
          </w:p>
        </w:tc>
      </w:tr>
    </w:tbl>
    <w:p>
      <w:pPr>
        <w:spacing w:after="0" w:line="7" w:lineRule="exact"/>
        <w:rPr>
          <w:sz w:val="20"/>
          <w:szCs w:val="20"/>
          <w:color w:val="auto"/>
        </w:rPr>
      </w:pPr>
    </w:p>
    <w:p>
      <w:pPr>
        <w:sectPr>
          <w:pgSz w:w="11900" w:h="16838" w:orient="portrait"/>
          <w:cols w:equalWidth="0" w:num="1">
            <w:col w:w="11140"/>
          </w:cols>
          <w:pgMar w:left="320" w:top="455" w:right="439" w:bottom="1440" w:gutter="0" w:footer="0" w:header="0"/>
          <w:type w:val="continuous"/>
        </w:sectPr>
      </w:pPr>
    </w:p>
    <w:p>
      <w:pPr>
        <w:ind w:left="120"/>
        <w:spacing w:after="0"/>
        <w:tabs>
          <w:tab w:leader="none" w:pos="3720" w:val="left"/>
        </w:tabs>
        <w:rPr>
          <w:sz w:val="20"/>
          <w:szCs w:val="20"/>
          <w:color w:val="auto"/>
        </w:rPr>
      </w:pPr>
      <w:r>
        <w:rPr>
          <w:rFonts w:ascii="Times New Roman" w:cs="Times New Roman" w:eastAsia="Times New Roman" w:hAnsi="Times New Roman"/>
          <w:sz w:val="18"/>
          <w:szCs w:val="18"/>
          <w:i w:val="1"/>
          <w:iCs w:val="1"/>
          <w:color w:val="auto"/>
        </w:rPr>
        <w:t>Performance Restricted Stock Units</w:t>
      </w:r>
      <w:r>
        <w:rPr>
          <w:sz w:val="20"/>
          <w:szCs w:val="20"/>
          <w:color w:val="auto"/>
        </w:rPr>
        <w:tab/>
      </w:r>
      <w:r>
        <w:rPr>
          <w:rFonts w:ascii="Times New Roman" w:cs="Times New Roman" w:eastAsia="Times New Roman" w:hAnsi="Times New Roman"/>
          <w:sz w:val="17"/>
          <w:szCs w:val="17"/>
          <w:color w:val="auto"/>
        </w:rPr>
        <w:t>Motivate executives to provide</w:t>
      </w:r>
    </w:p>
    <w:p>
      <w:pPr>
        <w:spacing w:after="0" w:line="29" w:lineRule="exact"/>
        <w:rPr>
          <w:sz w:val="20"/>
          <w:szCs w:val="20"/>
          <w:color w:val="auto"/>
        </w:rPr>
      </w:pPr>
    </w:p>
    <w:p>
      <w:pPr>
        <w:ind w:left="120"/>
        <w:spacing w:after="0"/>
        <w:tabs>
          <w:tab w:leader="none" w:pos="3720" w:val="left"/>
        </w:tabs>
        <w:rPr>
          <w:sz w:val="20"/>
          <w:szCs w:val="20"/>
          <w:color w:val="auto"/>
        </w:rPr>
      </w:pPr>
      <w:r>
        <w:rPr>
          <w:rFonts w:ascii="Times New Roman" w:cs="Times New Roman" w:eastAsia="Times New Roman" w:hAnsi="Times New Roman"/>
          <w:sz w:val="17"/>
          <w:szCs w:val="17"/>
          <w:i w:val="1"/>
          <w:iCs w:val="1"/>
          <w:color w:val="auto"/>
        </w:rPr>
        <w:t>(“PRSUs”)</w:t>
      </w:r>
      <w:r>
        <w:rPr>
          <w:sz w:val="20"/>
          <w:szCs w:val="20"/>
          <w:color w:val="auto"/>
        </w:rPr>
        <w:tab/>
      </w:r>
      <w:r>
        <w:rPr>
          <w:rFonts w:ascii="Times New Roman" w:cs="Times New Roman" w:eastAsia="Times New Roman" w:hAnsi="Times New Roman"/>
          <w:sz w:val="17"/>
          <w:szCs w:val="17"/>
          <w:color w:val="auto"/>
        </w:rPr>
        <w:t>superior long-term total stockholder</w:t>
      </w:r>
    </w:p>
    <w:p>
      <w:pPr>
        <w:spacing w:after="0" w:line="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return (TSR) through stock price</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growth</w:t>
      </w:r>
    </w:p>
    <w:p>
      <w:pPr>
        <w:spacing w:after="0" w:line="20" w:lineRule="exact"/>
        <w:rPr>
          <w:sz w:val="20"/>
          <w:szCs w:val="20"/>
          <w:color w:val="auto"/>
        </w:rPr>
      </w:pPr>
      <w:r>
        <w:rPr>
          <w:sz w:val="20"/>
          <w:szCs w:val="20"/>
          <w:color w:val="auto"/>
        </w:rPr>
        <w:br w:type="column"/>
      </w:r>
    </w:p>
    <w:p>
      <w:pPr>
        <w:spacing w:after="0"/>
        <w:tabs>
          <w:tab w:leader="none" w:pos="3140" w:val="left"/>
        </w:tabs>
        <w:rPr>
          <w:sz w:val="20"/>
          <w:szCs w:val="20"/>
          <w:color w:val="auto"/>
        </w:rPr>
      </w:pPr>
      <w:r>
        <w:rPr>
          <w:rFonts w:ascii="Times New Roman" w:cs="Times New Roman" w:eastAsia="Times New Roman" w:hAnsi="Times New Roman"/>
          <w:sz w:val="18"/>
          <w:szCs w:val="18"/>
          <w:color w:val="auto"/>
        </w:rPr>
        <w:t>Cumulative three-year TSR ranking</w:t>
      </w:r>
      <w:r>
        <w:rPr>
          <w:sz w:val="20"/>
          <w:szCs w:val="20"/>
          <w:color w:val="auto"/>
        </w:rPr>
        <w:tab/>
      </w:r>
      <w:r>
        <w:rPr>
          <w:rFonts w:ascii="Times New Roman" w:cs="Times New Roman" w:eastAsia="Times New Roman" w:hAnsi="Times New Roman"/>
          <w:sz w:val="18"/>
          <w:szCs w:val="18"/>
          <w:color w:val="auto"/>
        </w:rPr>
        <w:t>Performance-</w:t>
      </w:r>
    </w:p>
    <w:p>
      <w:pPr>
        <w:spacing w:after="0" w:line="27"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8"/>
          <w:szCs w:val="18"/>
          <w:color w:val="auto"/>
        </w:rPr>
        <w:t>versus Russell 3000 Food Products</w:t>
      </w:r>
      <w:r>
        <w:rPr>
          <w:sz w:val="20"/>
          <w:szCs w:val="20"/>
          <w:color w:val="auto"/>
        </w:rPr>
        <w:tab/>
      </w:r>
      <w:r>
        <w:rPr>
          <w:rFonts w:ascii="Times New Roman" w:cs="Times New Roman" w:eastAsia="Times New Roman" w:hAnsi="Times New Roman"/>
          <w:sz w:val="18"/>
          <w:szCs w:val="18"/>
          <w:color w:val="auto"/>
        </w:rPr>
        <w:t>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w:t>
      </w:r>
    </w:p>
    <w:p>
      <w:pPr>
        <w:spacing w:after="0" w:line="251" w:lineRule="exact"/>
        <w:rPr>
          <w:sz w:val="20"/>
          <w:szCs w:val="20"/>
          <w:color w:val="auto"/>
        </w:rPr>
      </w:pPr>
    </w:p>
    <w:p>
      <w:pPr>
        <w:sectPr>
          <w:pgSz w:w="11900" w:h="16838" w:orient="portrait"/>
          <w:cols w:equalWidth="0" w:num="2">
            <w:col w:w="6320" w:space="500"/>
            <w:col w:w="43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Provide basic retention value and</w:t>
            </w:r>
          </w:p>
        </w:tc>
        <w:tc>
          <w:tcPr>
            <w:tcW w:w="3140" w:type="dxa"/>
            <w:vAlign w:val="bottom"/>
            <w:shd w:val="clear" w:color="auto" w:fill="ABD8EA"/>
          </w:tcPr>
          <w:p>
            <w:pPr>
              <w:ind w:left="140"/>
              <w:spacing w:after="0"/>
              <w:rPr>
                <w:sz w:val="20"/>
                <w:szCs w:val="20"/>
                <w:color w:val="auto"/>
              </w:rPr>
            </w:pPr>
            <w:r>
              <w:rPr>
                <w:rFonts w:ascii="Times New Roman" w:cs="Times New Roman" w:eastAsia="Times New Roman" w:hAnsi="Times New Roman"/>
                <w:sz w:val="18"/>
                <w:szCs w:val="18"/>
                <w:color w:val="auto"/>
              </w:rPr>
              <w:t>Require stock price growth for our</w:t>
            </w:r>
          </w:p>
        </w:tc>
        <w:tc>
          <w:tcPr>
            <w:tcW w:w="13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400" w:type="dxa"/>
            <w:vAlign w:val="bottom"/>
            <w:shd w:val="clear" w:color="auto" w:fill="ABD8EA"/>
          </w:tcPr>
          <w:p>
            <w:pPr>
              <w:spacing w:after="0"/>
              <w:rPr>
                <w:sz w:val="18"/>
                <w:szCs w:val="18"/>
                <w:color w:val="auto"/>
              </w:rPr>
            </w:pP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reinforce management behaviors to</w:t>
            </w:r>
          </w:p>
        </w:tc>
        <w:tc>
          <w:tcPr>
            <w:tcW w:w="3140" w:type="dxa"/>
            <w:vAlign w:val="bottom"/>
            <w:shd w:val="clear" w:color="auto" w:fill="ABD8EA"/>
          </w:tcPr>
          <w:p>
            <w:pPr>
              <w:ind w:left="140"/>
              <w:spacing w:after="0"/>
              <w:rPr>
                <w:sz w:val="20"/>
                <w:szCs w:val="20"/>
                <w:color w:val="auto"/>
              </w:rPr>
            </w:pPr>
            <w:r>
              <w:rPr>
                <w:rFonts w:ascii="Times New Roman" w:cs="Times New Roman" w:eastAsia="Times New Roman" w:hAnsi="Times New Roman"/>
                <w:sz w:val="18"/>
                <w:szCs w:val="18"/>
                <w:color w:val="auto"/>
              </w:rPr>
              <w:t>executives to recognize increased value</w:t>
            </w:r>
          </w:p>
        </w:tc>
        <w:tc>
          <w:tcPr>
            <w:tcW w:w="13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41"/>
        </w:trPr>
        <w:tc>
          <w:tcPr>
            <w:tcW w:w="3400" w:type="dxa"/>
            <w:vAlign w:val="bottom"/>
            <w:tcBorders>
              <w:bottom w:val="single" w:sz="8" w:color="ABD8EA"/>
            </w:tcBorders>
            <w:shd w:val="clear" w:color="auto" w:fill="ABD8EA"/>
          </w:tcPr>
          <w:p>
            <w:pPr>
              <w:spacing w:after="0"/>
              <w:rPr>
                <w:sz w:val="20"/>
                <w:szCs w:val="20"/>
                <w:color w:val="auto"/>
              </w:rPr>
            </w:pPr>
          </w:p>
        </w:tc>
        <w:tc>
          <w:tcPr>
            <w:tcW w:w="3160" w:type="dxa"/>
            <w:vAlign w:val="bottom"/>
            <w:tcBorders>
              <w:bottom w:val="single" w:sz="8" w:color="ABD8EA"/>
            </w:tcBorders>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increase stock price after the grant date</w:t>
            </w:r>
          </w:p>
        </w:tc>
        <w:tc>
          <w:tcPr>
            <w:tcW w:w="3140" w:type="dxa"/>
            <w:vAlign w:val="bottom"/>
            <w:tcBorders>
              <w:bottom w:val="single" w:sz="8" w:color="ABD8EA"/>
            </w:tcBorders>
            <w:shd w:val="clear" w:color="auto" w:fill="ABD8EA"/>
          </w:tcPr>
          <w:p>
            <w:pPr>
              <w:spacing w:after="0"/>
              <w:rPr>
                <w:sz w:val="20"/>
                <w:szCs w:val="20"/>
                <w:color w:val="auto"/>
              </w:rPr>
            </w:pPr>
          </w:p>
        </w:tc>
        <w:tc>
          <w:tcPr>
            <w:tcW w:w="1320" w:type="dxa"/>
            <w:vAlign w:val="bottom"/>
            <w:tcBorders>
              <w:bottom w:val="single" w:sz="8" w:color="ABD8EA"/>
            </w:tcBorders>
            <w:shd w:val="clear" w:color="auto" w:fill="ABD8EA"/>
          </w:tcPr>
          <w:p>
            <w:pPr>
              <w:spacing w:after="0"/>
              <w:rPr>
                <w:sz w:val="20"/>
                <w:szCs w:val="20"/>
                <w:color w:val="auto"/>
              </w:rPr>
            </w:pPr>
          </w:p>
        </w:tc>
      </w:tr>
      <w:tr>
        <w:trPr>
          <w:trHeight w:val="365"/>
        </w:trPr>
        <w:tc>
          <w:tcPr>
            <w:tcW w:w="3400" w:type="dxa"/>
            <w:vAlign w:val="bottom"/>
          </w:tcPr>
          <w:p>
            <w:pPr>
              <w:spacing w:after="0"/>
              <w:rPr>
                <w:sz w:val="24"/>
                <w:szCs w:val="24"/>
                <w:color w:val="auto"/>
              </w:rPr>
            </w:pPr>
          </w:p>
        </w:tc>
        <w:tc>
          <w:tcPr>
            <w:tcW w:w="31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27</w:t>
            </w:r>
          </w:p>
        </w:tc>
        <w:tc>
          <w:tcPr>
            <w:tcW w:w="31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2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96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201"/>
        </w:trPr>
        <w:tc>
          <w:tcPr>
            <w:tcW w:w="34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Health/Welfare Plans and Retirement</w:t>
            </w:r>
          </w:p>
        </w:tc>
        <w:tc>
          <w:tcPr>
            <w:tcW w:w="220" w:type="dxa"/>
            <w:vAlign w:val="bottom"/>
          </w:tcPr>
          <w:p>
            <w:pPr>
              <w:spacing w:after="0"/>
              <w:rPr>
                <w:sz w:val="17"/>
                <w:szCs w:val="17"/>
                <w:color w:val="auto"/>
              </w:rPr>
            </w:pPr>
          </w:p>
        </w:tc>
        <w:tc>
          <w:tcPr>
            <w:tcW w:w="29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Provide competitive benefits that</w:t>
            </w:r>
          </w:p>
        </w:tc>
      </w:tr>
      <w:tr>
        <w:trPr>
          <w:trHeight w:val="22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promote employee health and</w:t>
            </w:r>
          </w:p>
        </w:tc>
      </w:tr>
      <w:tr>
        <w:trPr>
          <w:trHeight w:val="216"/>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productivity and support longer-term</w:t>
            </w:r>
          </w:p>
        </w:tc>
      </w:t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physical and fiscal security</w:t>
            </w: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7"/>
        </w:trPr>
        <w:tc>
          <w:tcPr>
            <w:tcW w:w="3120" w:type="dxa"/>
            <w:vAlign w:val="bottom"/>
            <w:gridSpan w:val="2"/>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205"/>
        </w:trPr>
        <w:tc>
          <w:tcPr>
            <w:tcW w:w="2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Similar to benefits offered to other</w:t>
            </w:r>
          </w:p>
        </w:tc>
        <w:tc>
          <w:tcPr>
            <w:tcW w:w="160" w:type="dxa"/>
            <w:vAlign w:val="bottom"/>
          </w:tcPr>
          <w:p>
            <w:pPr>
              <w:spacing w:after="0"/>
              <w:rPr>
                <w:sz w:val="17"/>
                <w:szCs w:val="17"/>
                <w:color w:val="auto"/>
              </w:rPr>
            </w:pPr>
          </w:p>
        </w:tc>
        <w:tc>
          <w:tcPr>
            <w:tcW w:w="11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Fixed</w:t>
            </w: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9" w:lineRule="exact"/>
        <w:rPr>
          <w:sz w:val="20"/>
          <w:szCs w:val="20"/>
          <w:color w:val="auto"/>
        </w:rPr>
      </w:pPr>
    </w:p>
    <w:p>
      <w:pPr>
        <w:sectPr>
          <w:pgSz w:w="11900" w:h="16838" w:orient="portrait"/>
          <w:cols w:equalWidth="0" w:num="2">
            <w:col w:w="6700" w:space="220"/>
            <w:col w:w="42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32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Provide limited personal benefits that are</w:t>
            </w:r>
          </w:p>
        </w:tc>
        <w:tc>
          <w:tcPr>
            <w:tcW w:w="320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Limited personal use of the corporate</w:t>
            </w:r>
          </w:p>
        </w:tc>
        <w:tc>
          <w:tcPr>
            <w:tcW w:w="1140" w:type="dxa"/>
            <w:vAlign w:val="bottom"/>
            <w:shd w:val="clear" w:color="auto" w:fill="ABD8EA"/>
          </w:tcPr>
          <w:p>
            <w:pPr>
              <w:ind w:left="380"/>
              <w:spacing w:after="0"/>
              <w:rPr>
                <w:sz w:val="20"/>
                <w:szCs w:val="20"/>
                <w:color w:val="auto"/>
              </w:rPr>
            </w:pPr>
            <w:r>
              <w:rPr>
                <w:rFonts w:ascii="Times New Roman" w:cs="Times New Roman" w:eastAsia="Times New Roman" w:hAnsi="Times New Roman"/>
                <w:sz w:val="18"/>
                <w:szCs w:val="18"/>
                <w:color w:val="auto"/>
              </w:rPr>
              <w:t>Fixed</w:t>
            </w:r>
          </w:p>
        </w:tc>
      </w:tr>
      <w:tr>
        <w:trPr>
          <w:trHeight w:val="216"/>
        </w:trPr>
        <w:tc>
          <w:tcPr>
            <w:tcW w:w="3400" w:type="dxa"/>
            <w:vAlign w:val="bottom"/>
            <w:shd w:val="clear" w:color="auto" w:fill="ABD8EA"/>
          </w:tcPr>
          <w:p>
            <w:pPr>
              <w:spacing w:after="0"/>
              <w:rPr>
                <w:sz w:val="18"/>
                <w:szCs w:val="18"/>
                <w:color w:val="auto"/>
              </w:rPr>
            </w:pPr>
          </w:p>
        </w:tc>
        <w:tc>
          <w:tcPr>
            <w:tcW w:w="32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consistent with our overall philosophy</w:t>
            </w:r>
          </w:p>
        </w:tc>
        <w:tc>
          <w:tcPr>
            <w:tcW w:w="320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aircraft for our President and Chief</w:t>
            </w:r>
          </w:p>
        </w:tc>
        <w:tc>
          <w:tcPr>
            <w:tcW w:w="1140" w:type="dxa"/>
            <w:vAlign w:val="bottom"/>
            <w:shd w:val="clear" w:color="auto" w:fill="ABD8EA"/>
          </w:tcPr>
          <w:p>
            <w:pPr>
              <w:spacing w:after="0"/>
              <w:rPr>
                <w:sz w:val="18"/>
                <w:szCs w:val="18"/>
                <w:color w:val="auto"/>
              </w:rPr>
            </w:pPr>
          </w:p>
        </w:tc>
      </w:tr>
      <w:tr>
        <w:trPr>
          <w:trHeight w:val="216"/>
        </w:trPr>
        <w:tc>
          <w:tcPr>
            <w:tcW w:w="3400" w:type="dxa"/>
            <w:vAlign w:val="bottom"/>
            <w:shd w:val="clear" w:color="auto" w:fill="ABD8EA"/>
          </w:tcPr>
          <w:p>
            <w:pPr>
              <w:spacing w:after="0"/>
              <w:rPr>
                <w:sz w:val="18"/>
                <w:szCs w:val="18"/>
                <w:color w:val="auto"/>
              </w:rPr>
            </w:pPr>
          </w:p>
        </w:tc>
        <w:tc>
          <w:tcPr>
            <w:tcW w:w="32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and objective to attract and retain</w:t>
            </w:r>
          </w:p>
        </w:tc>
        <w:tc>
          <w:tcPr>
            <w:tcW w:w="320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Executive Officer only</w:t>
            </w:r>
          </w:p>
        </w:tc>
        <w:tc>
          <w:tcPr>
            <w:tcW w:w="1140" w:type="dxa"/>
            <w:vAlign w:val="bottom"/>
            <w:shd w:val="clear" w:color="auto" w:fill="ABD8EA"/>
          </w:tcPr>
          <w:p>
            <w:pPr>
              <w:spacing w:after="0"/>
              <w:rPr>
                <w:sz w:val="18"/>
                <w:szCs w:val="18"/>
                <w:color w:val="auto"/>
              </w:rPr>
            </w:pPr>
          </w:p>
        </w:tc>
      </w:tr>
      <w:tr>
        <w:trPr>
          <w:trHeight w:val="234"/>
        </w:trPr>
        <w:tc>
          <w:tcPr>
            <w:tcW w:w="3400" w:type="dxa"/>
            <w:vAlign w:val="bottom"/>
            <w:shd w:val="clear" w:color="auto" w:fill="ABD8EA"/>
          </w:tcPr>
          <w:p>
            <w:pPr>
              <w:spacing w:after="0"/>
              <w:rPr>
                <w:sz w:val="20"/>
                <w:szCs w:val="20"/>
                <w:color w:val="auto"/>
              </w:rPr>
            </w:pPr>
          </w:p>
        </w:tc>
        <w:tc>
          <w:tcPr>
            <w:tcW w:w="32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superior executive talent</w:t>
            </w:r>
          </w:p>
        </w:tc>
        <w:tc>
          <w:tcPr>
            <w:tcW w:w="3200" w:type="dxa"/>
            <w:vAlign w:val="bottom"/>
            <w:shd w:val="clear" w:color="auto" w:fill="ABD8EA"/>
          </w:tcPr>
          <w:p>
            <w:pPr>
              <w:spacing w:after="0"/>
              <w:rPr>
                <w:sz w:val="20"/>
                <w:szCs w:val="20"/>
                <w:color w:val="auto"/>
              </w:rPr>
            </w:pPr>
          </w:p>
        </w:tc>
        <w:tc>
          <w:tcPr>
            <w:tcW w:w="1140" w:type="dxa"/>
            <w:vAlign w:val="bottom"/>
            <w:shd w:val="clear" w:color="auto" w:fill="ABD8EA"/>
          </w:tcPr>
          <w:p>
            <w:pPr>
              <w:spacing w:after="0"/>
              <w:rPr>
                <w:sz w:val="20"/>
                <w:szCs w:val="20"/>
                <w:color w:val="auto"/>
              </w:rPr>
            </w:pPr>
          </w:p>
        </w:tc>
      </w:tr>
      <w:tr>
        <w:trPr>
          <w:trHeight w:val="27"/>
        </w:trPr>
        <w:tc>
          <w:tcPr>
            <w:tcW w:w="3400" w:type="dxa"/>
            <w:vAlign w:val="bottom"/>
            <w:shd w:val="clear" w:color="auto" w:fill="ABD8EA"/>
          </w:tcPr>
          <w:p>
            <w:pPr>
              <w:spacing w:after="0"/>
              <w:rPr>
                <w:sz w:val="2"/>
                <w:szCs w:val="2"/>
                <w:color w:val="auto"/>
              </w:rPr>
            </w:pPr>
          </w:p>
        </w:tc>
        <w:tc>
          <w:tcPr>
            <w:tcW w:w="3280" w:type="dxa"/>
            <w:vAlign w:val="bottom"/>
            <w:shd w:val="clear" w:color="auto" w:fill="ABD8EA"/>
          </w:tcPr>
          <w:p>
            <w:pPr>
              <w:spacing w:after="0"/>
              <w:rPr>
                <w:sz w:val="2"/>
                <w:szCs w:val="2"/>
                <w:color w:val="auto"/>
              </w:rPr>
            </w:pPr>
          </w:p>
        </w:tc>
        <w:tc>
          <w:tcPr>
            <w:tcW w:w="3200" w:type="dxa"/>
            <w:vAlign w:val="bottom"/>
            <w:shd w:val="clear" w:color="auto" w:fill="ABD8EA"/>
          </w:tcPr>
          <w:p>
            <w:pPr>
              <w:spacing w:after="0"/>
              <w:rPr>
                <w:sz w:val="2"/>
                <w:szCs w:val="2"/>
                <w:color w:val="auto"/>
              </w:rPr>
            </w:pPr>
          </w:p>
        </w:tc>
        <w:tc>
          <w:tcPr>
            <w:tcW w:w="1140" w:type="dxa"/>
            <w:vAlign w:val="bottom"/>
            <w:shd w:val="clear" w:color="auto" w:fill="ABD8EA"/>
          </w:tcPr>
          <w:p>
            <w:pPr>
              <w:spacing w:after="0"/>
              <w:rPr>
                <w:sz w:val="2"/>
                <w:szCs w:val="2"/>
                <w:color w:val="auto"/>
              </w:rPr>
            </w:pPr>
          </w:p>
        </w:tc>
      </w:tr>
    </w:tbl>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 2022 NEO Target Compensation Structure Summary</w:t>
            </w:r>
          </w:p>
        </w:tc>
      </w:tr>
      <w:tr>
        <w:trPr>
          <w:trHeight w:val="156"/>
        </w:trPr>
        <w:tc>
          <w:tcPr>
            <w:tcW w:w="238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Borders>
              <w:bottom w:val="single" w:sz="8" w:color="ABD8EA"/>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800" w:type="dxa"/>
            <w:vAlign w:val="bottom"/>
            <w:tcBorders>
              <w:bottom w:val="single" w:sz="8" w:color="auto"/>
            </w:tcBorders>
          </w:tcPr>
          <w:p>
            <w:pPr>
              <w:ind w:left="328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r>
      <w:tr>
        <w:trPr>
          <w:trHeight w:val="205"/>
        </w:trPr>
        <w:tc>
          <w:tcPr>
            <w:tcW w:w="2380" w:type="dxa"/>
            <w:vAlign w:val="bottom"/>
            <w:shd w:val="clear" w:color="auto" w:fill="ABD8EA"/>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8640" w:type="dxa"/>
            <w:vAlign w:val="bottom"/>
            <w:gridSpan w:val="3"/>
            <w:shd w:val="clear" w:color="auto" w:fill="ABD8EA"/>
          </w:tcPr>
          <w:p>
            <w:pPr>
              <w:ind w:left="220"/>
              <w:spacing w:after="0" w:line="205" w:lineRule="exact"/>
              <w:rPr>
                <w:sz w:val="20"/>
                <w:szCs w:val="20"/>
                <w:color w:val="auto"/>
              </w:rPr>
            </w:pPr>
            <w:r>
              <w:rPr>
                <w:rFonts w:ascii="Times New Roman" w:cs="Times New Roman" w:eastAsia="Times New Roman" w:hAnsi="Times New Roman"/>
                <w:sz w:val="18"/>
                <w:szCs w:val="18"/>
                <w:color w:val="auto"/>
              </w:rPr>
              <w:t>The following salaries were approved for fiscal year 2022, following a thorough review of competitive market</w:t>
            </w:r>
          </w:p>
        </w:tc>
      </w:tr>
      <w:tr>
        <w:trPr>
          <w:trHeight w:val="216"/>
        </w:trPr>
        <w:tc>
          <w:tcPr>
            <w:tcW w:w="2380" w:type="dxa"/>
            <w:vAlign w:val="bottom"/>
            <w:shd w:val="clear" w:color="auto" w:fill="ABD8EA"/>
          </w:tcPr>
          <w:p>
            <w:pPr>
              <w:spacing w:after="0"/>
              <w:rPr>
                <w:sz w:val="18"/>
                <w:szCs w:val="18"/>
                <w:color w:val="auto"/>
              </w:rPr>
            </w:pPr>
          </w:p>
        </w:tc>
        <w:tc>
          <w:tcPr>
            <w:tcW w:w="8640" w:type="dxa"/>
            <w:vAlign w:val="bottom"/>
            <w:gridSpan w:val="3"/>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practices provided by Aon, our independent compensation consultant. The changes were approved to bring our</w:t>
            </w:r>
          </w:p>
        </w:tc>
      </w:tr>
      <w:tr>
        <w:trPr>
          <w:trHeight w:val="234"/>
        </w:trPr>
        <w:tc>
          <w:tcPr>
            <w:tcW w:w="2380" w:type="dxa"/>
            <w:vAlign w:val="bottom"/>
            <w:shd w:val="clear" w:color="auto" w:fill="ABD8EA"/>
          </w:tcPr>
          <w:p>
            <w:pPr>
              <w:spacing w:after="0"/>
              <w:rPr>
                <w:sz w:val="20"/>
                <w:szCs w:val="20"/>
                <w:color w:val="auto"/>
              </w:rPr>
            </w:pPr>
          </w:p>
        </w:tc>
        <w:tc>
          <w:tcPr>
            <w:tcW w:w="8640" w:type="dxa"/>
            <w:vAlign w:val="bottom"/>
            <w:gridSpan w:val="3"/>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executives more in-line with competitive market values for similar-sized public companies in our industry.</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Vitale: $N/A</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 Ms. Davenport: $650,000 (4%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Rode: $420,000 (5%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Cornille: $380,000 (15%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Rosenthal: $345,000 (15%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Singh: $345,000 (5% increase)</w:t>
            </w:r>
          </w:p>
        </w:tc>
      </w:tr>
      <w:tr>
        <w:trPr>
          <w:trHeight w:val="162"/>
        </w:trPr>
        <w:tc>
          <w:tcPr>
            <w:tcW w:w="2380" w:type="dxa"/>
            <w:vAlign w:val="bottom"/>
            <w:shd w:val="clear" w:color="auto" w:fill="ABD8EA"/>
          </w:tcPr>
          <w:p>
            <w:pPr>
              <w:spacing w:after="0"/>
              <w:rPr>
                <w:sz w:val="14"/>
                <w:szCs w:val="14"/>
                <w:color w:val="auto"/>
              </w:rPr>
            </w:pPr>
          </w:p>
        </w:tc>
        <w:tc>
          <w:tcPr>
            <w:tcW w:w="220" w:type="dxa"/>
            <w:vAlign w:val="bottom"/>
            <w:shd w:val="clear" w:color="auto" w:fill="ABD8EA"/>
          </w:tcPr>
          <w:p>
            <w:pPr>
              <w:spacing w:after="0"/>
              <w:rPr>
                <w:sz w:val="14"/>
                <w:szCs w:val="14"/>
                <w:color w:val="auto"/>
              </w:rPr>
            </w:pPr>
          </w:p>
        </w:tc>
        <w:tc>
          <w:tcPr>
            <w:tcW w:w="8420" w:type="dxa"/>
            <w:vAlign w:val="bottom"/>
            <w:gridSpan w:val="2"/>
            <w:shd w:val="clear" w:color="auto" w:fill="ABD8EA"/>
          </w:tcPr>
          <w:p>
            <w:pPr>
              <w:spacing w:after="0"/>
              <w:rPr>
                <w:sz w:val="14"/>
                <w:szCs w:val="14"/>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 Annual Bonus</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Our NEOs’ target bonuses as a percent of base salary were reviewed against competitive external market data</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Management</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provided by Aon, and our objective for internal consistency for senior management roles. The following target</w:t>
            </w:r>
          </w:p>
        </w:tc>
      </w:t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Bonus Program)</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bonus opportunities were approved for fiscal year 2022:</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Vitale: N/A</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 Ms. Davenport: 125% of base salary (no change)</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Rode: 65% of base salary (increased from 62%)</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Cornille: 65% of base salary (increased from 52%)</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Rosenthal: 55% of base salary (increased from 52%)</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Singh: 55% of base salary (increased from 52%)</w:t>
            </w:r>
          </w:p>
        </w:tc>
      </w:tr>
    </w:tbl>
    <w:p>
      <w:pPr>
        <w:spacing w:after="0" w:line="225" w:lineRule="exact"/>
        <w:rPr>
          <w:sz w:val="20"/>
          <w:szCs w:val="20"/>
          <w:color w:val="auto"/>
        </w:rPr>
      </w:pPr>
    </w:p>
    <w:p>
      <w:pPr>
        <w:ind w:left="2720" w:right="60"/>
        <w:spacing w:after="0" w:line="282" w:lineRule="auto"/>
        <w:rPr>
          <w:sz w:val="20"/>
          <w:szCs w:val="20"/>
          <w:color w:val="auto"/>
        </w:rPr>
      </w:pPr>
      <w:r>
        <w:rPr>
          <w:rFonts w:ascii="Times New Roman" w:cs="Times New Roman" w:eastAsia="Times New Roman" w:hAnsi="Times New Roman"/>
          <w:sz w:val="18"/>
          <w:szCs w:val="18"/>
          <w:color w:val="auto"/>
        </w:rPr>
        <w:t>Under the Senior Management Bonus Program, an executive may earn from 0% to 150% of the target amount based upon the achievement level for the applicable performance metrics.</w:t>
      </w: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Fiscal Year 2022 NEO Target Compensation Structure Summary</w:t>
            </w:r>
          </w:p>
        </w:tc>
        <w:tc>
          <w:tcPr>
            <w:tcW w:w="4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r>
      <w:tr>
        <w:trPr>
          <w:trHeight w:val="156"/>
        </w:trPr>
        <w:tc>
          <w:tcPr>
            <w:tcW w:w="2340" w:type="dxa"/>
            <w:vAlign w:val="bottom"/>
            <w:tcBorders>
              <w:bottom w:val="single" w:sz="8" w:color="auto"/>
            </w:tcBorders>
          </w:tcPr>
          <w:p>
            <w:pPr>
              <w:ind w:left="800"/>
              <w:spacing w:after="0" w:line="155"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200" w:type="dxa"/>
            <w:vAlign w:val="bottom"/>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c>
          <w:tcPr>
            <w:tcW w:w="4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r>
      <w:tr>
        <w:trPr>
          <w:trHeight w:val="203"/>
        </w:trPr>
        <w:tc>
          <w:tcPr>
            <w:tcW w:w="23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Long-Term Incentives</w:t>
            </w:r>
          </w:p>
        </w:tc>
        <w:tc>
          <w:tcPr>
            <w:tcW w:w="200" w:type="dxa"/>
            <w:vAlign w:val="bottom"/>
          </w:tcPr>
          <w:p>
            <w:pPr>
              <w:spacing w:after="0"/>
              <w:rPr>
                <w:sz w:val="17"/>
                <w:szCs w:val="17"/>
                <w:color w:val="auto"/>
              </w:rPr>
            </w:pPr>
          </w:p>
        </w:tc>
        <w:tc>
          <w:tcPr>
            <w:tcW w:w="84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We offer a balanced equity portfolio to ensure our executives’ opportunities are linked to increases in stockholder</w:t>
            </w:r>
          </w:p>
        </w:tc>
      </w:tr>
      <w:tr>
        <w:trPr>
          <w:trHeight w:val="218"/>
        </w:trPr>
        <w:tc>
          <w:tcPr>
            <w:tcW w:w="2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(RSUs ands PRSUs)</w:t>
            </w:r>
          </w:p>
        </w:tc>
        <w:tc>
          <w:tcPr>
            <w:tcW w:w="868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value beyond grant date, and to balance the elements of long-term compensation opportunity, performance, and risk.</w:t>
            </w:r>
          </w:p>
        </w:tc>
      </w:tr>
      <w:tr>
        <w:trPr>
          <w:trHeight w:val="216"/>
        </w:trPr>
        <w:tc>
          <w:tcPr>
            <w:tcW w:w="2340" w:type="dxa"/>
            <w:vAlign w:val="bottom"/>
          </w:tcPr>
          <w:p>
            <w:pPr>
              <w:spacing w:after="0"/>
              <w:rPr>
                <w:sz w:val="18"/>
                <w:szCs w:val="18"/>
                <w:color w:val="auto"/>
              </w:rPr>
            </w:pPr>
          </w:p>
        </w:tc>
        <w:tc>
          <w:tcPr>
            <w:tcW w:w="868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We believe a combination of programs with significant performance-based value and efficient share utilization is</w:t>
            </w:r>
          </w:p>
        </w:tc>
      </w:tr>
      <w:tr>
        <w:trPr>
          <w:trHeight w:val="234"/>
        </w:trPr>
        <w:tc>
          <w:tcPr>
            <w:tcW w:w="2340" w:type="dxa"/>
            <w:vAlign w:val="bottom"/>
          </w:tcPr>
          <w:p>
            <w:pPr>
              <w:spacing w:after="0"/>
              <w:rPr>
                <w:sz w:val="20"/>
                <w:szCs w:val="20"/>
                <w:color w:val="auto"/>
              </w:rPr>
            </w:pPr>
          </w:p>
        </w:tc>
        <w:tc>
          <w:tcPr>
            <w:tcW w:w="4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most appropriate.</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2340" w:type="dxa"/>
            <w:vAlign w:val="bottom"/>
          </w:tcPr>
          <w:p>
            <w:pPr>
              <w:spacing w:after="0"/>
              <w:rPr>
                <w:sz w:val="24"/>
                <w:szCs w:val="24"/>
                <w:color w:val="auto"/>
              </w:rPr>
            </w:pPr>
          </w:p>
        </w:tc>
        <w:tc>
          <w:tcPr>
            <w:tcW w:w="868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For our fiscal year 2022 equity grants, we eliminated stock options and implemented a long-term performance</w:t>
            </w:r>
          </w:p>
        </w:tc>
      </w:tr>
      <w:tr>
        <w:trPr>
          <w:trHeight w:val="216"/>
        </w:trPr>
        <w:tc>
          <w:tcPr>
            <w:tcW w:w="2340" w:type="dxa"/>
            <w:vAlign w:val="bottom"/>
          </w:tcPr>
          <w:p>
            <w:pPr>
              <w:spacing w:after="0"/>
              <w:rPr>
                <w:sz w:val="18"/>
                <w:szCs w:val="18"/>
                <w:color w:val="auto"/>
              </w:rPr>
            </w:pPr>
          </w:p>
        </w:tc>
        <w:tc>
          <w:tcPr>
            <w:tcW w:w="868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restricted stock unit program (PRSU). Our new PRSU program measures three-year cumulative total stockholder</w:t>
            </w:r>
          </w:p>
        </w:tc>
      </w:tr>
      <w:tr>
        <w:trPr>
          <w:trHeight w:val="216"/>
        </w:trPr>
        <w:tc>
          <w:tcPr>
            <w:tcW w:w="2340" w:type="dxa"/>
            <w:vAlign w:val="bottom"/>
          </w:tcPr>
          <w:p>
            <w:pPr>
              <w:spacing w:after="0"/>
              <w:rPr>
                <w:sz w:val="18"/>
                <w:szCs w:val="18"/>
                <w:color w:val="auto"/>
              </w:rPr>
            </w:pPr>
          </w:p>
        </w:tc>
        <w:tc>
          <w:tcPr>
            <w:tcW w:w="868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w w:val="99"/>
              </w:rPr>
              <w:t>return against the Russell 3000 Food Products companies (the same industry classification as BRBR, consisting of 38</w:t>
            </w:r>
          </w:p>
        </w:tc>
      </w:tr>
      <w:tr>
        <w:trPr>
          <w:trHeight w:val="234"/>
        </w:trPr>
        <w:tc>
          <w:tcPr>
            <w:tcW w:w="2340" w:type="dxa"/>
            <w:vAlign w:val="bottom"/>
          </w:tcPr>
          <w:p>
            <w:pPr>
              <w:spacing w:after="0"/>
              <w:rPr>
                <w:sz w:val="20"/>
                <w:szCs w:val="20"/>
                <w:color w:val="auto"/>
              </w:rPr>
            </w:pPr>
          </w:p>
        </w:tc>
        <w:tc>
          <w:tcPr>
            <w:tcW w:w="4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companies for the fiscal year 2022 grant).</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59"/>
        </w:trPr>
        <w:tc>
          <w:tcPr>
            <w:tcW w:w="2340" w:type="dxa"/>
            <w:vAlign w:val="bottom"/>
          </w:tcPr>
          <w:p>
            <w:pPr>
              <w:spacing w:after="0"/>
              <w:rPr>
                <w:sz w:val="24"/>
                <w:szCs w:val="24"/>
                <w:color w:val="auto"/>
              </w:rPr>
            </w:pPr>
          </w:p>
        </w:tc>
        <w:tc>
          <w:tcPr>
            <w:tcW w:w="868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Target value for the fiscal year 2022 equity grants to NEOs were weighted as follows:</w:t>
            </w:r>
          </w:p>
        </w:tc>
      </w:tr>
      <w:tr>
        <w:trPr>
          <w:trHeight w:val="445"/>
        </w:trPr>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NEO</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PRSU</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RSU</w:t>
            </w:r>
          </w:p>
        </w:tc>
      </w:tr>
      <w:tr>
        <w:trPr>
          <w:trHeight w:val="230"/>
        </w:trPr>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Borders>
              <w:top w:val="single" w:sz="8" w:color="ABD8EA"/>
              <w:bottom w:val="single" w:sz="8" w:color="ABD8EA"/>
            </w:tcBorders>
            <w:shd w:val="clear" w:color="auto" w:fill="ABD8EA"/>
          </w:tcPr>
          <w:p>
            <w:pPr>
              <w:spacing w:after="0"/>
              <w:rPr>
                <w:sz w:val="20"/>
                <w:szCs w:val="20"/>
                <w:color w:val="auto"/>
              </w:rPr>
            </w:pPr>
          </w:p>
        </w:tc>
        <w:tc>
          <w:tcPr>
            <w:tcW w:w="1520" w:type="dxa"/>
            <w:vAlign w:val="bottom"/>
            <w:tcBorders>
              <w:top w:val="single" w:sz="8" w:color="auto"/>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Mr. Vitale</w:t>
            </w:r>
          </w:p>
        </w:tc>
        <w:tc>
          <w:tcPr>
            <w:tcW w:w="980" w:type="dxa"/>
            <w:vAlign w:val="bottom"/>
            <w:tcBorders>
              <w:top w:val="single" w:sz="8" w:color="auto"/>
              <w:bottom w:val="single" w:sz="8" w:color="ABD8EA"/>
            </w:tcBorders>
            <w:shd w:val="clear" w:color="auto" w:fill="ABD8EA"/>
          </w:tcPr>
          <w:p>
            <w:pPr>
              <w:spacing w:after="0"/>
              <w:rPr>
                <w:sz w:val="20"/>
                <w:szCs w:val="20"/>
                <w:color w:val="auto"/>
              </w:rPr>
            </w:pPr>
          </w:p>
        </w:tc>
        <w:tc>
          <w:tcPr>
            <w:tcW w:w="200" w:type="dxa"/>
            <w:vAlign w:val="bottom"/>
            <w:tcBorders>
              <w:top w:val="single" w:sz="8" w:color="ABD8EA"/>
              <w:bottom w:val="single" w:sz="8" w:color="ABD8EA"/>
            </w:tcBorders>
            <w:shd w:val="clear" w:color="auto" w:fill="ABD8EA"/>
          </w:tcPr>
          <w:p>
            <w:pPr>
              <w:spacing w:after="0"/>
              <w:rPr>
                <w:sz w:val="20"/>
                <w:szCs w:val="20"/>
                <w:color w:val="auto"/>
              </w:rPr>
            </w:pPr>
          </w:p>
        </w:tc>
        <w:tc>
          <w:tcPr>
            <w:tcW w:w="400" w:type="dxa"/>
            <w:vAlign w:val="bottom"/>
            <w:tcBorders>
              <w:top w:val="single" w:sz="8" w:color="auto"/>
              <w:bottom w:val="single" w:sz="8" w:color="ABD8EA"/>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280" w:type="dxa"/>
            <w:vAlign w:val="bottom"/>
            <w:tcBorders>
              <w:top w:val="single" w:sz="8" w:color="ABD8EA"/>
              <w:bottom w:val="single" w:sz="8" w:color="ABD8EA"/>
            </w:tcBorders>
            <w:shd w:val="clear" w:color="auto" w:fill="ABD8EA"/>
          </w:tcPr>
          <w:p>
            <w:pPr>
              <w:spacing w:after="0"/>
              <w:rPr>
                <w:sz w:val="20"/>
                <w:szCs w:val="20"/>
                <w:color w:val="auto"/>
              </w:rPr>
            </w:pPr>
          </w:p>
        </w:tc>
        <w:tc>
          <w:tcPr>
            <w:tcW w:w="420" w:type="dxa"/>
            <w:vAlign w:val="bottom"/>
            <w:tcBorders>
              <w:top w:val="single" w:sz="8" w:color="auto"/>
              <w:bottom w:val="single" w:sz="8" w:color="ABD8EA"/>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360" w:type="dxa"/>
            <w:vAlign w:val="bottom"/>
          </w:tcPr>
          <w:p>
            <w:pPr>
              <w:spacing w:after="0"/>
              <w:rPr>
                <w:sz w:val="20"/>
                <w:szCs w:val="20"/>
                <w:color w:val="auto"/>
              </w:rPr>
            </w:pPr>
          </w:p>
        </w:tc>
      </w:tr>
      <w:tr>
        <w:trPr>
          <w:trHeight w:val="243"/>
        </w:trPr>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Ms. Davenport</w:t>
            </w:r>
          </w:p>
        </w:tc>
        <w:tc>
          <w:tcPr>
            <w:tcW w:w="1860" w:type="dxa"/>
            <w:vAlign w:val="bottom"/>
            <w:gridSpan w:val="4"/>
          </w:tcPr>
          <w:p>
            <w:pPr>
              <w:jc w:val="center"/>
              <w:ind w:left="894"/>
              <w:spacing w:after="0"/>
              <w:rPr>
                <w:sz w:val="20"/>
                <w:szCs w:val="20"/>
                <w:color w:val="auto"/>
              </w:rPr>
            </w:pPr>
            <w:r>
              <w:rPr>
                <w:rFonts w:ascii="Times New Roman" w:cs="Times New Roman" w:eastAsia="Times New Roman" w:hAnsi="Times New Roman"/>
                <w:sz w:val="18"/>
                <w:szCs w:val="18"/>
                <w:color w:val="auto"/>
                <w:w w:val="96"/>
              </w:rPr>
              <w:t>50%</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36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20" w:type="dxa"/>
            <w:vAlign w:val="bottom"/>
            <w:tcBorders>
              <w:bottom w:val="single" w:sz="8" w:color="ABD8EA"/>
            </w:tcBorders>
            <w:gridSpan w:val="2"/>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Mr. Rode</w:t>
            </w:r>
          </w:p>
        </w:tc>
        <w:tc>
          <w:tcPr>
            <w:tcW w:w="1860" w:type="dxa"/>
            <w:vAlign w:val="bottom"/>
            <w:tcBorders>
              <w:bottom w:val="single" w:sz="8" w:color="ABD8EA"/>
            </w:tcBorders>
            <w:gridSpan w:val="4"/>
            <w:shd w:val="clear" w:color="auto" w:fill="ABD8EA"/>
          </w:tcPr>
          <w:p>
            <w:pPr>
              <w:jc w:val="center"/>
              <w:ind w:left="894"/>
              <w:spacing w:after="0"/>
              <w:rPr>
                <w:sz w:val="20"/>
                <w:szCs w:val="20"/>
                <w:color w:val="auto"/>
              </w:rPr>
            </w:pPr>
            <w:r>
              <w:rPr>
                <w:rFonts w:ascii="Times New Roman" w:cs="Times New Roman" w:eastAsia="Times New Roman" w:hAnsi="Times New Roman"/>
                <w:sz w:val="18"/>
                <w:szCs w:val="18"/>
                <w:color w:val="auto"/>
                <w:w w:val="96"/>
              </w:rPr>
              <w:t>50%</w:t>
            </w:r>
          </w:p>
        </w:tc>
        <w:tc>
          <w:tcPr>
            <w:tcW w:w="420" w:type="dxa"/>
            <w:vAlign w:val="bottom"/>
            <w:tcBorders>
              <w:bottom w:val="single" w:sz="8" w:color="ABD8EA"/>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36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Cornille</w:t>
            </w:r>
          </w:p>
        </w:tc>
        <w:tc>
          <w:tcPr>
            <w:tcW w:w="1860" w:type="dxa"/>
            <w:vAlign w:val="bottom"/>
            <w:gridSpan w:val="4"/>
          </w:tcPr>
          <w:p>
            <w:pPr>
              <w:jc w:val="center"/>
              <w:ind w:left="894"/>
              <w:spacing w:after="0"/>
              <w:rPr>
                <w:sz w:val="20"/>
                <w:szCs w:val="20"/>
                <w:color w:val="auto"/>
              </w:rPr>
            </w:pPr>
            <w:r>
              <w:rPr>
                <w:rFonts w:ascii="Times New Roman" w:cs="Times New Roman" w:eastAsia="Times New Roman" w:hAnsi="Times New Roman"/>
                <w:sz w:val="18"/>
                <w:szCs w:val="18"/>
                <w:color w:val="auto"/>
                <w:w w:val="96"/>
              </w:rPr>
              <w:t>50%</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36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20" w:type="dxa"/>
            <w:vAlign w:val="bottom"/>
            <w:tcBorders>
              <w:bottom w:val="single" w:sz="8" w:color="ABD8EA"/>
            </w:tcBorders>
            <w:gridSpan w:val="2"/>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Mr. Rosenthal</w:t>
            </w:r>
          </w:p>
        </w:tc>
        <w:tc>
          <w:tcPr>
            <w:tcW w:w="1860" w:type="dxa"/>
            <w:vAlign w:val="bottom"/>
            <w:tcBorders>
              <w:bottom w:val="single" w:sz="8" w:color="ABD8EA"/>
            </w:tcBorders>
            <w:gridSpan w:val="4"/>
            <w:shd w:val="clear" w:color="auto" w:fill="ABD8EA"/>
          </w:tcPr>
          <w:p>
            <w:pPr>
              <w:jc w:val="center"/>
              <w:ind w:left="894"/>
              <w:spacing w:after="0"/>
              <w:rPr>
                <w:sz w:val="20"/>
                <w:szCs w:val="20"/>
                <w:color w:val="auto"/>
              </w:rPr>
            </w:pPr>
            <w:r>
              <w:rPr>
                <w:rFonts w:ascii="Times New Roman" w:cs="Times New Roman" w:eastAsia="Times New Roman" w:hAnsi="Times New Roman"/>
                <w:sz w:val="18"/>
                <w:szCs w:val="18"/>
                <w:color w:val="auto"/>
                <w:w w:val="96"/>
              </w:rPr>
              <w:t>50%</w:t>
            </w:r>
          </w:p>
        </w:tc>
        <w:tc>
          <w:tcPr>
            <w:tcW w:w="420" w:type="dxa"/>
            <w:vAlign w:val="bottom"/>
            <w:tcBorders>
              <w:bottom w:val="single" w:sz="8" w:color="ABD8EA"/>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36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Singh</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360" w:type="dxa"/>
            <w:vAlign w:val="bottom"/>
          </w:tcPr>
          <w:p>
            <w:pPr>
              <w:spacing w:after="0"/>
              <w:rPr>
                <w:sz w:val="21"/>
                <w:szCs w:val="21"/>
                <w:color w:val="auto"/>
              </w:rPr>
            </w:pPr>
          </w:p>
        </w:tc>
      </w:tr>
    </w:tbl>
    <w:p>
      <w:pPr>
        <w:spacing w:after="0" w:line="279" w:lineRule="exact"/>
        <w:rPr>
          <w:sz w:val="20"/>
          <w:szCs w:val="20"/>
          <w:color w:val="auto"/>
        </w:rPr>
      </w:pPr>
    </w:p>
    <w:p>
      <w:pPr>
        <w:ind w:left="2860" w:right="120"/>
        <w:spacing w:after="0" w:line="261" w:lineRule="auto"/>
        <w:rPr>
          <w:sz w:val="20"/>
          <w:szCs w:val="20"/>
          <w:color w:val="auto"/>
        </w:rPr>
      </w:pPr>
      <w:r>
        <w:rPr>
          <w:rFonts w:ascii="Times New Roman" w:cs="Times New Roman" w:eastAsia="Times New Roman" w:hAnsi="Times New Roman"/>
          <w:sz w:val="18"/>
          <w:szCs w:val="18"/>
          <w:color w:val="auto"/>
        </w:rPr>
        <w:t>The Committee considers both competitive external market data provided by Aon and internal alignment to assist with targeted long-term incentive values. In addition, the Committee considers individual performance, potential future contributions to our business, and recommendations from our President and Chief Executive Officer with respect to the other NEOs.</w:t>
      </w:r>
    </w:p>
    <w:p>
      <w:pPr>
        <w:spacing w:after="0" w:line="2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target values approved by the Committee for fiscal year 2022 equity grants were as follows:</w:t>
      </w:r>
    </w:p>
    <w:p>
      <w:pPr>
        <w:spacing w:after="0" w:line="1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•    Mr. Vitale: $10,000,000</w:t>
      </w:r>
    </w:p>
    <w:p>
      <w:pPr>
        <w:spacing w:after="0" w:line="1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•    Ms. Davenport: $2,207,500</w:t>
      </w:r>
    </w:p>
    <w:p>
      <w:pPr>
        <w:spacing w:after="0" w:line="1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•    Mr. Rode: $507,000</w:t>
      </w:r>
    </w:p>
    <w:p>
      <w:pPr>
        <w:spacing w:after="0" w:line="1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•    Mr. Cornille: $473,000</w:t>
      </w:r>
    </w:p>
    <w:p>
      <w:pPr>
        <w:spacing w:after="0" w:line="1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•    Mr. Rosenthal: $385,250</w:t>
      </w:r>
    </w:p>
    <w:p>
      <w:pPr>
        <w:spacing w:after="0" w:line="1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•    Mr. Singh: $215,250</w:t>
      </w:r>
    </w:p>
    <w:p>
      <w:pPr>
        <w:spacing w:after="0" w:line="252" w:lineRule="exact"/>
        <w:rPr>
          <w:sz w:val="20"/>
          <w:szCs w:val="20"/>
          <w:color w:val="auto"/>
        </w:rPr>
      </w:pPr>
    </w:p>
    <w:p>
      <w:pPr>
        <w:ind w:left="2860" w:right="40"/>
        <w:spacing w:after="0" w:line="266" w:lineRule="auto"/>
        <w:rPr>
          <w:sz w:val="20"/>
          <w:szCs w:val="20"/>
          <w:color w:val="auto"/>
        </w:rPr>
      </w:pPr>
      <w:r>
        <w:rPr>
          <w:rFonts w:ascii="Times New Roman" w:cs="Times New Roman" w:eastAsia="Times New Roman" w:hAnsi="Times New Roman"/>
          <w:sz w:val="18"/>
          <w:szCs w:val="18"/>
          <w:color w:val="auto"/>
        </w:rPr>
        <w:t>Reference the discussion in “</w:t>
      </w:r>
      <w:r>
        <w:rPr>
          <w:rFonts w:ascii="Times New Roman" w:cs="Times New Roman" w:eastAsia="Times New Roman" w:hAnsi="Times New Roman"/>
          <w:sz w:val="18"/>
          <w:szCs w:val="18"/>
          <w:u w:val="single" w:color="auto"/>
          <w:color w:val="auto"/>
        </w:rPr>
        <w:t>Fiscal Year 2022 Special Equity Grant to our Executive Chairman</w:t>
      </w:r>
      <w:r>
        <w:rPr>
          <w:rFonts w:ascii="Times New Roman" w:cs="Times New Roman" w:eastAsia="Times New Roman" w:hAnsi="Times New Roman"/>
          <w:sz w:val="18"/>
          <w:szCs w:val="18"/>
          <w:color w:val="auto"/>
        </w:rPr>
        <w:t xml:space="preserve">” in the section </w:t>
      </w:r>
      <w:r>
        <w:rPr>
          <w:rFonts w:ascii="Times New Roman" w:cs="Times New Roman" w:eastAsia="Times New Roman" w:hAnsi="Times New Roman"/>
          <w:sz w:val="18"/>
          <w:szCs w:val="18"/>
          <w:i w:val="1"/>
          <w:iCs w:val="1"/>
          <w:color w:val="auto"/>
        </w:rPr>
        <w:t xml:space="preserve">“Long-Term Incentives—Fiscal Year 2022 Equity Grants” </w:t>
      </w:r>
      <w:r>
        <w:rPr>
          <w:rFonts w:ascii="Times New Roman" w:cs="Times New Roman" w:eastAsia="Times New Roman" w:hAnsi="Times New Roman"/>
          <w:sz w:val="18"/>
          <w:szCs w:val="18"/>
          <w:color w:val="auto"/>
        </w:rPr>
        <w:t>for an in-depth discussion of Mr. Vitale’s special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Compensation Mix</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Our mix of total compensation, as illustrated by the below charts, is significantly skewed towards variable “at-risk” compensation that is incentive-based: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131445</wp:posOffset>
            </wp:positionV>
            <wp:extent cx="4620260" cy="16205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2026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Decision Process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Corporate Governance and Compensation Committee</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Corporate Governance and Compensation Committee is responsible to our Board of Directors for oversight of our executive compensation programs. The Committee consists of independent directors and is responsible for the review and approval of all aspects of our programs. Among its duties, the Committee is responsible for:</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competitive market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chief executive officer’s performance and determining the chief executive officer’s compensation;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incentive plan goals, achievement levels, objectives and compensation recommendations for the NEOs and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competitiveness of each executive’s total compensation package to ensure that we can attract and retain critical management talent;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changes to the total compensation programs for the NEOs including, but not limited to, base salary, annual bonuses, long-term incentives and benefits.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Following review and discussion, the Committee or the Board, as applicable, approves the executive compensation of our executive officers. The Committee is supported in its work by our Senior Vice President, General Counsel and human resources team, as well as the Committee’s independent compensation consultant. In the event that an employee becomes an executive officer in the middle of the fiscal year, the Committee approves such executive officer’s compensation on a go-forward basis but does not retroactively approve any compensation or compensation targets previously set for such employee.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For executive officers other than herself, our President and Chief Executive Officer makes pay recommendations to the Committee based on competitive market data and an assessment of individual performance. Her recommendations to the Committee establish appropriate and market-competitive compensation opportunities for our NEOs, consistent with our overall pay philosophy. The Committee reviews and discusses the recommendations and seeks input and market data from the Committee’s independent compensation consultant before making compensation decisions or recommendations to the full Board. No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officer participates directly in the final deliberations or determinations regarding his or her own compensation package.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Independent Compensation Consultant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Committee retains the services of Aon’s Human Capital Solutions Practice, a division of Aon plc (“Aon”), in accordance with the Committee’s charter. Aon reports directly to the Committee. The Committee retains sole authority to hire or terminate Aon, approves its professional fees, determines the nature and scope of its services and evaluates its performance. A representative of Aon attends Committee meetings, as requested, and communicates with the Committee chair between meetings when needed. The Committee makes all final decisions regarding executive compensation.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Aon’s specific compensation consultation roles include, but are not limited to, the following:</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Committee on director and executive compensation trends and regulatory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peer group of companies for determining competitive compensation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total compensation study for executives against peer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to the Committee on corporate governance best practices, as well as any other areas of concern or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resource to the Committee chair for meeting agendas and supporting materials in advance of each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commenting on proxy statement disclosure items;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Committee on management’s pay recommendations.</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Committee has assessed the independence of Aon as required by the NYSE listing standards. The Committee reviewed its relationship with Aon and considered all relevant factors, including those set forth in Rule 10C-1(b)(4)(i) through (vi) under the Exchange Act. Based on this review, the Committee concluded that there are no conflicts of interest raised by the work performed by Aon.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Peer Companies and Competitive Market Data</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Annually, the Committee reviews total compensation market data provided by Aon. The Committee reviews and approves the peer group used for comparisons prior to commencement of the pay study. The following peer group development criteria were used to develop competitive market values to assist with fiscal year 2022 pay decisions:</w:t>
      </w:r>
    </w:p>
    <w:p>
      <w:pPr>
        <w:spacing w:after="0" w:line="7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w:t>
      </w:r>
      <w:r>
        <w:rPr>
          <w:rFonts w:ascii="Times New Roman" w:cs="Times New Roman" w:eastAsia="Times New Roman" w:hAnsi="Times New Roman"/>
          <w:sz w:val="18"/>
          <w:szCs w:val="18"/>
          <w:color w:val="auto"/>
        </w:rPr>
        <w:t>: similar to BellRing, based on the Industrial Classification Benchmark for the Russell 3000 index;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size</w:t>
      </w:r>
      <w:r>
        <w:rPr>
          <w:rFonts w:ascii="Times New Roman" w:cs="Times New Roman" w:eastAsia="Times New Roman" w:hAnsi="Times New Roman"/>
          <w:sz w:val="18"/>
          <w:szCs w:val="18"/>
          <w:color w:val="auto"/>
        </w:rPr>
        <w:t>: approximately 0.3x to 3x BellRing’s annual revenues, with a secondary focus on market cap;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w:t>
      </w:r>
      <w:r>
        <w:rPr>
          <w:rFonts w:ascii="Times New Roman" w:cs="Times New Roman" w:eastAsia="Times New Roman" w:hAnsi="Times New Roman"/>
          <w:sz w:val="18"/>
          <w:szCs w:val="18"/>
          <w:color w:val="auto"/>
        </w:rPr>
        <w:t>: companies using BellRing in their compensation peer group;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 of peers</w:t>
      </w:r>
      <w:r>
        <w:rPr>
          <w:rFonts w:ascii="Times New Roman" w:cs="Times New Roman" w:eastAsia="Times New Roman" w:hAnsi="Times New Roman"/>
          <w:sz w:val="18"/>
          <w:szCs w:val="18"/>
          <w:color w:val="auto"/>
        </w:rPr>
        <w:t>: companies used in the peer groups of potential peer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Competitors</w:t>
      </w:r>
      <w:r>
        <w:rPr>
          <w:rFonts w:ascii="Times New Roman" w:cs="Times New Roman" w:eastAsia="Times New Roman" w:hAnsi="Times New Roman"/>
          <w:sz w:val="18"/>
          <w:szCs w:val="18"/>
          <w:color w:val="auto"/>
        </w:rPr>
        <w:t>: companies that compete with BellRing for business and management talent.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peer group used to assist with fiscal year 2022 pay decisions consisted of the following 14 companies: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 B&amp;G Foods, Inc.</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 Medifast,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 Calavo Growers, Inc.</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 Cal-Maine Foods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 Farmer Bros. Co.</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Hain Celestial Group,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 Hostess Brands, Inc.</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 The Simply Good Foods Company</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 J&amp;J Snack Foods Corp.</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 USANA Health Sciences,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 John B. Sanfilippo &amp; Son, Inc.</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 Seneca Foods</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 Lancaster Colony Corporation</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 WW International, Inc.</w:t>
            </w:r>
          </w:p>
        </w:tc>
      </w:tr>
    </w:tbl>
    <w:p>
      <w:pPr>
        <w:spacing w:after="0" w:line="19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Committee uses competitive compensation data from the annual total compensation study of peer companies to inform its decisions about overall compensation opportunities and specific compensation elements. Additionally, the Committee uses multiple reference points when establishing targeted compensation levels. The Committee does not benchmark specific compensation elements or total compensation to any specific percentile relative to the peer companies or the broader United States market. Instead, the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Timing of Compensation Decisions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Pay recommendations for our executives, including our executive officers, are typically made by the Committee at its first regularly scheduled meeting in the first fiscal quarter of the year, normally held in November. This meeting is typically held around the same time as we report our annual financial results for the preceding fiscal year. This timing allows the Committee to have a complete financial performance picture prior to making compensation decisions. In advance of its regularly scheduled November meeting, the Committee often has pre-meetings or other off-cycle discussions to give thorough consideration to the appropriate amount and structure of compensation for our executives.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Decisions with respect to prior fiscal year performance, as well as annual equity awards, base salary increases and target performance levels for the current fiscal year and beyond, are also typically made at the Committee’s first regularly scheduled meeting for the fiscal year. Further, any equity awards approved by the Committee at this meeting are dated as of the date of the Committee meeting. As such, the Committee does not time the grants of options or any other equity incentives to the release of material non-public information.</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exceptions to this timing are awards to executives who are promoted or hired from outside of the Company during the fiscal year. These executives may receive equity awards effective or dated, as applicable, as of the date of their promotion or hire or the next nearest scheduled Committee meeting. There were no such awards under these exceptions in fiscal year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CEO Compensation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its first regularly scheduled meeting of the fiscal year, normally held in November, the Committee reviews and evaluates CEO performance, and determines performance achievement levels, for the prior fiscal year. The Committee also reviews competitive compensation data. Following review and discussion, the Committee or the Board, as applicable, approves the CEO’s compensation.</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fiscal year 2022, our executive compensation programs were determined by our Board of Directors, through our Corporate Governance and Compensation Committee. See </w:t>
      </w:r>
      <w:r>
        <w:rPr>
          <w:rFonts w:ascii="Times New Roman" w:cs="Times New Roman" w:eastAsia="Times New Roman" w:hAnsi="Times New Roman"/>
          <w:sz w:val="18"/>
          <w:szCs w:val="18"/>
          <w:i w:val="1"/>
          <w:iCs w:val="1"/>
          <w:color w:val="auto"/>
        </w:rPr>
        <w:t>Compensation Decision Process</w:t>
      </w:r>
      <w:r>
        <w:rPr>
          <w:rFonts w:ascii="Times New Roman" w:cs="Times New Roman" w:eastAsia="Times New Roman" w:hAnsi="Times New Roman"/>
          <w:sz w:val="18"/>
          <w:szCs w:val="18"/>
          <w:color w:val="auto"/>
        </w:rPr>
        <w:t xml:space="preserve"> above for further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Compensation Elements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Base salaries are designed to recognize the competency, experience and performance an executive brings to the position. Changes in base salary will result primarily from a comparison to peer group market data, individual and Company performance, internal equity, value to the organization, promotions and the specific responsibilities compared to market. The Committee reviews base salaries for our executive officers annually.</w:t>
      </w:r>
    </w:p>
    <w:p>
      <w:pPr>
        <w:spacing w:after="0" w:line="15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salaries were approved for fiscal year 2022, based on a thorough review of competitive market data provided by Aon and our objective for internal alignment:</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8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Fiscal Year 2021</w:t>
            </w:r>
          </w:p>
        </w:tc>
        <w:tc>
          <w:tcPr>
            <w:tcW w:w="50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Fiscal Year 2021</w:t>
            </w:r>
          </w:p>
        </w:tc>
        <w:tc>
          <w:tcPr>
            <w:tcW w:w="0" w:type="dxa"/>
            <w:vAlign w:val="bottom"/>
          </w:tcPr>
          <w:p>
            <w:pPr>
              <w:spacing w:after="0"/>
              <w:rPr>
                <w:sz w:val="1"/>
                <w:szCs w:val="1"/>
                <w:color w:val="auto"/>
              </w:rPr>
            </w:pPr>
          </w:p>
        </w:tc>
      </w:tr>
      <w:tr>
        <w:trPr>
          <w:trHeight w:val="20"/>
        </w:trPr>
        <w:tc>
          <w:tcPr>
            <w:tcW w:w="4180" w:type="dxa"/>
            <w:vAlign w:val="bottom"/>
            <w:shd w:val="clear" w:color="auto" w:fill="000000"/>
          </w:tcPr>
          <w:p>
            <w:pPr>
              <w:spacing w:after="0" w:line="20" w:lineRule="exact"/>
              <w:rPr>
                <w:sz w:val="1"/>
                <w:szCs w:val="1"/>
                <w:color w:val="auto"/>
              </w:rPr>
            </w:pPr>
          </w:p>
        </w:tc>
        <w:tc>
          <w:tcPr>
            <w:tcW w:w="960" w:type="dxa"/>
            <w:vAlign w:val="bottom"/>
            <w:shd w:val="clear" w:color="auto" w:fill="ABD8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ABD8EA"/>
          </w:tcPr>
          <w:p>
            <w:pPr>
              <w:spacing w:after="0" w:line="20" w:lineRule="exact"/>
              <w:rPr>
                <w:sz w:val="1"/>
                <w:szCs w:val="1"/>
                <w:color w:val="auto"/>
              </w:rPr>
            </w:pPr>
          </w:p>
        </w:tc>
        <w:tc>
          <w:tcPr>
            <w:tcW w:w="500" w:type="dxa"/>
            <w:vAlign w:val="bottom"/>
            <w:shd w:val="clear" w:color="auto" w:fill="ABD8EA"/>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ABD8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shd w:val="clear" w:color="auto" w:fill="ABD8EA"/>
          </w:tcPr>
          <w:p>
            <w:pPr>
              <w:spacing w:after="0" w:line="250"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960" w:type="dxa"/>
            <w:vAlign w:val="bottom"/>
            <w:shd w:val="clear" w:color="auto" w:fill="ABD8EA"/>
          </w:tcPr>
          <w:p>
            <w:pPr>
              <w:spacing w:after="0"/>
              <w:rPr>
                <w:sz w:val="21"/>
                <w:szCs w:val="21"/>
                <w:color w:val="auto"/>
              </w:rPr>
            </w:pPr>
          </w:p>
        </w:tc>
        <w:tc>
          <w:tcPr>
            <w:tcW w:w="120" w:type="dxa"/>
            <w:vAlign w:val="bottom"/>
            <w:shd w:val="clear" w:color="auto" w:fill="ABD8EA"/>
          </w:tcPr>
          <w:p>
            <w:pPr>
              <w:spacing w:after="0"/>
              <w:rPr>
                <w:sz w:val="21"/>
                <w:szCs w:val="21"/>
                <w:color w:val="auto"/>
              </w:rPr>
            </w:pPr>
          </w:p>
        </w:tc>
        <w:tc>
          <w:tcPr>
            <w:tcW w:w="1400" w:type="dxa"/>
            <w:vAlign w:val="bottom"/>
            <w:gridSpan w:val="2"/>
            <w:shd w:val="clear" w:color="auto" w:fill="ABD8EA"/>
          </w:tcPr>
          <w:p>
            <w:pPr>
              <w:jc w:val="right"/>
              <w:ind w:right="520"/>
              <w:spacing w:after="0"/>
              <w:rPr>
                <w:sz w:val="20"/>
                <w:szCs w:val="20"/>
                <w:color w:val="auto"/>
              </w:rPr>
            </w:pPr>
            <w:r>
              <w:rPr>
                <w:rFonts w:ascii="Times New Roman" w:cs="Times New Roman" w:eastAsia="Times New Roman" w:hAnsi="Times New Roman"/>
                <w:sz w:val="18"/>
                <w:szCs w:val="18"/>
                <w:color w:val="auto"/>
              </w:rPr>
              <w:t>N/A</w:t>
            </w:r>
          </w:p>
        </w:tc>
        <w:tc>
          <w:tcPr>
            <w:tcW w:w="500" w:type="dxa"/>
            <w:vAlign w:val="bottom"/>
            <w:shd w:val="clear" w:color="auto" w:fill="ABD8EA"/>
          </w:tcPr>
          <w:p>
            <w:pPr>
              <w:spacing w:after="0"/>
              <w:rPr>
                <w:sz w:val="21"/>
                <w:szCs w:val="21"/>
                <w:color w:val="auto"/>
              </w:rPr>
            </w:pPr>
          </w:p>
        </w:tc>
        <w:tc>
          <w:tcPr>
            <w:tcW w:w="1200" w:type="dxa"/>
            <w:vAlign w:val="bottom"/>
            <w:gridSpan w:val="2"/>
            <w:shd w:val="clear" w:color="auto" w:fill="ABD8EA"/>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650,000</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080" w:type="dxa"/>
            <w:vAlign w:val="bottom"/>
            <w:tcBorders>
              <w:bottom w:val="single" w:sz="8" w:color="ABD8EA"/>
            </w:tcBorders>
            <w:gridSpan w:val="2"/>
            <w:shd w:val="clear" w:color="auto" w:fill="ABD8EA"/>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BD8EA"/>
            </w:tcBorders>
            <w:gridSpan w:val="2"/>
            <w:shd w:val="clear" w:color="auto" w:fill="ABD8EA"/>
          </w:tcPr>
          <w:p>
            <w:pPr>
              <w:jc w:val="right"/>
              <w:ind w:right="520"/>
              <w:spacing w:after="0"/>
              <w:rPr>
                <w:sz w:val="20"/>
                <w:szCs w:val="20"/>
                <w:color w:val="auto"/>
              </w:rPr>
            </w:pPr>
            <w:r>
              <w:rPr>
                <w:rFonts w:ascii="Times New Roman" w:cs="Times New Roman" w:eastAsia="Times New Roman" w:hAnsi="Times New Roman"/>
                <w:sz w:val="18"/>
                <w:szCs w:val="18"/>
                <w:color w:val="auto"/>
              </w:rPr>
              <w:t>420,000</w:t>
            </w:r>
          </w:p>
        </w:tc>
        <w:tc>
          <w:tcPr>
            <w:tcW w:w="1700" w:type="dxa"/>
            <w:vAlign w:val="bottom"/>
            <w:tcBorders>
              <w:bottom w:val="single" w:sz="8" w:color="ABD8EA"/>
            </w:tcBorders>
            <w:gridSpan w:val="3"/>
            <w:shd w:val="clear" w:color="auto" w:fill="ABD8EA"/>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380,000</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080" w:type="dxa"/>
            <w:vAlign w:val="bottom"/>
            <w:tcBorders>
              <w:bottom w:val="single" w:sz="8" w:color="ABD8EA"/>
            </w:tcBorders>
            <w:gridSpan w:val="2"/>
            <w:shd w:val="clear" w:color="auto" w:fill="ABD8EA"/>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BD8EA"/>
            </w:tcBorders>
            <w:gridSpan w:val="2"/>
            <w:shd w:val="clear" w:color="auto" w:fill="ABD8EA"/>
          </w:tcPr>
          <w:p>
            <w:pPr>
              <w:jc w:val="right"/>
              <w:ind w:right="520"/>
              <w:spacing w:after="0"/>
              <w:rPr>
                <w:sz w:val="20"/>
                <w:szCs w:val="20"/>
                <w:color w:val="auto"/>
              </w:rPr>
            </w:pPr>
            <w:r>
              <w:rPr>
                <w:rFonts w:ascii="Times New Roman" w:cs="Times New Roman" w:eastAsia="Times New Roman" w:hAnsi="Times New Roman"/>
                <w:sz w:val="18"/>
                <w:szCs w:val="18"/>
                <w:color w:val="auto"/>
              </w:rPr>
              <w:t>345,000</w:t>
            </w:r>
          </w:p>
        </w:tc>
        <w:tc>
          <w:tcPr>
            <w:tcW w:w="1700" w:type="dxa"/>
            <w:vAlign w:val="bottom"/>
            <w:tcBorders>
              <w:bottom w:val="single" w:sz="8" w:color="ABD8EA"/>
            </w:tcBorders>
            <w:gridSpan w:val="3"/>
            <w:shd w:val="clear" w:color="auto" w:fill="ABD8EA"/>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345,000</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receive a base salary in his role as Executive Chairman of the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 (Senior Management Bonus Program)</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NEOs are eligible to earn incentives based on fiscal year performance. Our Senior Management Bonus Program is designed to reward our executives who attain superior annual performance in key areas that we believe create long-term value for stockholders. Performance is measured at both the corporate and business unit level.</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For fiscal year 2022, the Committee approved Net Revenue (25%) and Adjusted EBITDA (75%) as the performance metrics for both the corporate and business unit level (Premier Nutrition).</w:t>
      </w:r>
    </w:p>
    <w:p>
      <w:pPr>
        <w:spacing w:after="0" w:line="67" w:lineRule="exact"/>
        <w:rPr>
          <w:sz w:val="20"/>
          <w:szCs w:val="20"/>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100% of target annual bonus opportunity may be earned if the participant’s’ targeted corporate / business unit financial performance is achieved.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100% to 150% of target annual bonus opportunity may be earned if the participant’s targeted corporate / business unit financial performance is achieved. However, all above-target payment opportunities are based solely on BellRing Brands’ overall corporate financial performance achievement.</w:t>
      </w:r>
    </w:p>
    <w:p>
      <w:pPr>
        <w:spacing w:after="0" w:line="176"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Potential financial adjustments to determine performance achievement levels include items such as transaction costs and integration costs, provision for legal settlements, non-cash stock-based compensation and other items that the Company believes do not contribute to a meaningful evaluation of the Company’s current operating performance or comparisons of the Company’s operating performance to other fiscal periods. These adjustments are consistent with our announced results.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the fiscal year, the Committee determines achievement levels versus the pre-approved financial targets, calculated separately for each performance metric. The Committee also performs a comprehensive review of the overall financial performance at the corporate and business unit levels. For performance achievement between the threshold, target and maximum performance levels, calculated separately for each performance metric, earned amounts are interpolated on a straight-line basis between points. Performance achievement below the threshold level for a performance metric will result in a lower bonus amount for that performance metric, to the extent discretion is exercised, or no bonus at all. The Committee retains flexibility to make adjustments as needed to incorporate the results of its comprehensive financial review.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Target award opportunities</w:t>
      </w:r>
      <w:r>
        <w:rPr>
          <w:rFonts w:ascii="Times New Roman" w:cs="Times New Roman" w:eastAsia="Times New Roman" w:hAnsi="Times New Roman"/>
          <w:sz w:val="18"/>
          <w:szCs w:val="18"/>
          <w:color w:val="auto"/>
        </w:rPr>
        <w:t>: The following target bonuses (as a percentage of base salary) were approved for fiscal year 2022, based on a thorough review of competitive market data provided by Aon and our objective for internal alignment:</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tcPr>
          <w:p>
            <w:pPr>
              <w:spacing w:after="0"/>
              <w:rPr>
                <w:sz w:val="12"/>
                <w:szCs w:val="12"/>
                <w:color w:val="auto"/>
              </w:rPr>
            </w:pPr>
          </w:p>
        </w:tc>
        <w:tc>
          <w:tcPr>
            <w:tcW w:w="150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2022 Target</w:t>
            </w:r>
            <w:r>
              <w:rPr>
                <w:rFonts w:ascii="Times New Roman" w:cs="Times New Roman" w:eastAsia="Times New Roman" w:hAnsi="Times New Roman"/>
                <w:sz w:val="10"/>
                <w:szCs w:val="10"/>
                <w:b w:val="1"/>
                <w:bCs w:val="1"/>
                <w:color w:val="auto"/>
                <w:w w:val="98"/>
              </w:rPr>
              <w:t>(2)</w:t>
            </w: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Comments</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BD8EA"/>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660" w:type="dxa"/>
            <w:vAlign w:val="bottom"/>
            <w:tcBorders>
              <w:bottom w:val="single" w:sz="8" w:color="ABD8EA"/>
            </w:tcBorders>
          </w:tcPr>
          <w:p>
            <w:pPr>
              <w:spacing w:after="0"/>
              <w:rPr>
                <w:sz w:val="15"/>
                <w:szCs w:val="15"/>
                <w:color w:val="auto"/>
              </w:rPr>
            </w:pPr>
          </w:p>
        </w:tc>
        <w:tc>
          <w:tcPr>
            <w:tcW w:w="3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ABD8EA"/>
          </w:tcPr>
          <w:p>
            <w:pPr>
              <w:spacing w:after="0" w:line="250"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540" w:type="dxa"/>
            <w:vAlign w:val="bottom"/>
            <w:shd w:val="clear" w:color="auto" w:fill="ABD8EA"/>
          </w:tcPr>
          <w:p>
            <w:pPr>
              <w:spacing w:after="0"/>
              <w:rPr>
                <w:sz w:val="21"/>
                <w:szCs w:val="21"/>
                <w:color w:val="auto"/>
              </w:rPr>
            </w:pPr>
          </w:p>
        </w:tc>
        <w:tc>
          <w:tcPr>
            <w:tcW w:w="1500" w:type="dxa"/>
            <w:vAlign w:val="bottom"/>
            <w:gridSpan w:val="2"/>
            <w:shd w:val="clear" w:color="auto" w:fill="ABD8EA"/>
          </w:tcPr>
          <w:p>
            <w:pPr>
              <w:jc w:val="right"/>
              <w:ind w:right="660"/>
              <w:spacing w:after="0"/>
              <w:rPr>
                <w:sz w:val="20"/>
                <w:szCs w:val="20"/>
                <w:color w:val="auto"/>
              </w:rPr>
            </w:pPr>
            <w:r>
              <w:rPr>
                <w:rFonts w:ascii="Times New Roman" w:cs="Times New Roman" w:eastAsia="Times New Roman" w:hAnsi="Times New Roman"/>
                <w:sz w:val="18"/>
                <w:szCs w:val="18"/>
                <w:color w:val="auto"/>
              </w:rPr>
              <w:t>N/A</w:t>
            </w:r>
          </w:p>
        </w:tc>
        <w:tc>
          <w:tcPr>
            <w:tcW w:w="310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2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125%</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2040" w:type="dxa"/>
            <w:vAlign w:val="bottom"/>
            <w:tcBorders>
              <w:bottom w:val="single" w:sz="8" w:color="ABD8EA"/>
            </w:tcBorders>
            <w:gridSpan w:val="3"/>
            <w:shd w:val="clear" w:color="auto" w:fill="ABD8EA"/>
          </w:tcPr>
          <w:p>
            <w:pPr>
              <w:jc w:val="right"/>
              <w:ind w:right="500"/>
              <w:spacing w:after="0"/>
              <w:rPr>
                <w:sz w:val="20"/>
                <w:szCs w:val="20"/>
                <w:color w:val="auto"/>
              </w:rPr>
            </w:pPr>
            <w:r>
              <w:rPr>
                <w:rFonts w:ascii="Times New Roman" w:cs="Times New Roman" w:eastAsia="Times New Roman" w:hAnsi="Times New Roman"/>
                <w:sz w:val="18"/>
                <w:szCs w:val="18"/>
                <w:color w:val="auto"/>
              </w:rPr>
              <w:t>65%</w:t>
            </w:r>
          </w:p>
        </w:tc>
        <w:tc>
          <w:tcPr>
            <w:tcW w:w="3100" w:type="dxa"/>
            <w:vAlign w:val="bottom"/>
            <w:tcBorders>
              <w:bottom w:val="single" w:sz="8" w:color="ABD8EA"/>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rPr>
              <w:t>Increased from 62%</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2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65%</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Increased from 52%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2040" w:type="dxa"/>
            <w:vAlign w:val="bottom"/>
            <w:tcBorders>
              <w:bottom w:val="single" w:sz="8" w:color="ABD8EA"/>
            </w:tcBorders>
            <w:gridSpan w:val="3"/>
            <w:shd w:val="clear" w:color="auto" w:fill="ABD8EA"/>
          </w:tcPr>
          <w:p>
            <w:pPr>
              <w:jc w:val="right"/>
              <w:ind w:right="500"/>
              <w:spacing w:after="0"/>
              <w:rPr>
                <w:sz w:val="20"/>
                <w:szCs w:val="20"/>
                <w:color w:val="auto"/>
              </w:rPr>
            </w:pPr>
            <w:r>
              <w:rPr>
                <w:rFonts w:ascii="Times New Roman" w:cs="Times New Roman" w:eastAsia="Times New Roman" w:hAnsi="Times New Roman"/>
                <w:sz w:val="18"/>
                <w:szCs w:val="18"/>
                <w:color w:val="auto"/>
              </w:rPr>
              <w:t>55%</w:t>
            </w:r>
          </w:p>
        </w:tc>
        <w:tc>
          <w:tcPr>
            <w:tcW w:w="3100" w:type="dxa"/>
            <w:vAlign w:val="bottom"/>
            <w:tcBorders>
              <w:bottom w:val="single" w:sz="8" w:color="ABD8EA"/>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rPr>
              <w:t>Increased from 52%</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2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55%</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Increased from 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participate in our Senior Management Bonus Program in his role as Executive Chairman of the Board of Directors.</w:t>
      </w:r>
    </w:p>
    <w:p>
      <w:pPr>
        <w:spacing w:after="0" w:line="27" w:lineRule="exact"/>
        <w:rPr>
          <w:rFonts w:ascii="Times New Roman" w:cs="Times New Roman" w:eastAsia="Times New Roman" w:hAnsi="Times New Roman"/>
          <w:sz w:val="18"/>
          <w:szCs w:val="18"/>
          <w:color w:val="auto"/>
        </w:rPr>
      </w:pPr>
    </w:p>
    <w:p>
      <w:pPr>
        <w:ind w:left="540" w:right="160" w:hanging="424"/>
        <w:spacing w:after="0" w:line="25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performance metric, participants may earn from 50% to 150% of the target bonus attributable to that performance metric based on performance achievement between the threshold and maximum levels. All above-target payment opportunities are based solely on BellRing Brands’ overall corporate financial performance achievement. Payout opportunities for performance between the threshold, target and maximum levels, calculated separately for each performance metric, are interpolated on a straight-line basis. For business unit level named executive officers, above-target payout opportunities are subject to the business unit achieving the performance metric target level and are calculated based on the performance overachievement, if any, by the Company of the corporate level performance metric target. Performance achievement below the threshold level for a performance metric generally will result in a lower bonus amount for that performance metric, to the extent discretion is exercised, or no bonus at all.</w:t>
      </w:r>
    </w:p>
    <w:p>
      <w:pPr>
        <w:spacing w:after="0" w:line="19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Target and Actual Fiscal Year 2022 performance:</w:t>
      </w:r>
      <w:r>
        <w:rPr>
          <w:rFonts w:ascii="Times New Roman" w:cs="Times New Roman" w:eastAsia="Times New Roman" w:hAnsi="Times New Roman"/>
          <w:sz w:val="18"/>
          <w:szCs w:val="18"/>
          <w:color w:val="auto"/>
        </w:rPr>
        <w:t xml:space="preserve"> Below are the approved levels, and actual achievement, of corporate and business unit Net Revenue and Adjusted EBITDA for fiscal year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66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Fiscal Year 2022 Performance Metrics</w:t>
            </w:r>
            <w:r>
              <w:rPr>
                <w:rFonts w:ascii="Times New Roman" w:cs="Times New Roman" w:eastAsia="Times New Roman" w:hAnsi="Times New Roman"/>
                <w:sz w:val="10"/>
                <w:szCs w:val="10"/>
                <w:b w:val="1"/>
                <w:bCs w:val="1"/>
                <w:color w:val="auto"/>
              </w:rPr>
              <w:t>(1)</w:t>
            </w:r>
          </w:p>
        </w:tc>
        <w:tc>
          <w:tcPr>
            <w:tcW w:w="34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80" w:type="dxa"/>
            <w:vAlign w:val="bottom"/>
          </w:tcPr>
          <w:p>
            <w:pPr>
              <w:spacing w:after="0"/>
              <w:rPr>
                <w:sz w:val="16"/>
                <w:szCs w:val="16"/>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8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69"/>
        </w:trPr>
        <w:tc>
          <w:tcPr>
            <w:tcW w:w="340" w:type="dxa"/>
            <w:vAlign w:val="bottom"/>
            <w:tcBorders>
              <w:top w:val="single" w:sz="8" w:color="auto"/>
            </w:tcBorders>
          </w:tcPr>
          <w:p>
            <w:pPr>
              <w:spacing w:after="0"/>
              <w:rPr>
                <w:sz w:val="14"/>
                <w:szCs w:val="14"/>
                <w:color w:val="auto"/>
              </w:rPr>
            </w:pPr>
          </w:p>
        </w:tc>
        <w:tc>
          <w:tcPr>
            <w:tcW w:w="66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50"/>
        </w:trPr>
        <w:tc>
          <w:tcPr>
            <w:tcW w:w="34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w w:val="90"/>
              </w:rPr>
              <w:t>25%</w:t>
            </w:r>
          </w:p>
        </w:tc>
        <w:tc>
          <w:tcPr>
            <w:tcW w:w="6600" w:type="dxa"/>
            <w:vAlign w:val="bottom"/>
            <w:tcBorders>
              <w:bottom w:val="single" w:sz="8" w:color="ABD8EA"/>
            </w:tcBorders>
            <w:shd w:val="clear" w:color="auto" w:fill="ABD8EA"/>
          </w:tcPr>
          <w:p>
            <w:pPr>
              <w:ind w:left="40"/>
              <w:spacing w:after="0"/>
              <w:rPr>
                <w:sz w:val="20"/>
                <w:szCs w:val="20"/>
                <w:color w:val="auto"/>
              </w:rPr>
            </w:pPr>
            <w:r>
              <w:rPr>
                <w:rFonts w:ascii="Times New Roman" w:cs="Times New Roman" w:eastAsia="Times New Roman" w:hAnsi="Times New Roman"/>
                <w:sz w:val="18"/>
                <w:szCs w:val="18"/>
                <w:color w:val="auto"/>
              </w:rPr>
              <w:t>Net Revenue — BellRing (Corporate)</w:t>
            </w:r>
          </w:p>
        </w:tc>
        <w:tc>
          <w:tcPr>
            <w:tcW w:w="420" w:type="dxa"/>
            <w:vAlign w:val="bottom"/>
            <w:tcBorders>
              <w:bottom w:val="single" w:sz="8" w:color="ABD8EA"/>
            </w:tcBorders>
            <w:gridSpan w:val="2"/>
            <w:shd w:val="clear" w:color="auto" w:fill="ABD8EA"/>
          </w:tcPr>
          <w:p>
            <w:pPr>
              <w:ind w:left="340"/>
              <w:spacing w:after="0"/>
              <w:rPr>
                <w:sz w:val="20"/>
                <w:szCs w:val="20"/>
                <w:color w:val="auto"/>
              </w:rPr>
            </w:pPr>
            <w:r>
              <w:rPr>
                <w:rFonts w:ascii="Times New Roman" w:cs="Times New Roman" w:eastAsia="Times New Roman" w:hAnsi="Times New Roman"/>
                <w:sz w:val="17"/>
                <w:szCs w:val="17"/>
                <w:color w:val="auto"/>
                <w:w w:val="70"/>
                <w:shd w:val="clear" w:color="auto" w:fill="ABD8EA"/>
              </w:rPr>
              <w:t>$</w:t>
            </w:r>
          </w:p>
        </w:tc>
        <w:tc>
          <w:tcPr>
            <w:tcW w:w="740" w:type="dxa"/>
            <w:vAlign w:val="bottom"/>
            <w:tcBorders>
              <w:bottom w:val="single" w:sz="8" w:color="ABD8EA"/>
            </w:tcBorders>
            <w:shd w:val="clear" w:color="auto" w:fill="ABD8EA"/>
          </w:tcPr>
          <w:p>
            <w:pPr>
              <w:jc w:val="right"/>
              <w:ind w:right="110"/>
              <w:spacing w:after="0"/>
              <w:rPr>
                <w:sz w:val="20"/>
                <w:szCs w:val="20"/>
                <w:color w:val="auto"/>
              </w:rPr>
            </w:pPr>
            <w:r>
              <w:rPr>
                <w:rFonts w:ascii="Times New Roman" w:cs="Times New Roman" w:eastAsia="Times New Roman" w:hAnsi="Times New Roman"/>
                <w:sz w:val="18"/>
                <w:szCs w:val="18"/>
                <w:color w:val="auto"/>
                <w:w w:val="96"/>
                <w:shd w:val="clear" w:color="auto" w:fill="ABD8EA"/>
              </w:rPr>
              <w:t>1,330.6</w:t>
            </w:r>
          </w:p>
        </w:tc>
        <w:tc>
          <w:tcPr>
            <w:tcW w:w="28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shd w:val="clear" w:color="auto" w:fill="ABD8EA"/>
              </w:rPr>
              <w:t>$</w:t>
            </w:r>
          </w:p>
        </w:tc>
        <w:tc>
          <w:tcPr>
            <w:tcW w:w="720" w:type="dxa"/>
            <w:vAlign w:val="bottom"/>
            <w:tcBorders>
              <w:bottom w:val="single" w:sz="8" w:color="ABD8EA"/>
            </w:tcBorders>
            <w:shd w:val="clear" w:color="auto" w:fill="ABD8EA"/>
          </w:tcPr>
          <w:p>
            <w:pPr>
              <w:jc w:val="right"/>
              <w:ind w:right="96"/>
              <w:spacing w:after="0"/>
              <w:rPr>
                <w:sz w:val="20"/>
                <w:szCs w:val="20"/>
                <w:color w:val="auto"/>
              </w:rPr>
            </w:pPr>
            <w:r>
              <w:rPr>
                <w:rFonts w:ascii="Times New Roman" w:cs="Times New Roman" w:eastAsia="Times New Roman" w:hAnsi="Times New Roman"/>
                <w:sz w:val="18"/>
                <w:szCs w:val="18"/>
                <w:color w:val="auto"/>
                <w:w w:val="96"/>
                <w:shd w:val="clear" w:color="auto" w:fill="ABD8EA"/>
              </w:rPr>
              <w:t>1,400.6</w:t>
            </w:r>
          </w:p>
        </w:tc>
        <w:tc>
          <w:tcPr>
            <w:tcW w:w="30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w w:val="88"/>
                <w:shd w:val="clear" w:color="auto" w:fill="ABD8EA"/>
              </w:rPr>
              <w:t>$</w:t>
            </w:r>
          </w:p>
        </w:tc>
        <w:tc>
          <w:tcPr>
            <w:tcW w:w="740" w:type="dxa"/>
            <w:vAlign w:val="bottom"/>
            <w:tcBorders>
              <w:bottom w:val="single" w:sz="8" w:color="ABD8EA"/>
            </w:tcBorders>
            <w:shd w:val="clear" w:color="auto" w:fill="ABD8EA"/>
          </w:tcPr>
          <w:p>
            <w:pPr>
              <w:jc w:val="right"/>
              <w:ind w:right="110"/>
              <w:spacing w:after="0"/>
              <w:rPr>
                <w:sz w:val="20"/>
                <w:szCs w:val="20"/>
                <w:color w:val="auto"/>
              </w:rPr>
            </w:pPr>
            <w:r>
              <w:rPr>
                <w:rFonts w:ascii="Times New Roman" w:cs="Times New Roman" w:eastAsia="Times New Roman" w:hAnsi="Times New Roman"/>
                <w:sz w:val="18"/>
                <w:szCs w:val="18"/>
                <w:color w:val="auto"/>
                <w:w w:val="96"/>
                <w:shd w:val="clear" w:color="auto" w:fill="ABD8EA"/>
              </w:rPr>
              <w:t>1,470.6</w:t>
            </w:r>
          </w:p>
        </w:tc>
        <w:tc>
          <w:tcPr>
            <w:tcW w:w="28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shd w:val="clear" w:color="auto" w:fill="ABD8EA"/>
              </w:rPr>
              <w:t>$</w:t>
            </w:r>
          </w:p>
        </w:tc>
        <w:tc>
          <w:tcPr>
            <w:tcW w:w="60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w w:val="96"/>
                <w:shd w:val="clear" w:color="auto" w:fill="ABD8EA"/>
              </w:rPr>
              <w:t>1,371.5</w:t>
            </w:r>
          </w:p>
        </w:tc>
      </w:tr>
      <w:tr>
        <w:trPr>
          <w:trHeight w:val="270"/>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75%</w:t>
            </w:r>
          </w:p>
        </w:tc>
        <w:tc>
          <w:tcPr>
            <w:tcW w:w="6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Adjusted EBITDA — BellRing (Corporate)</w:t>
            </w:r>
            <w:r>
              <w:rPr>
                <w:rFonts w:ascii="Times New Roman" w:cs="Times New Roman" w:eastAsia="Times New Roman" w:hAnsi="Times New Roman"/>
                <w:sz w:val="26"/>
                <w:szCs w:val="26"/>
                <w:color w:val="auto"/>
                <w:vertAlign w:val="superscript"/>
              </w:rPr>
              <w:t>(2)</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254.6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268.0</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281.4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271.4</w:t>
            </w:r>
          </w:p>
        </w:tc>
      </w:tr>
      <w:tr>
        <w:trPr>
          <w:trHeight w:val="250"/>
        </w:trPr>
        <w:tc>
          <w:tcPr>
            <w:tcW w:w="34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w w:val="90"/>
              </w:rPr>
              <w:t>25%</w:t>
            </w:r>
          </w:p>
        </w:tc>
        <w:tc>
          <w:tcPr>
            <w:tcW w:w="6600" w:type="dxa"/>
            <w:vAlign w:val="bottom"/>
            <w:tcBorders>
              <w:bottom w:val="single" w:sz="8" w:color="ABD8EA"/>
            </w:tcBorders>
            <w:shd w:val="clear" w:color="auto" w:fill="ABD8EA"/>
          </w:tcPr>
          <w:p>
            <w:pPr>
              <w:ind w:left="40"/>
              <w:spacing w:after="0"/>
              <w:rPr>
                <w:sz w:val="20"/>
                <w:szCs w:val="20"/>
                <w:color w:val="auto"/>
              </w:rPr>
            </w:pPr>
            <w:r>
              <w:rPr>
                <w:rFonts w:ascii="Times New Roman" w:cs="Times New Roman" w:eastAsia="Times New Roman" w:hAnsi="Times New Roman"/>
                <w:sz w:val="18"/>
                <w:szCs w:val="18"/>
                <w:color w:val="auto"/>
              </w:rPr>
              <w:t>Net Revenue — Premier Nutrition (Business Unit)</w:t>
            </w:r>
          </w:p>
        </w:tc>
        <w:tc>
          <w:tcPr>
            <w:tcW w:w="420" w:type="dxa"/>
            <w:vAlign w:val="bottom"/>
            <w:tcBorders>
              <w:bottom w:val="single" w:sz="8" w:color="ABD8EA"/>
            </w:tcBorders>
            <w:gridSpan w:val="2"/>
            <w:shd w:val="clear" w:color="auto" w:fill="ABD8EA"/>
          </w:tcPr>
          <w:p>
            <w:pPr>
              <w:ind w:left="340"/>
              <w:spacing w:after="0"/>
              <w:rPr>
                <w:sz w:val="20"/>
                <w:szCs w:val="20"/>
                <w:color w:val="auto"/>
              </w:rPr>
            </w:pPr>
            <w:r>
              <w:rPr>
                <w:rFonts w:ascii="Times New Roman" w:cs="Times New Roman" w:eastAsia="Times New Roman" w:hAnsi="Times New Roman"/>
                <w:sz w:val="17"/>
                <w:szCs w:val="17"/>
                <w:color w:val="auto"/>
                <w:w w:val="70"/>
                <w:shd w:val="clear" w:color="auto" w:fill="ABD8EA"/>
              </w:rPr>
              <w:t>$</w:t>
            </w:r>
          </w:p>
        </w:tc>
        <w:tc>
          <w:tcPr>
            <w:tcW w:w="740" w:type="dxa"/>
            <w:vAlign w:val="bottom"/>
            <w:tcBorders>
              <w:bottom w:val="single" w:sz="8" w:color="ABD8EA"/>
            </w:tcBorders>
            <w:shd w:val="clear" w:color="auto" w:fill="ABD8EA"/>
          </w:tcPr>
          <w:p>
            <w:pPr>
              <w:jc w:val="right"/>
              <w:ind w:right="110"/>
              <w:spacing w:after="0"/>
              <w:rPr>
                <w:sz w:val="20"/>
                <w:szCs w:val="20"/>
                <w:color w:val="auto"/>
              </w:rPr>
            </w:pPr>
            <w:r>
              <w:rPr>
                <w:rFonts w:ascii="Times New Roman" w:cs="Times New Roman" w:eastAsia="Times New Roman" w:hAnsi="Times New Roman"/>
                <w:sz w:val="18"/>
                <w:szCs w:val="18"/>
                <w:color w:val="auto"/>
                <w:w w:val="96"/>
                <w:shd w:val="clear" w:color="auto" w:fill="ABD8EA"/>
              </w:rPr>
              <w:t>1,279.3</w:t>
            </w:r>
          </w:p>
        </w:tc>
        <w:tc>
          <w:tcPr>
            <w:tcW w:w="28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shd w:val="clear" w:color="auto" w:fill="ABD8EA"/>
              </w:rPr>
              <w:t>$</w:t>
            </w:r>
          </w:p>
        </w:tc>
        <w:tc>
          <w:tcPr>
            <w:tcW w:w="720" w:type="dxa"/>
            <w:vAlign w:val="bottom"/>
            <w:tcBorders>
              <w:bottom w:val="single" w:sz="8" w:color="ABD8EA"/>
            </w:tcBorders>
            <w:shd w:val="clear" w:color="auto" w:fill="ABD8EA"/>
          </w:tcPr>
          <w:p>
            <w:pPr>
              <w:jc w:val="right"/>
              <w:ind w:right="96"/>
              <w:spacing w:after="0"/>
              <w:rPr>
                <w:sz w:val="20"/>
                <w:szCs w:val="20"/>
                <w:color w:val="auto"/>
              </w:rPr>
            </w:pPr>
            <w:r>
              <w:rPr>
                <w:rFonts w:ascii="Times New Roman" w:cs="Times New Roman" w:eastAsia="Times New Roman" w:hAnsi="Times New Roman"/>
                <w:sz w:val="18"/>
                <w:szCs w:val="18"/>
                <w:color w:val="auto"/>
                <w:w w:val="96"/>
                <w:shd w:val="clear" w:color="auto" w:fill="ABD8EA"/>
              </w:rPr>
              <w:t>1,346.6</w:t>
            </w:r>
          </w:p>
        </w:tc>
        <w:tc>
          <w:tcPr>
            <w:tcW w:w="30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w w:val="88"/>
                <w:shd w:val="clear" w:color="auto" w:fill="ABD8EA"/>
              </w:rPr>
              <w:t>$</w:t>
            </w:r>
          </w:p>
        </w:tc>
        <w:tc>
          <w:tcPr>
            <w:tcW w:w="740" w:type="dxa"/>
            <w:vAlign w:val="bottom"/>
            <w:tcBorders>
              <w:bottom w:val="single" w:sz="8" w:color="ABD8EA"/>
            </w:tcBorders>
            <w:shd w:val="clear" w:color="auto" w:fill="ABD8EA"/>
          </w:tcPr>
          <w:p>
            <w:pPr>
              <w:jc w:val="right"/>
              <w:ind w:right="110"/>
              <w:spacing w:after="0"/>
              <w:rPr>
                <w:sz w:val="20"/>
                <w:szCs w:val="20"/>
                <w:color w:val="auto"/>
              </w:rPr>
            </w:pPr>
            <w:r>
              <w:rPr>
                <w:rFonts w:ascii="Times New Roman" w:cs="Times New Roman" w:eastAsia="Times New Roman" w:hAnsi="Times New Roman"/>
                <w:sz w:val="18"/>
                <w:szCs w:val="18"/>
                <w:color w:val="auto"/>
                <w:w w:val="96"/>
                <w:shd w:val="clear" w:color="auto" w:fill="ABD8EA"/>
              </w:rPr>
              <w:t>1,413.9</w:t>
            </w:r>
          </w:p>
        </w:tc>
        <w:tc>
          <w:tcPr>
            <w:tcW w:w="28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shd w:val="clear" w:color="auto" w:fill="ABD8EA"/>
              </w:rPr>
              <w:t>$</w:t>
            </w:r>
          </w:p>
        </w:tc>
        <w:tc>
          <w:tcPr>
            <w:tcW w:w="60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w w:val="96"/>
                <w:shd w:val="clear" w:color="auto" w:fill="ABD8EA"/>
              </w:rPr>
              <w:t>1,319.4</w:t>
            </w:r>
          </w:p>
        </w:tc>
      </w:tr>
      <w:tr>
        <w:trPr>
          <w:trHeight w:val="369"/>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75%</w:t>
            </w: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 Premier Nutrition (Business Unit)</w:t>
            </w:r>
            <w:r>
              <w:rPr>
                <w:rFonts w:ascii="Times New Roman" w:cs="Times New Roman" w:eastAsia="Times New Roman" w:hAnsi="Times New Roman"/>
                <w:sz w:val="26"/>
                <w:szCs w:val="26"/>
                <w:color w:val="auto"/>
                <w:vertAlign w:val="superscript"/>
              </w:rPr>
              <w:t>(3)</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266.1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280.1</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294.1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2"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evaluating financial goals/results, the Committee generally excludes non-recurring or extraordinary items.</w:t>
      </w:r>
    </w:p>
    <w:p>
      <w:pPr>
        <w:spacing w:after="0" w:line="27"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EBITDA-BellRing (Corporate) is a non-GAAP measure which represents the consolidated net earnings of the Company from the Company’s Annual Report on Form 10-K, excluding income tax expense, net interest expense, depreciation and amortization, non-cash stock-based compensation, noncontrolling interest, separation costs and foreign currency gain/loss on intercompany loans. See “Explanation and Reconciliation of Non-GAAP Measures” beginning on page 8 of the Company’s earnings release dated November 17, 2022 and furnished as Exhibit 99.1 to the Company’s Current Report on Form 8-K as furnished to the SEC on November 17, 2022.</w:t>
      </w:r>
    </w:p>
    <w:p>
      <w:pPr>
        <w:spacing w:after="0" w:line="1" w:lineRule="exact"/>
        <w:rPr>
          <w:rFonts w:ascii="Times New Roman" w:cs="Times New Roman" w:eastAsia="Times New Roman" w:hAnsi="Times New Roman"/>
          <w:sz w:val="18"/>
          <w:szCs w:val="18"/>
          <w:color w:val="auto"/>
        </w:rPr>
      </w:pPr>
    </w:p>
    <w:p>
      <w:pPr>
        <w:jc w:val="both"/>
        <w:ind w:left="540" w:right="60" w:hanging="424"/>
        <w:spacing w:after="0" w:line="255"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EBITDA-Premier Nutrition (Business Unit) is a non-GAAP measure which represents the net earnings of the Premier Nutrition business unit, excluding income tax expense, net interest expense, depreciation and amortization (including accelerated depreciation and amortization) and transaction costs, accelerated amortization costs, restructuring and facility closure costs and intercompany royalty income. We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0"/>
        <w:spacing w:after="0" w:line="255" w:lineRule="auto"/>
        <w:rPr>
          <w:sz w:val="20"/>
          <w:szCs w:val="20"/>
          <w:color w:val="auto"/>
        </w:rPr>
      </w:pPr>
      <w:r>
        <w:rPr>
          <w:rFonts w:ascii="Times New Roman" w:cs="Times New Roman" w:eastAsia="Times New Roman" w:hAnsi="Times New Roman"/>
          <w:sz w:val="18"/>
          <w:szCs w:val="18"/>
          <w:color w:val="auto"/>
        </w:rPr>
        <w:t>believe that Adjusted EBITDA for the Premier Nutrition business unit, a non-GAAP financial measure, is useful to investors in evaluating the Premier Nutrition business unit’s operating performance and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the Premier Nutrition business unit’s capital structure and the method by which the assets were acquired and (iii) it is a financial indicator of a company’s ability to service its debt, as the Premier Nutrition business unit is required to comply with certain covenants and limitations that are based on variations of EBITDA in its financing documents. Management uses Adjusted EBITDA to provide forward-looking guidance and to forecast future results.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EBITDA for the Premier Nutrition business unit is adjusted for the following items:</w:t>
      </w:r>
    </w:p>
    <w:p>
      <w:pPr>
        <w:spacing w:after="0" w:line="129" w:lineRule="exact"/>
        <w:rPr>
          <w:sz w:val="20"/>
          <w:szCs w:val="20"/>
          <w:color w:val="auto"/>
        </w:rPr>
      </w:pPr>
    </w:p>
    <w:p>
      <w:pPr>
        <w:ind w:left="1080" w:right="28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amortization</w:t>
      </w:r>
      <w:r>
        <w:rPr>
          <w:rFonts w:ascii="Times New Roman" w:cs="Times New Roman" w:eastAsia="Times New Roman" w:hAnsi="Times New Roman"/>
          <w:sz w:val="18"/>
          <w:szCs w:val="18"/>
          <w:color w:val="auto"/>
        </w:rPr>
        <w:t>: We have excluded non-cash accelerated amortization charges recorded in connection with discontinuance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brands as the amount and frequency of such charges are not consistent. Additionally, we believe that these charges do not reflect expected ongoing future operating expenses and do not contribute to a meaningful evaluation of the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1080" w:right="46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Restructuring and facility closure costs, including accelerated depreciation</w:t>
      </w:r>
      <w:r>
        <w:rPr>
          <w:rFonts w:ascii="Times New Roman" w:cs="Times New Roman" w:eastAsia="Times New Roman" w:hAnsi="Times New Roman"/>
          <w:sz w:val="18"/>
          <w:szCs w:val="18"/>
          <w:color w:val="auto"/>
        </w:rPr>
        <w:t>: We have excluded certain costs associated with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closures as the amount and frequency of such adjustments are not consistent. Additionally, we believe that these costs do not reflect expected ongoing future operating expenses and do not contribute to a meaningful evaluation of the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legal settlements</w:t>
      </w:r>
      <w:r>
        <w:rPr>
          <w:rFonts w:ascii="Times New Roman" w:cs="Times New Roman" w:eastAsia="Times New Roman" w:hAnsi="Times New Roman"/>
          <w:sz w:val="18"/>
          <w:szCs w:val="18"/>
          <w:color w:val="auto"/>
        </w:rPr>
        <w:t>: We have excluded gains and losses recorded to recognize the anticipated or actual resolution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as we believe such gains and losses do not reflect expected ongoing future operating income and expenses and do not contribute to a meaningful evaluation of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Resolution of dispute with former contract manufacturer</w:t>
      </w:r>
      <w:r>
        <w:rPr>
          <w:rFonts w:ascii="Times New Roman" w:cs="Times New Roman" w:eastAsia="Times New Roman" w:hAnsi="Times New Roman"/>
          <w:sz w:val="18"/>
          <w:szCs w:val="18"/>
          <w:color w:val="auto"/>
        </w:rPr>
        <w:t>: We have excluded certain non-cash write-offs recorded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 of a dispute with a former contract manufacturer as the amount and frequency of such losses are not consistent. Additionally, we believe that these losses do not reflect expected ongoing future operating expenses and do not contribute to a meaningful evaluation of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Intercompany royalty income</w:t>
      </w:r>
      <w:r>
        <w:rPr>
          <w:rFonts w:ascii="Times New Roman" w:cs="Times New Roman" w:eastAsia="Times New Roman" w:hAnsi="Times New Roman"/>
          <w:sz w:val="18"/>
          <w:szCs w:val="18"/>
          <w:color w:val="auto"/>
        </w:rPr>
        <w:t>: We have excluded Intercompany Royalty Income received from ANI related to the use of the ‘Premier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Protein’ and ‘Dymatize’ brands by ANI, as we believe such income does not contribute to a meaningful evaluation of the Premier Nutrition business unit’s current operating performance or comparisons of its operating performance to other periods.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reconciles Adjusted EBITDA for the Premier Nutrition business unit to the most directly comparable GAAP measure.</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8"/>
        </w:trPr>
        <w:tc>
          <w:tcPr>
            <w:tcW w:w="4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73"/>
        </w:trPr>
        <w:tc>
          <w:tcPr>
            <w:tcW w:w="4880" w:type="dxa"/>
            <w:vAlign w:val="bottom"/>
            <w:tcBorders>
              <w:bottom w:val="single" w:sz="8" w:color="ABD8EA"/>
            </w:tcBorders>
          </w:tcPr>
          <w:p>
            <w:pPr>
              <w:spacing w:after="0"/>
              <w:rPr>
                <w:sz w:val="15"/>
                <w:szCs w:val="15"/>
                <w:color w:val="auto"/>
              </w:rPr>
            </w:pPr>
          </w:p>
        </w:tc>
        <w:tc>
          <w:tcPr>
            <w:tcW w:w="1300" w:type="dxa"/>
            <w:vAlign w:val="bottom"/>
            <w:tcBorders>
              <w:bottom w:val="single" w:sz="8" w:color="ABD8EA"/>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BD8EA"/>
            </w:tcBorders>
          </w:tcPr>
          <w:p>
            <w:pPr>
              <w:spacing w:after="0"/>
              <w:rPr>
                <w:sz w:val="15"/>
                <w:szCs w:val="15"/>
                <w:color w:val="auto"/>
              </w:rPr>
            </w:pPr>
          </w:p>
        </w:tc>
      </w:tr>
      <w:tr>
        <w:trPr>
          <w:trHeight w:val="230"/>
        </w:trPr>
        <w:tc>
          <w:tcPr>
            <w:tcW w:w="48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Net Earnings before Income Taxes</w:t>
            </w:r>
          </w:p>
        </w:tc>
        <w:tc>
          <w:tcPr>
            <w:tcW w:w="1460" w:type="dxa"/>
            <w:vAlign w:val="bottom"/>
            <w:tcBorders>
              <w:bottom w:val="single" w:sz="8" w:color="ABD8EA"/>
            </w:tcBorders>
            <w:gridSpan w:val="2"/>
            <w:shd w:val="clear" w:color="auto" w:fill="ABD8EA"/>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BD8EA"/>
            </w:tcBorders>
            <w:gridSpan w:val="2"/>
            <w:shd w:val="clear" w:color="auto" w:fill="ABD8EA"/>
          </w:tcPr>
          <w:p>
            <w:pPr>
              <w:jc w:val="right"/>
              <w:ind w:right="100"/>
              <w:spacing w:after="0"/>
              <w:rPr>
                <w:sz w:val="20"/>
                <w:szCs w:val="20"/>
                <w:color w:val="auto"/>
              </w:rPr>
            </w:pPr>
            <w:r>
              <w:rPr>
                <w:rFonts w:ascii="Times New Roman" w:cs="Times New Roman" w:eastAsia="Times New Roman" w:hAnsi="Times New Roman"/>
                <w:sz w:val="18"/>
                <w:szCs w:val="18"/>
                <w:color w:val="auto"/>
              </w:rPr>
              <w:t>252.2</w:t>
            </w:r>
          </w:p>
        </w:tc>
      </w:tr>
      <w:tr>
        <w:trPr>
          <w:trHeight w:val="225"/>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including accelerated depreciation</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amortization</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7"/>
        </w:trPr>
        <w:tc>
          <w:tcPr>
            <w:tcW w:w="4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488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Restructuring and facility closure costs, excluding accelerated</w:t>
            </w:r>
          </w:p>
        </w:tc>
        <w:tc>
          <w:tcPr>
            <w:tcW w:w="1300" w:type="dxa"/>
            <w:vAlign w:val="bottom"/>
            <w:shd w:val="clear" w:color="auto" w:fill="ABD8EA"/>
          </w:tcPr>
          <w:p>
            <w:pPr>
              <w:spacing w:after="0"/>
              <w:rPr>
                <w:sz w:val="19"/>
                <w:szCs w:val="19"/>
                <w:color w:val="auto"/>
              </w:rPr>
            </w:pPr>
          </w:p>
        </w:tc>
        <w:tc>
          <w:tcPr>
            <w:tcW w:w="160" w:type="dxa"/>
            <w:vAlign w:val="bottom"/>
            <w:shd w:val="clear" w:color="auto" w:fill="ABD8EA"/>
          </w:tcPr>
          <w:p>
            <w:pPr>
              <w:spacing w:after="0"/>
              <w:rPr>
                <w:sz w:val="19"/>
                <w:szCs w:val="19"/>
                <w:color w:val="auto"/>
              </w:rPr>
            </w:pPr>
          </w:p>
        </w:tc>
        <w:tc>
          <w:tcPr>
            <w:tcW w:w="1040" w:type="dxa"/>
            <w:vAlign w:val="bottom"/>
            <w:shd w:val="clear" w:color="auto" w:fill="ABD8EA"/>
          </w:tcPr>
          <w:p>
            <w:pPr>
              <w:spacing w:after="0"/>
              <w:rPr>
                <w:sz w:val="19"/>
                <w:szCs w:val="19"/>
                <w:color w:val="auto"/>
              </w:rPr>
            </w:pPr>
          </w:p>
        </w:tc>
        <w:tc>
          <w:tcPr>
            <w:tcW w:w="100" w:type="dxa"/>
            <w:vAlign w:val="bottom"/>
            <w:shd w:val="clear" w:color="auto" w:fill="ABD8EA"/>
          </w:tcPr>
          <w:p>
            <w:pPr>
              <w:spacing w:after="0"/>
              <w:rPr>
                <w:sz w:val="19"/>
                <w:szCs w:val="19"/>
                <w:color w:val="auto"/>
              </w:rPr>
            </w:pPr>
          </w:p>
        </w:tc>
      </w:tr>
      <w:tr>
        <w:trPr>
          <w:trHeight w:val="241"/>
        </w:trPr>
        <w:tc>
          <w:tcPr>
            <w:tcW w:w="4880" w:type="dxa"/>
            <w:vAlign w:val="bottom"/>
            <w:tcBorders>
              <w:bottom w:val="single" w:sz="8" w:color="ABD8EA"/>
            </w:tcBorders>
            <w:shd w:val="clear" w:color="auto" w:fill="ABD8EA"/>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300" w:type="dxa"/>
            <w:vAlign w:val="bottom"/>
            <w:tcBorders>
              <w:bottom w:val="single" w:sz="8" w:color="ABD8EA"/>
            </w:tcBorders>
            <w:shd w:val="clear" w:color="auto" w:fill="ABD8EA"/>
          </w:tcPr>
          <w:p>
            <w:pPr>
              <w:spacing w:after="0"/>
              <w:rPr>
                <w:sz w:val="20"/>
                <w:szCs w:val="20"/>
                <w:color w:val="auto"/>
              </w:rPr>
            </w:pPr>
          </w:p>
        </w:tc>
        <w:tc>
          <w:tcPr>
            <w:tcW w:w="160" w:type="dxa"/>
            <w:vAlign w:val="bottom"/>
            <w:tcBorders>
              <w:bottom w:val="single" w:sz="8" w:color="ABD8EA"/>
            </w:tcBorders>
            <w:shd w:val="clear" w:color="auto" w:fill="ABD8EA"/>
          </w:tcPr>
          <w:p>
            <w:pPr>
              <w:spacing w:after="0"/>
              <w:rPr>
                <w:sz w:val="20"/>
                <w:szCs w:val="20"/>
                <w:color w:val="auto"/>
              </w:rPr>
            </w:pPr>
          </w:p>
        </w:tc>
        <w:tc>
          <w:tcPr>
            <w:tcW w:w="1140" w:type="dxa"/>
            <w:vAlign w:val="bottom"/>
            <w:tcBorders>
              <w:bottom w:val="single" w:sz="8" w:color="ABD8EA"/>
            </w:tcBorders>
            <w:gridSpan w:val="2"/>
            <w:shd w:val="clear" w:color="auto" w:fill="ABD8EA"/>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legal settlements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4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8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Resolution of dispute with former contract manufacturer</w:t>
            </w:r>
          </w:p>
        </w:tc>
        <w:tc>
          <w:tcPr>
            <w:tcW w:w="1300" w:type="dxa"/>
            <w:vAlign w:val="bottom"/>
            <w:tcBorders>
              <w:bottom w:val="single" w:sz="8" w:color="ABD8EA"/>
            </w:tcBorders>
            <w:shd w:val="clear" w:color="auto" w:fill="ABD8EA"/>
          </w:tcPr>
          <w:p>
            <w:pPr>
              <w:spacing w:after="0"/>
              <w:rPr>
                <w:sz w:val="21"/>
                <w:szCs w:val="21"/>
                <w:color w:val="auto"/>
              </w:rPr>
            </w:pPr>
          </w:p>
        </w:tc>
        <w:tc>
          <w:tcPr>
            <w:tcW w:w="160" w:type="dxa"/>
            <w:vAlign w:val="bottom"/>
            <w:tcBorders>
              <w:bottom w:val="single" w:sz="8" w:color="ABD8EA"/>
            </w:tcBorders>
            <w:shd w:val="clear" w:color="auto" w:fill="ABD8EA"/>
          </w:tcPr>
          <w:p>
            <w:pPr>
              <w:spacing w:after="0"/>
              <w:rPr>
                <w:sz w:val="21"/>
                <w:szCs w:val="21"/>
                <w:color w:val="auto"/>
              </w:rPr>
            </w:pPr>
          </w:p>
        </w:tc>
        <w:tc>
          <w:tcPr>
            <w:tcW w:w="1140" w:type="dxa"/>
            <w:vAlign w:val="bottom"/>
            <w:tcBorders>
              <w:bottom w:val="single" w:sz="8" w:color="ABD8EA"/>
            </w:tcBorders>
            <w:gridSpan w:val="2"/>
            <w:shd w:val="clear" w:color="auto" w:fill="ABD8EA"/>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royalty income</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88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60" w:type="dxa"/>
            <w:vAlign w:val="bottom"/>
            <w:gridSpan w:val="2"/>
            <w:shd w:val="clear" w:color="auto" w:fill="ABD8EA"/>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r>
      <w:tr>
        <w:trPr>
          <w:trHeight w:val="27"/>
        </w:trPr>
        <w:tc>
          <w:tcPr>
            <w:tcW w:w="4880" w:type="dxa"/>
            <w:vAlign w:val="bottom"/>
            <w:shd w:val="clear" w:color="auto" w:fill="ABD8EA"/>
          </w:tcPr>
          <w:p>
            <w:pPr>
              <w:spacing w:after="0"/>
              <w:rPr>
                <w:sz w:val="2"/>
                <w:szCs w:val="2"/>
                <w:color w:val="auto"/>
              </w:rPr>
            </w:pPr>
          </w:p>
        </w:tc>
        <w:tc>
          <w:tcPr>
            <w:tcW w:w="1300" w:type="dxa"/>
            <w:vAlign w:val="bottom"/>
            <w:shd w:val="clear" w:color="auto" w:fill="ABD8EA"/>
          </w:tcPr>
          <w:p>
            <w:pPr>
              <w:spacing w:after="0"/>
              <w:rPr>
                <w:sz w:val="2"/>
                <w:szCs w:val="2"/>
                <w:color w:val="auto"/>
              </w:rPr>
            </w:pPr>
          </w:p>
        </w:tc>
        <w:tc>
          <w:tcPr>
            <w:tcW w:w="160" w:type="dxa"/>
            <w:vAlign w:val="bottom"/>
            <w:shd w:val="clear" w:color="auto" w:fill="ABD8EA"/>
          </w:tcPr>
          <w:p>
            <w:pPr>
              <w:spacing w:after="0"/>
              <w:rPr>
                <w:sz w:val="2"/>
                <w:szCs w:val="2"/>
                <w:color w:val="auto"/>
              </w:rPr>
            </w:pPr>
          </w:p>
        </w:tc>
        <w:tc>
          <w:tcPr>
            <w:tcW w:w="1040" w:type="dxa"/>
            <w:vAlign w:val="bottom"/>
            <w:shd w:val="clear" w:color="auto" w:fill="ABD8EA"/>
          </w:tcPr>
          <w:p>
            <w:pPr>
              <w:spacing w:after="0"/>
              <w:rPr>
                <w:sz w:val="2"/>
                <w:szCs w:val="2"/>
                <w:color w:val="auto"/>
              </w:rPr>
            </w:pPr>
          </w:p>
        </w:tc>
        <w:tc>
          <w:tcPr>
            <w:tcW w:w="100" w:type="dxa"/>
            <w:vAlign w:val="bottom"/>
            <w:shd w:val="clear" w:color="auto" w:fill="ABD8EA"/>
          </w:tcPr>
          <w:p>
            <w:pPr>
              <w:spacing w:after="0"/>
              <w:rPr>
                <w:sz w:val="2"/>
                <w:szCs w:val="2"/>
                <w:color w:val="auto"/>
              </w:rPr>
            </w:pPr>
          </w:p>
        </w:tc>
      </w:tr>
    </w:tbl>
    <w:p>
      <w:pPr>
        <w:spacing w:after="0" w:line="198"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Premier Nutrition business unit exceeded its Net Revenue threshold of $1,279.3 million but did not meet its target of $1,346.6 million, delivering $1,319.4 million of Net Revenue. It exceeded its Adjusted EBITDA target of $280.1 million, delivering $282.3 million of Adjusted EBITDA.</w:t>
      </w:r>
    </w:p>
    <w:p>
      <w:pPr>
        <w:spacing w:after="0" w:line="14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exceeded its Net Revenue threshold of $1,330.6 million but did not meet its target of $1,400.6 million, delivering $1371.5 million of Net Revenue. It exceeded its Adjusted EBITDA target of $268.0 million, delivering $271.4 million of Adjusted EBITDA.</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At its November 2022 meeting, the Committee reviewed and confirmed the Company’s performance for each of the performance metrics. The Committee then determined the achievement percentage associated with each metric by interpolating actual performance within the applicable performance range. Following this approach, as shown in the performance metrics table above, the Committee determined that the overall achievement percentage for the Senior Management Bonus Program was 104.3% for Ms. Davenport and Messrs. Rode and Rosenthal and 104.5% for Messrs. Cornille and Singh.</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Additionally, in connection with its determination, the Committee considered the impact of supply chain and human capital challenges as well as the economic factors on the Company’s performance during fiscal 2022. Specifically, the Committee took into account: i) certain co-manufacturing network challenges, including a bottle co-manufacturer’s failure to meet production commitments, co-manufacturer start-up delays and a co-manufacturer product recall; ii) unprecedented protein and other price increases; iii) inflationary pressures that were the highest in decades; and iv) senior management’s skill at implementing a product allocation strategy to effectively manage through supply constraints.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on this, and in recognition of the meaningful progress made against our objectives despite these challenges, the Committee determined that, consistent with the achievement percentage for all bonus-eligible employees across the Company, the achievement percentage for the CEO and NEOs should be increased modestly and approved the following bonus amounts: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640" w:type="dxa"/>
            <w:vAlign w:val="bottom"/>
            <w:gridSpan w:val="2"/>
            <w:vMerge w:val="restart"/>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Pr>
          <w:p>
            <w:pPr>
              <w:spacing w:after="0"/>
              <w:rPr>
                <w:sz w:val="13"/>
                <w:szCs w:val="13"/>
                <w:color w:val="auto"/>
              </w:rPr>
            </w:pPr>
          </w:p>
        </w:tc>
        <w:tc>
          <w:tcPr>
            <w:tcW w:w="1240" w:type="dxa"/>
            <w:vAlign w:val="bottom"/>
            <w:gridSpan w:val="2"/>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 Bonus</w:t>
            </w:r>
          </w:p>
        </w:tc>
        <w:tc>
          <w:tcPr>
            <w:tcW w:w="400" w:type="dxa"/>
            <w:vAlign w:val="bottom"/>
          </w:tcPr>
          <w:p>
            <w:pPr>
              <w:spacing w:after="0"/>
              <w:rPr>
                <w:sz w:val="12"/>
                <w:szCs w:val="12"/>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2022 Actual</w:t>
            </w:r>
          </w:p>
        </w:tc>
        <w:tc>
          <w:tcPr>
            <w:tcW w:w="0" w:type="dxa"/>
            <w:vAlign w:val="bottom"/>
          </w:tcPr>
          <w:p>
            <w:pPr>
              <w:spacing w:after="0"/>
              <w:rPr>
                <w:sz w:val="1"/>
                <w:szCs w:val="1"/>
                <w:color w:val="auto"/>
              </w:rPr>
            </w:pPr>
          </w:p>
        </w:tc>
      </w:tr>
      <w:tr>
        <w:trPr>
          <w:trHeight w:val="148"/>
        </w:trPr>
        <w:tc>
          <w:tcPr>
            <w:tcW w:w="398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Target Bonus</w:t>
            </w:r>
          </w:p>
        </w:tc>
        <w:tc>
          <w:tcPr>
            <w:tcW w:w="4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540" w:type="dxa"/>
            <w:vAlign w:val="bottom"/>
          </w:tcPr>
          <w:p>
            <w:pPr>
              <w:spacing w:after="0"/>
              <w:rPr>
                <w:sz w:val="15"/>
                <w:szCs w:val="15"/>
                <w:color w:val="auto"/>
              </w:rPr>
            </w:pPr>
          </w:p>
        </w:tc>
        <w:tc>
          <w:tcPr>
            <w:tcW w:w="17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 of Target)</w:t>
            </w:r>
          </w:p>
        </w:tc>
        <w:tc>
          <w:tcPr>
            <w:tcW w:w="13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0" w:type="dxa"/>
            <w:vAlign w:val="bottom"/>
          </w:tcPr>
          <w:p>
            <w:pPr>
              <w:spacing w:after="0"/>
              <w:rPr>
                <w:sz w:val="1"/>
                <w:szCs w:val="1"/>
                <w:color w:val="auto"/>
              </w:rPr>
            </w:pPr>
          </w:p>
        </w:tc>
      </w:tr>
      <w:tr>
        <w:trPr>
          <w:trHeight w:val="250"/>
        </w:trPr>
        <w:tc>
          <w:tcPr>
            <w:tcW w:w="3980" w:type="dxa"/>
            <w:vAlign w:val="bottom"/>
            <w:tcBorders>
              <w:top w:val="single" w:sz="8" w:color="auto"/>
            </w:tcBorders>
            <w:shd w:val="clear" w:color="auto" w:fill="ABD8EA"/>
          </w:tcPr>
          <w:p>
            <w:pPr>
              <w:spacing w:after="0" w:line="250"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800" w:type="dxa"/>
            <w:vAlign w:val="bottom"/>
            <w:tcBorders>
              <w:top w:val="single" w:sz="8" w:color="ABD8EA"/>
            </w:tcBorders>
            <w:shd w:val="clear" w:color="auto" w:fill="ABD8EA"/>
          </w:tcPr>
          <w:p>
            <w:pPr>
              <w:spacing w:after="0"/>
              <w:rPr>
                <w:sz w:val="21"/>
                <w:szCs w:val="21"/>
                <w:color w:val="auto"/>
              </w:rPr>
            </w:pPr>
          </w:p>
        </w:tc>
        <w:tc>
          <w:tcPr>
            <w:tcW w:w="840" w:type="dxa"/>
            <w:vAlign w:val="bottom"/>
            <w:tcBorders>
              <w:top w:val="single" w:sz="8" w:color="auto"/>
            </w:tcBorders>
            <w:shd w:val="clear" w:color="auto" w:fill="ABD8EA"/>
          </w:tcPr>
          <w:p>
            <w:pPr>
              <w:ind w:left="520"/>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top w:val="single" w:sz="8" w:color="ABD8EA"/>
            </w:tcBorders>
            <w:shd w:val="clear" w:color="auto" w:fill="ABD8EA"/>
          </w:tcPr>
          <w:p>
            <w:pPr>
              <w:spacing w:after="0"/>
              <w:rPr>
                <w:sz w:val="21"/>
                <w:szCs w:val="21"/>
                <w:color w:val="auto"/>
              </w:rPr>
            </w:pPr>
          </w:p>
        </w:tc>
        <w:tc>
          <w:tcPr>
            <w:tcW w:w="400" w:type="dxa"/>
            <w:vAlign w:val="bottom"/>
            <w:tcBorders>
              <w:top w:val="single" w:sz="8" w:color="ABD8EA"/>
            </w:tcBorders>
            <w:shd w:val="clear" w:color="auto" w:fill="ABD8EA"/>
          </w:tcPr>
          <w:p>
            <w:pPr>
              <w:spacing w:after="0"/>
              <w:rPr>
                <w:sz w:val="21"/>
                <w:szCs w:val="21"/>
                <w:color w:val="auto"/>
              </w:rPr>
            </w:pPr>
          </w:p>
        </w:tc>
        <w:tc>
          <w:tcPr>
            <w:tcW w:w="840" w:type="dxa"/>
            <w:vAlign w:val="bottom"/>
            <w:tcBorders>
              <w:top w:val="single" w:sz="8" w:color="auto"/>
            </w:tcBorders>
            <w:shd w:val="clear" w:color="auto" w:fill="ABD8EA"/>
          </w:tcPr>
          <w:p>
            <w:pPr>
              <w:ind w:left="520"/>
              <w:spacing w:after="0"/>
              <w:rPr>
                <w:sz w:val="20"/>
                <w:szCs w:val="20"/>
                <w:color w:val="auto"/>
              </w:rPr>
            </w:pPr>
            <w:r>
              <w:rPr>
                <w:rFonts w:ascii="Times New Roman" w:cs="Times New Roman" w:eastAsia="Times New Roman" w:hAnsi="Times New Roman"/>
                <w:sz w:val="18"/>
                <w:szCs w:val="18"/>
                <w:color w:val="auto"/>
                <w:w w:val="96"/>
              </w:rPr>
              <w:t>N/A</w:t>
            </w:r>
          </w:p>
        </w:tc>
        <w:tc>
          <w:tcPr>
            <w:tcW w:w="520" w:type="dxa"/>
            <w:vAlign w:val="bottom"/>
            <w:tcBorders>
              <w:top w:val="single" w:sz="8" w:color="ABD8EA"/>
            </w:tcBorders>
            <w:shd w:val="clear" w:color="auto" w:fill="ABD8EA"/>
          </w:tcPr>
          <w:p>
            <w:pPr>
              <w:spacing w:after="0"/>
              <w:rPr>
                <w:sz w:val="21"/>
                <w:szCs w:val="21"/>
                <w:color w:val="auto"/>
              </w:rPr>
            </w:pPr>
          </w:p>
        </w:tc>
        <w:tc>
          <w:tcPr>
            <w:tcW w:w="400" w:type="dxa"/>
            <w:vAlign w:val="bottom"/>
            <w:tcBorders>
              <w:top w:val="single" w:sz="8" w:color="ABD8EA"/>
            </w:tcBorders>
            <w:shd w:val="clear" w:color="auto" w:fill="ABD8EA"/>
          </w:tcPr>
          <w:p>
            <w:pPr>
              <w:spacing w:after="0"/>
              <w:rPr>
                <w:sz w:val="21"/>
                <w:szCs w:val="21"/>
                <w:color w:val="auto"/>
              </w:rPr>
            </w:pPr>
          </w:p>
        </w:tc>
        <w:tc>
          <w:tcPr>
            <w:tcW w:w="180" w:type="dxa"/>
            <w:vAlign w:val="bottom"/>
            <w:tcBorders>
              <w:top w:val="single" w:sz="8" w:color="auto"/>
            </w:tcBorders>
            <w:shd w:val="clear" w:color="auto" w:fill="ABD8EA"/>
          </w:tcPr>
          <w:p>
            <w:pPr>
              <w:spacing w:after="0"/>
              <w:rPr>
                <w:sz w:val="21"/>
                <w:szCs w:val="21"/>
                <w:color w:val="auto"/>
              </w:rPr>
            </w:pPr>
          </w:p>
        </w:tc>
        <w:tc>
          <w:tcPr>
            <w:tcW w:w="700" w:type="dxa"/>
            <w:vAlign w:val="bottom"/>
            <w:tcBorders>
              <w:top w:val="single" w:sz="8" w:color="auto"/>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Borders>
              <w:top w:val="single" w:sz="8" w:color="ABD8EA"/>
            </w:tcBorders>
            <w:shd w:val="clear" w:color="auto" w:fill="ABD8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2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125%</w:t>
            </w:r>
          </w:p>
        </w:tc>
        <w:tc>
          <w:tcPr>
            <w:tcW w:w="17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116.2%</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2180" w:type="dxa"/>
            <w:vAlign w:val="bottom"/>
            <w:tcBorders>
              <w:bottom w:val="single" w:sz="8" w:color="ABD8EA"/>
            </w:tcBorders>
            <w:gridSpan w:val="3"/>
            <w:shd w:val="clear" w:color="auto" w:fill="ABD8EA"/>
          </w:tcPr>
          <w:p>
            <w:pPr>
              <w:jc w:val="right"/>
              <w:ind w:right="400"/>
              <w:spacing w:after="0"/>
              <w:rPr>
                <w:sz w:val="20"/>
                <w:szCs w:val="20"/>
                <w:color w:val="auto"/>
              </w:rPr>
            </w:pPr>
            <w:r>
              <w:rPr>
                <w:rFonts w:ascii="Times New Roman" w:cs="Times New Roman" w:eastAsia="Times New Roman" w:hAnsi="Times New Roman"/>
                <w:sz w:val="18"/>
                <w:szCs w:val="18"/>
                <w:color w:val="auto"/>
              </w:rPr>
              <w:t>65%</w:t>
            </w:r>
          </w:p>
        </w:tc>
        <w:tc>
          <w:tcPr>
            <w:tcW w:w="1760" w:type="dxa"/>
            <w:vAlign w:val="bottom"/>
            <w:tcBorders>
              <w:bottom w:val="single" w:sz="8" w:color="ABD8EA"/>
            </w:tcBorders>
            <w:gridSpan w:val="3"/>
            <w:shd w:val="clear" w:color="auto" w:fill="ABD8EA"/>
          </w:tcPr>
          <w:p>
            <w:pPr>
              <w:jc w:val="right"/>
              <w:ind w:right="380"/>
              <w:spacing w:after="0"/>
              <w:rPr>
                <w:sz w:val="20"/>
                <w:szCs w:val="20"/>
                <w:color w:val="auto"/>
              </w:rPr>
            </w:pPr>
            <w:r>
              <w:rPr>
                <w:rFonts w:ascii="Times New Roman" w:cs="Times New Roman" w:eastAsia="Times New Roman" w:hAnsi="Times New Roman"/>
                <w:sz w:val="18"/>
                <w:szCs w:val="18"/>
                <w:color w:val="auto"/>
              </w:rPr>
              <w:t>116.2%</w:t>
            </w:r>
          </w:p>
        </w:tc>
        <w:tc>
          <w:tcPr>
            <w:tcW w:w="580" w:type="dxa"/>
            <w:vAlign w:val="bottom"/>
            <w:tcBorders>
              <w:bottom w:val="single" w:sz="8" w:color="ABD8EA"/>
            </w:tcBorders>
            <w:gridSpan w:val="2"/>
            <w:shd w:val="clear" w:color="auto" w:fill="ABD8EA"/>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317,226</w:t>
            </w:r>
          </w:p>
        </w:tc>
        <w:tc>
          <w:tcPr>
            <w:tcW w:w="60" w:type="dxa"/>
            <w:vAlign w:val="bottom"/>
            <w:tcBorders>
              <w:bottom w:val="single" w:sz="8" w:color="ABD8EA"/>
            </w:tcBorders>
            <w:shd w:val="clear" w:color="auto" w:fill="ABD8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2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65%</w:t>
            </w:r>
          </w:p>
        </w:tc>
        <w:tc>
          <w:tcPr>
            <w:tcW w:w="17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116.4%</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2180" w:type="dxa"/>
            <w:vAlign w:val="bottom"/>
            <w:tcBorders>
              <w:bottom w:val="single" w:sz="8" w:color="ABD8EA"/>
            </w:tcBorders>
            <w:gridSpan w:val="3"/>
            <w:shd w:val="clear" w:color="auto" w:fill="ABD8EA"/>
          </w:tcPr>
          <w:p>
            <w:pPr>
              <w:jc w:val="right"/>
              <w:ind w:right="400"/>
              <w:spacing w:after="0"/>
              <w:rPr>
                <w:sz w:val="20"/>
                <w:szCs w:val="20"/>
                <w:color w:val="auto"/>
              </w:rPr>
            </w:pPr>
            <w:r>
              <w:rPr>
                <w:rFonts w:ascii="Times New Roman" w:cs="Times New Roman" w:eastAsia="Times New Roman" w:hAnsi="Times New Roman"/>
                <w:sz w:val="18"/>
                <w:szCs w:val="18"/>
                <w:color w:val="auto"/>
              </w:rPr>
              <w:t>55%</w:t>
            </w:r>
          </w:p>
        </w:tc>
        <w:tc>
          <w:tcPr>
            <w:tcW w:w="1760" w:type="dxa"/>
            <w:vAlign w:val="bottom"/>
            <w:tcBorders>
              <w:bottom w:val="single" w:sz="8" w:color="ABD8EA"/>
            </w:tcBorders>
            <w:gridSpan w:val="3"/>
            <w:shd w:val="clear" w:color="auto" w:fill="ABD8EA"/>
          </w:tcPr>
          <w:p>
            <w:pPr>
              <w:jc w:val="right"/>
              <w:ind w:right="380"/>
              <w:spacing w:after="0"/>
              <w:rPr>
                <w:sz w:val="20"/>
                <w:szCs w:val="20"/>
                <w:color w:val="auto"/>
              </w:rPr>
            </w:pPr>
            <w:r>
              <w:rPr>
                <w:rFonts w:ascii="Times New Roman" w:cs="Times New Roman" w:eastAsia="Times New Roman" w:hAnsi="Times New Roman"/>
                <w:sz w:val="18"/>
                <w:szCs w:val="18"/>
                <w:color w:val="auto"/>
              </w:rPr>
              <w:t>116.2%</w:t>
            </w:r>
          </w:p>
        </w:tc>
        <w:tc>
          <w:tcPr>
            <w:tcW w:w="580" w:type="dxa"/>
            <w:vAlign w:val="bottom"/>
            <w:tcBorders>
              <w:bottom w:val="single" w:sz="8" w:color="ABD8EA"/>
            </w:tcBorders>
            <w:gridSpan w:val="2"/>
            <w:shd w:val="clear" w:color="auto" w:fill="ABD8EA"/>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220,490</w:t>
            </w:r>
          </w:p>
        </w:tc>
        <w:tc>
          <w:tcPr>
            <w:tcW w:w="60" w:type="dxa"/>
            <w:vAlign w:val="bottom"/>
            <w:tcBorders>
              <w:bottom w:val="single" w:sz="8" w:color="ABD8EA"/>
            </w:tcBorders>
            <w:shd w:val="clear" w:color="auto" w:fill="ABD8E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2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55%</w:t>
            </w:r>
          </w:p>
        </w:tc>
        <w:tc>
          <w:tcPr>
            <w:tcW w:w="17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116.4%</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participate in our Senior Management Bonus Program in his role as Executive Chairman of the Board of Directors.</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Committee believes that the exercise of discretion based on a qualitative assessment of non-financial, non-formulaic factors, such as those noted above, are consistent with our Company’s culture, compensation philosophy and objectives. The Committee also believes, however, that the exercise of this type of discretion would be limited to unique or extraordinary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 — Fiscal Year 2022 Equity Grants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Committee believes in a balanced approach to long-term incentive compensation, with an emphasis on performance-based compensation opportunities and efficient share utilization. For fiscal year 2022, we enhanced our performance-based equity structure by replacing Stock Options with Performance Restricted Stock Units (PRSUs). The new PRSU program measures our long-term total stockholder return (TSR) against the Russell 3000 Food Products companies and aligns management directly to our long-term stockholders.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weighted our fiscal year 2022 PRSU and RSU equity grants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670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4"/>
                <w:szCs w:val="14"/>
                <w:b w:val="1"/>
                <w:bCs w:val="1"/>
                <w:color w:val="auto"/>
              </w:rPr>
              <w:t>NEO</w:t>
            </w:r>
          </w:p>
        </w:tc>
        <w:tc>
          <w:tcPr>
            <w:tcW w:w="320" w:type="dxa"/>
            <w:vAlign w:val="bottom"/>
            <w:tcBorders>
              <w:bottom w:val="single" w:sz="8" w:color="ABD8EA"/>
            </w:tcBorders>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PRSU</w:t>
            </w:r>
          </w:p>
        </w:tc>
        <w:tc>
          <w:tcPr>
            <w:tcW w:w="380" w:type="dxa"/>
            <w:vAlign w:val="bottom"/>
            <w:tcBorders>
              <w:bottom w:val="single" w:sz="8" w:color="ABD8EA"/>
            </w:tcBorders>
          </w:tcPr>
          <w:p>
            <w:pPr>
              <w:spacing w:after="0"/>
              <w:rPr>
                <w:sz w:val="16"/>
                <w:szCs w:val="16"/>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RSU</w:t>
            </w:r>
          </w:p>
        </w:tc>
        <w:tc>
          <w:tcPr>
            <w:tcW w:w="60" w:type="dxa"/>
            <w:vAlign w:val="bottom"/>
            <w:tcBorders>
              <w:bottom w:val="single" w:sz="8" w:color="ABD8EA"/>
            </w:tcBorders>
          </w:tcPr>
          <w:p>
            <w:pPr>
              <w:spacing w:after="0"/>
              <w:rPr>
                <w:sz w:val="16"/>
                <w:szCs w:val="16"/>
                <w:color w:val="auto"/>
              </w:rPr>
            </w:pPr>
          </w:p>
        </w:tc>
      </w:tr>
      <w:tr>
        <w:trPr>
          <w:trHeight w:val="230"/>
        </w:trPr>
        <w:tc>
          <w:tcPr>
            <w:tcW w:w="670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Mr. Vitale</w:t>
            </w:r>
          </w:p>
        </w:tc>
        <w:tc>
          <w:tcPr>
            <w:tcW w:w="1100" w:type="dxa"/>
            <w:vAlign w:val="bottom"/>
            <w:tcBorders>
              <w:bottom w:val="single" w:sz="8" w:color="ABD8EA"/>
            </w:tcBorders>
            <w:gridSpan w:val="3"/>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56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Ms. Davenport</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0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Mr. Rode</w:t>
            </w:r>
          </w:p>
        </w:tc>
        <w:tc>
          <w:tcPr>
            <w:tcW w:w="1100" w:type="dxa"/>
            <w:vAlign w:val="bottom"/>
            <w:tcBorders>
              <w:bottom w:val="single" w:sz="8" w:color="ABD8EA"/>
            </w:tcBorders>
            <w:gridSpan w:val="3"/>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56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Mr. Cornille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0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Mr. Rosenthal</w:t>
            </w:r>
          </w:p>
        </w:tc>
        <w:tc>
          <w:tcPr>
            <w:tcW w:w="1100" w:type="dxa"/>
            <w:vAlign w:val="bottom"/>
            <w:tcBorders>
              <w:bottom w:val="single" w:sz="8" w:color="ABD8EA"/>
            </w:tcBorders>
            <w:gridSpan w:val="3"/>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56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Mr. Singh</w:t>
            </w:r>
          </w:p>
        </w:tc>
        <w:tc>
          <w:tcPr>
            <w:tcW w:w="320" w:type="dxa"/>
            <w:vAlign w:val="bottom"/>
          </w:tcPr>
          <w:p>
            <w:pPr>
              <w:spacing w:after="0"/>
              <w:rPr>
                <w:sz w:val="21"/>
                <w:szCs w:val="21"/>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5"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This weighting is consistent with our philosophy of granting a significant weight of performance-based equity to our corporate leaders. The Committee uses competitive market data from our annual total compensation study to assist with targeted long-term incentive value. In addition, the Committee considers individual performance, potential future contributions to our business, internal equity and management’s recommendations.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Target award opportunities</w:t>
      </w:r>
      <w:r>
        <w:rPr>
          <w:rFonts w:ascii="Times New Roman" w:cs="Times New Roman" w:eastAsia="Times New Roman" w:hAnsi="Times New Roman"/>
          <w:sz w:val="18"/>
          <w:szCs w:val="18"/>
          <w:color w:val="auto"/>
        </w:rPr>
        <w:t>: The following target LTI values were approved for fiscal year 2022:</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680" w:type="dxa"/>
            <w:vAlign w:val="bottom"/>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BD8EA"/>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 Target</w:t>
            </w:r>
          </w:p>
        </w:tc>
        <w:tc>
          <w:tcPr>
            <w:tcW w:w="300" w:type="dxa"/>
            <w:vAlign w:val="bottom"/>
            <w:tcBorders>
              <w:bottom w:val="single" w:sz="8" w:color="ABD8EA"/>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68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640" w:type="dxa"/>
            <w:vAlign w:val="bottom"/>
            <w:gridSpan w:val="2"/>
            <w:shd w:val="clear" w:color="auto" w:fill="ABD8E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jc w:val="right"/>
              <w:ind w:right="140"/>
              <w:spacing w:after="0" w:line="250" w:lineRule="exact"/>
              <w:rPr>
                <w:sz w:val="20"/>
                <w:szCs w:val="20"/>
                <w:color w:val="auto"/>
              </w:rPr>
            </w:pPr>
            <w:r>
              <w:rPr>
                <w:rFonts w:ascii="Times New Roman" w:cs="Times New Roman" w:eastAsia="Times New Roman" w:hAnsi="Times New Roman"/>
                <w:sz w:val="18"/>
                <w:szCs w:val="18"/>
                <w:color w:val="auto"/>
                <w:w w:val="98"/>
              </w:rPr>
              <w:t>10,000,000</w:t>
            </w:r>
            <w:r>
              <w:rPr>
                <w:rFonts w:ascii="Times New Roman" w:cs="Times New Roman" w:eastAsia="Times New Roman" w:hAnsi="Times New Roman"/>
                <w:sz w:val="26"/>
                <w:szCs w:val="26"/>
                <w:color w:val="auto"/>
                <w:w w:val="98"/>
                <w:vertAlign w:val="superscript"/>
              </w:rPr>
              <w:t>(1)</w:t>
            </w: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2,207,500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640" w:type="dxa"/>
            <w:vAlign w:val="bottom"/>
            <w:tcBorders>
              <w:bottom w:val="single" w:sz="8" w:color="ABD8EA"/>
            </w:tcBorders>
            <w:gridSpan w:val="2"/>
            <w:shd w:val="clear" w:color="auto" w:fill="ABD8E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BD8EA"/>
            </w:tcBorders>
            <w:gridSpan w:val="2"/>
            <w:shd w:val="clear" w:color="auto" w:fill="ABD8EA"/>
          </w:tcPr>
          <w:p>
            <w:pPr>
              <w:jc w:val="right"/>
              <w:ind w:right="300"/>
              <w:spacing w:after="0"/>
              <w:rPr>
                <w:sz w:val="20"/>
                <w:szCs w:val="20"/>
                <w:color w:val="auto"/>
              </w:rPr>
            </w:pPr>
            <w:r>
              <w:rPr>
                <w:rFonts w:ascii="Times New Roman" w:cs="Times New Roman" w:eastAsia="Times New Roman" w:hAnsi="Times New Roman"/>
                <w:sz w:val="18"/>
                <w:szCs w:val="18"/>
                <w:color w:val="auto"/>
              </w:rPr>
              <w:t>507,000</w:t>
            </w: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473,000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640" w:type="dxa"/>
            <w:vAlign w:val="bottom"/>
            <w:tcBorders>
              <w:bottom w:val="single" w:sz="8" w:color="ABD8EA"/>
            </w:tcBorders>
            <w:gridSpan w:val="2"/>
            <w:shd w:val="clear" w:color="auto" w:fill="ABD8E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BD8EA"/>
            </w:tcBorders>
            <w:gridSpan w:val="2"/>
            <w:shd w:val="clear" w:color="auto" w:fill="ABD8EA"/>
          </w:tcPr>
          <w:p>
            <w:pPr>
              <w:jc w:val="right"/>
              <w:ind w:right="300"/>
              <w:spacing w:after="0"/>
              <w:rPr>
                <w:sz w:val="20"/>
                <w:szCs w:val="20"/>
                <w:color w:val="auto"/>
              </w:rPr>
            </w:pPr>
            <w:r>
              <w:rPr>
                <w:rFonts w:ascii="Times New Roman" w:cs="Times New Roman" w:eastAsia="Times New Roman" w:hAnsi="Times New Roman"/>
                <w:sz w:val="18"/>
                <w:szCs w:val="18"/>
                <w:color w:val="auto"/>
              </w:rPr>
              <w:t>385,250</w:t>
            </w: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215,250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9" w:lineRule="exact"/>
        <w:rPr>
          <w:sz w:val="20"/>
          <w:szCs w:val="20"/>
          <w:color w:val="auto"/>
        </w:rPr>
      </w:pPr>
    </w:p>
    <w:p>
      <w:pPr>
        <w:ind w:left="540" w:right="240" w:hanging="424"/>
        <w:spacing w:after="0" w:line="284"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the discussion in “</w:t>
      </w:r>
      <w:r>
        <w:rPr>
          <w:rFonts w:ascii="Times New Roman" w:cs="Times New Roman" w:eastAsia="Times New Roman" w:hAnsi="Times New Roman"/>
          <w:sz w:val="18"/>
          <w:szCs w:val="18"/>
          <w:u w:val="single" w:color="auto"/>
          <w:color w:val="auto"/>
        </w:rPr>
        <w:t>Fiscal Year 2022 Special Equity Grant to our Executive Chairman” in</w:t>
      </w:r>
      <w:r>
        <w:rPr>
          <w:rFonts w:ascii="Times New Roman" w:cs="Times New Roman" w:eastAsia="Times New Roman" w:hAnsi="Times New Roman"/>
          <w:sz w:val="18"/>
          <w:szCs w:val="18"/>
          <w:color w:val="auto"/>
        </w:rPr>
        <w:t xml:space="preserve"> the section </w:t>
      </w:r>
      <w:r>
        <w:rPr>
          <w:rFonts w:ascii="Times New Roman" w:cs="Times New Roman" w:eastAsia="Times New Roman" w:hAnsi="Times New Roman"/>
          <w:sz w:val="18"/>
          <w:szCs w:val="18"/>
          <w:i w:val="1"/>
          <w:iCs w:val="1"/>
          <w:color w:val="auto"/>
        </w:rPr>
        <w:t>“Long-Term Incentives—Fiscal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Year 2022 Equity Grants” </w:t>
      </w:r>
      <w:r>
        <w:rPr>
          <w:rFonts w:ascii="Times New Roman" w:cs="Times New Roman" w:eastAsia="Times New Roman" w:hAnsi="Times New Roman"/>
          <w:sz w:val="18"/>
          <w:szCs w:val="18"/>
          <w:color w:val="auto"/>
        </w:rPr>
        <w:t>for an in-depth discussion of Mr. Vitale’s special equity grant.</w:t>
      </w:r>
    </w:p>
    <w:p>
      <w:pPr>
        <w:spacing w:after="0" w:line="160"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PRSUs:</w:t>
      </w:r>
      <w:r>
        <w:rPr>
          <w:rFonts w:ascii="Times New Roman" w:cs="Times New Roman" w:eastAsia="Times New Roman" w:hAnsi="Times New Roman"/>
          <w:sz w:val="18"/>
          <w:szCs w:val="18"/>
          <w:color w:val="auto"/>
        </w:rPr>
        <w:t xml:space="preserve"> Our new PRSU program measures three-year cumulative TSR performance against the Russell 3000 Food Products companies (38 companies at the beginning of the performance period). This new program focuses our executives’ behaviors on long-term decision-making that enhances stockholder value. Each PRSU earned is settled with a share of the Company’s common stock following the completion of the three-year performance period. For the fiscal year 2022 PRSU grants, shares as a percentage of target may be earned on a sliding scale as follows: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BRBR’s Relative</w:t>
            </w:r>
          </w:p>
        </w:tc>
        <w:tc>
          <w:tcPr>
            <w:tcW w:w="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3-Year TSR</w:t>
            </w:r>
          </w:p>
        </w:tc>
        <w:tc>
          <w:tcPr>
            <w:tcW w:w="300" w:type="dxa"/>
            <w:vAlign w:val="bottom"/>
          </w:tcPr>
          <w:p>
            <w:pPr>
              <w:spacing w:after="0"/>
              <w:rPr>
                <w:sz w:val="12"/>
                <w:szCs w:val="12"/>
                <w:color w:val="auto"/>
              </w:rPr>
            </w:pP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87"/>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300" w:type="dxa"/>
            <w:vAlign w:val="bottom"/>
            <w:tcBorders>
              <w:bottom w:val="single" w:sz="8" w:color="ABD8EA"/>
            </w:tcBorders>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shd w:val="clear" w:color="auto" w:fill="ABD8EA"/>
          </w:tcPr>
          <w:p>
            <w:pPr>
              <w:spacing w:after="0" w:line="250" w:lineRule="exact"/>
              <w:rPr>
                <w:sz w:val="20"/>
                <w:szCs w:val="20"/>
                <w:color w:val="auto"/>
              </w:rPr>
            </w:pPr>
            <w:r>
              <w:rPr>
                <w:rFonts w:ascii="Times New Roman" w:cs="Times New Roman" w:eastAsia="Times New Roman" w:hAnsi="Times New Roman"/>
                <w:sz w:val="18"/>
                <w:szCs w:val="18"/>
                <w:color w:val="auto"/>
              </w:rPr>
              <w:t>&gt;85</w:t>
            </w:r>
            <w:r>
              <w:rPr>
                <w:rFonts w:ascii="Times New Roman" w:cs="Times New Roman" w:eastAsia="Times New Roman" w:hAnsi="Times New Roman"/>
                <w:sz w:val="26"/>
                <w:szCs w:val="26"/>
                <w:color w:val="auto"/>
                <w:vertAlign w:val="superscript"/>
              </w:rPr>
              <w:t>th</w:t>
            </w:r>
          </w:p>
        </w:tc>
        <w:tc>
          <w:tcPr>
            <w:tcW w:w="300" w:type="dxa"/>
            <w:vAlign w:val="bottom"/>
            <w:shd w:val="clear" w:color="auto" w:fill="ABD8EA"/>
          </w:tcPr>
          <w:p>
            <w:pPr>
              <w:spacing w:after="0"/>
              <w:rPr>
                <w:sz w:val="21"/>
                <w:szCs w:val="21"/>
                <w:color w:val="auto"/>
              </w:rPr>
            </w:pPr>
          </w:p>
        </w:tc>
        <w:tc>
          <w:tcPr>
            <w:tcW w:w="336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rPr>
              <w:t>260% of target</w:t>
            </w:r>
          </w:p>
        </w:tc>
        <w:tc>
          <w:tcPr>
            <w:tcW w:w="0" w:type="dxa"/>
            <w:vAlign w:val="bottom"/>
          </w:tcPr>
          <w:p>
            <w:pPr>
              <w:spacing w:after="0"/>
              <w:rPr>
                <w:sz w:val="1"/>
                <w:szCs w:val="1"/>
                <w:color w:val="auto"/>
              </w:rPr>
            </w:pPr>
          </w:p>
        </w:tc>
      </w:tr>
      <w:tr>
        <w:trPr>
          <w:trHeight w:val="270"/>
        </w:trPr>
        <w:tc>
          <w:tcPr>
            <w:tcW w:w="38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6"/>
                <w:szCs w:val="26"/>
                <w:color w:val="auto"/>
                <w:vertAlign w:val="superscript"/>
              </w:rPr>
              <w:t>th</w:t>
            </w:r>
          </w:p>
        </w:tc>
        <w:tc>
          <w:tcPr>
            <w:tcW w:w="30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 of target</w:t>
            </w:r>
          </w:p>
        </w:tc>
        <w:tc>
          <w:tcPr>
            <w:tcW w:w="0" w:type="dxa"/>
            <w:vAlign w:val="bottom"/>
          </w:tcPr>
          <w:p>
            <w:pPr>
              <w:spacing w:after="0"/>
              <w:rPr>
                <w:sz w:val="1"/>
                <w:szCs w:val="1"/>
                <w:color w:val="auto"/>
              </w:rPr>
            </w:pPr>
          </w:p>
        </w:tc>
      </w:tr>
      <w:tr>
        <w:trPr>
          <w:trHeight w:val="270"/>
        </w:trPr>
        <w:tc>
          <w:tcPr>
            <w:tcW w:w="3820" w:type="dxa"/>
            <w:vAlign w:val="bottom"/>
            <w:shd w:val="clear" w:color="auto" w:fill="ABD8EA"/>
          </w:tcPr>
          <w:p>
            <w:pPr>
              <w:spacing w:after="0" w:line="270" w:lineRule="exact"/>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6"/>
                <w:szCs w:val="26"/>
                <w:color w:val="auto"/>
                <w:vertAlign w:val="superscript"/>
              </w:rPr>
              <w:t>th</w:t>
            </w:r>
          </w:p>
        </w:tc>
        <w:tc>
          <w:tcPr>
            <w:tcW w:w="300" w:type="dxa"/>
            <w:vAlign w:val="bottom"/>
            <w:shd w:val="clear" w:color="auto" w:fill="ABD8EA"/>
          </w:tcPr>
          <w:p>
            <w:pPr>
              <w:spacing w:after="0"/>
              <w:rPr>
                <w:sz w:val="23"/>
                <w:szCs w:val="23"/>
                <w:color w:val="auto"/>
              </w:rPr>
            </w:pPr>
          </w:p>
        </w:tc>
        <w:tc>
          <w:tcPr>
            <w:tcW w:w="336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rPr>
              <w:t>100% of target</w:t>
            </w:r>
          </w:p>
        </w:tc>
        <w:tc>
          <w:tcPr>
            <w:tcW w:w="0" w:type="dxa"/>
            <w:vAlign w:val="bottom"/>
          </w:tcPr>
          <w:p>
            <w:pPr>
              <w:spacing w:after="0"/>
              <w:rPr>
                <w:sz w:val="1"/>
                <w:szCs w:val="1"/>
                <w:color w:val="auto"/>
              </w:rPr>
            </w:pPr>
          </w:p>
        </w:tc>
      </w:tr>
      <w:tr>
        <w:trPr>
          <w:trHeight w:val="270"/>
        </w:trPr>
        <w:tc>
          <w:tcPr>
            <w:tcW w:w="382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25</w:t>
            </w:r>
            <w:r>
              <w:rPr>
                <w:rFonts w:ascii="Times New Roman" w:cs="Times New Roman" w:eastAsia="Times New Roman" w:hAnsi="Times New Roman"/>
                <w:sz w:val="13"/>
                <w:szCs w:val="13"/>
                <w:color w:val="auto"/>
              </w:rPr>
              <w:t>th</w:t>
            </w:r>
          </w:p>
        </w:tc>
        <w:tc>
          <w:tcPr>
            <w:tcW w:w="30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of target</w:t>
            </w:r>
          </w:p>
        </w:tc>
        <w:tc>
          <w:tcPr>
            <w:tcW w:w="0" w:type="dxa"/>
            <w:vAlign w:val="bottom"/>
          </w:tcPr>
          <w:p>
            <w:pPr>
              <w:spacing w:after="0"/>
              <w:rPr>
                <w:sz w:val="1"/>
                <w:szCs w:val="1"/>
                <w:color w:val="auto"/>
              </w:rPr>
            </w:pPr>
          </w:p>
        </w:tc>
      </w:tr>
      <w:tr>
        <w:trPr>
          <w:trHeight w:val="270"/>
        </w:trPr>
        <w:tc>
          <w:tcPr>
            <w:tcW w:w="3820" w:type="dxa"/>
            <w:vAlign w:val="bottom"/>
            <w:shd w:val="clear" w:color="auto" w:fill="ABD8EA"/>
          </w:tcPr>
          <w:p>
            <w:pPr>
              <w:spacing w:after="0" w:line="270" w:lineRule="exact"/>
              <w:rPr>
                <w:sz w:val="20"/>
                <w:szCs w:val="20"/>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26"/>
                <w:szCs w:val="26"/>
                <w:color w:val="auto"/>
                <w:vertAlign w:val="superscript"/>
              </w:rPr>
              <w:t>th</w:t>
            </w:r>
          </w:p>
        </w:tc>
        <w:tc>
          <w:tcPr>
            <w:tcW w:w="300" w:type="dxa"/>
            <w:vAlign w:val="bottom"/>
            <w:shd w:val="clear" w:color="auto" w:fill="ABD8EA"/>
          </w:tcPr>
          <w:p>
            <w:pPr>
              <w:spacing w:after="0"/>
              <w:rPr>
                <w:sz w:val="23"/>
                <w:szCs w:val="23"/>
                <w:color w:val="auto"/>
              </w:rPr>
            </w:pPr>
          </w:p>
        </w:tc>
        <w:tc>
          <w:tcPr>
            <w:tcW w:w="336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8"/>
              </w:rPr>
              <w:t>0% of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between points is interpolated on a straight-line basis.</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bullets summarize the fiscal year 2022 PRSU grant design parameters: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period (except Mr. Vitale): </w:t>
      </w:r>
      <w:r>
        <w:rPr>
          <w:rFonts w:ascii="Times New Roman" w:cs="Times New Roman" w:eastAsia="Times New Roman" w:hAnsi="Times New Roman"/>
          <w:sz w:val="18"/>
          <w:szCs w:val="18"/>
          <w:color w:val="auto"/>
        </w:rPr>
        <w:t>November 11, 2021 through November 10, 2024.</w:t>
      </w:r>
    </w:p>
    <w:p>
      <w:pPr>
        <w:spacing w:after="0" w:line="13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period (Mr. Vitale): </w:t>
      </w:r>
      <w:r>
        <w:rPr>
          <w:rFonts w:ascii="Times New Roman" w:cs="Times New Roman" w:eastAsia="Times New Roman" w:hAnsi="Times New Roman"/>
          <w:sz w:val="18"/>
          <w:szCs w:val="18"/>
          <w:color w:val="auto"/>
        </w:rPr>
        <w:t>April 5, 2022 through February 1, 2025. The performance period ending date generally coincides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Vitale’s current term on the BellRing board of directors which expires at the February 2025 annual stockholder meeting.</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requirements and payout opportunities: </w:t>
      </w:r>
      <w:r>
        <w:rPr>
          <w:rFonts w:ascii="Times New Roman" w:cs="Times New Roman" w:eastAsia="Times New Roman" w:hAnsi="Times New Roman"/>
          <w:sz w:val="18"/>
          <w:szCs w:val="18"/>
          <w:color w:val="auto"/>
        </w:rPr>
        <w:t>Please refer to the chart above.</w:t>
      </w:r>
    </w:p>
    <w:p>
      <w:pPr>
        <w:spacing w:after="0" w:line="13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Peer group: </w:t>
      </w:r>
      <w:r>
        <w:rPr>
          <w:rFonts w:ascii="Times New Roman" w:cs="Times New Roman" w:eastAsia="Times New Roman" w:hAnsi="Times New Roman"/>
          <w:sz w:val="18"/>
          <w:szCs w:val="18"/>
          <w:color w:val="auto"/>
        </w:rPr>
        <w:t>Russell 3000 Food Products companies; acquired companies are removed from the rankings; bankruptcies are dropped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bottom ranking.</w:t>
      </w:r>
    </w:p>
    <w:p>
      <w:pPr>
        <w:spacing w:after="0" w:line="60" w:lineRule="exact"/>
        <w:rPr>
          <w:rFonts w:ascii="Times New Roman" w:cs="Times New Roman" w:eastAsia="Times New Roman" w:hAnsi="Times New Roman"/>
          <w:sz w:val="18"/>
          <w:szCs w:val="18"/>
          <w:color w:val="auto"/>
        </w:rPr>
      </w:pPr>
    </w:p>
    <w:p>
      <w:pPr>
        <w:ind w:left="1080" w:hanging="424"/>
        <w:spacing w:after="0" w:line="278" w:lineRule="auto"/>
        <w:tabs>
          <w:tab w:leader="none" w:pos="10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Beginning and ending values: </w:t>
      </w:r>
      <w:r>
        <w:rPr>
          <w:rFonts w:ascii="Times New Roman" w:cs="Times New Roman" w:eastAsia="Times New Roman" w:hAnsi="Times New Roman"/>
          <w:sz w:val="17"/>
          <w:szCs w:val="17"/>
          <w:color w:val="auto"/>
        </w:rPr>
        <w:t>For all NEOs except Mr. Vitale, beginning and ending values are based on the 30-day VWAP immediately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and including the first/last day of the performance period to mitigate any short-term swings in stock price at either end. For</w:t>
      </w:r>
    </w:p>
    <w:p>
      <w:pPr>
        <w:spacing w:after="0" w:line="1" w:lineRule="exact"/>
        <w:rPr>
          <w:rFonts w:ascii="Times New Roman" w:cs="Times New Roman" w:eastAsia="Times New Roman" w:hAnsi="Times New Roman"/>
          <w:sz w:val="17"/>
          <w:szCs w:val="17"/>
          <w:color w:val="auto"/>
        </w:rPr>
      </w:pPr>
    </w:p>
    <w:p>
      <w:pPr>
        <w:ind w:left="1080" w:right="6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Vitale, the beginning and ending values are determined based on the 18-day VWAP (the number of days between our spin-off transaction and the grant date) and 20-day VWAP, respectively, including the first/last day of the performance period.</w:t>
      </w:r>
    </w:p>
    <w:p>
      <w:pPr>
        <w:spacing w:after="0" w:line="8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Re-invested on the ex-dividend date.</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40"/>
          </w:cols>
          <w:pgMar w:left="320" w:top="455"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Negative three-year TSR: </w:t>
      </w:r>
      <w:r>
        <w:rPr>
          <w:rFonts w:ascii="Times New Roman" w:cs="Times New Roman" w:eastAsia="Times New Roman" w:hAnsi="Times New Roman"/>
          <w:sz w:val="18"/>
          <w:szCs w:val="18"/>
          <w:color w:val="auto"/>
        </w:rPr>
        <w:t>If BellRing has a negative three-year TSR, then payout is capped at 100% of target, regardless of ranking.</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number of PRSUs awarded in accordance with the sliding scale set forth above will vest following the end of the three-year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No PRSUs will vest during the performance period, with limited exceptions in cases of death, disability or involuntary termination of employment associated with a change in control of the Company (or absent an involuntary termination, failure of the acquirer in a change in control to assume, on substantially the same terms, the PRSUs).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The value of RSUs provides a base level of retention value as well as incentive for increasing stockholder value. Our RSUs generally vest one-third per year on the first, second and third anniversaries of the grant date. Vesting of RSUs may be accelerated upon the occurrence of certain termination events.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Fiscal Year 2022 Special Equity Grant to our Executive Chairman</w:t>
      </w:r>
    </w:p>
    <w:p>
      <w:pPr>
        <w:spacing w:after="0" w:line="11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The Board does not generally intend to provide special grants except in a very judicious and limited manner in rare circumstances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warranted by the situation. The Board views any such grants as a special and exceptional nonrecurring event to meet the Company’s needs during a specific period or for a specific purpose.</w:t>
      </w:r>
    </w:p>
    <w:p>
      <w:pPr>
        <w:spacing w:after="0" w:line="17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BellRing’s Executive Chairman of the Board of Directors, Robert V. Vitale, serves as President and Chief Executive Officer and a member of the Board of Directors of Post Holdings, Inc., the former parent of BellRing. From 2015 until BellRing’s initial public offering in October 2019, our business comprised the active nutrition business of Post. As part of his role as President, CEO and a director of Post since 2014, Mr. Vitale has overseen the business that now comprises BellRing for its entire existence and has served as executive chairman of BellRing since shortly before our October 2019 initial public offering.</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March 2022, Post completed the spin-off of 80.1% of its interest in BellRing through a distribution of BellRing common stock to Post shareholders. After the spin-off, Post owned approximately 14.2% of BellRing, but BellRing was no longer a part of Post’s portfolio of businesses. In light of this change, and in order to directly align the incentives of Mr. Vitale with the interests of BellRing’s stockholders and with our Company’s strategic goals, and to secure his continued leadership, expertise and experience, on April 5, 2022, our Board made special performance-based and time-based equity grants to Mr. Vitale.</w:t>
      </w:r>
    </w:p>
    <w:p>
      <w:pPr>
        <w:spacing w:after="0" w:line="179"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Process and Considerations. </w:t>
      </w:r>
      <w:r>
        <w:rPr>
          <w:rFonts w:ascii="Times New Roman" w:cs="Times New Roman" w:eastAsia="Times New Roman" w:hAnsi="Times New Roman"/>
          <w:sz w:val="17"/>
          <w:szCs w:val="17"/>
          <w:color w:val="auto"/>
        </w:rPr>
        <w:t>Prior to making these grants, the Board sought and received input from its independent compensation consultant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regarding the value, programs and vesting and other provisions of such grants based on grants at comparable companies and situations. The Board used this input as a reference point in finalizing the terms of the grants to Mr. Vitale. The Board considered dilution, stockholder alignment, the appropriate time period for performance, cost, the effect on the Company’s available share pool, internal considerations, unique aspects of the Company’s situation and its own developed perspective. Taking all of these factors into account, the Board selected PRSUs and RSUs for the grants to the Executive Chairman, and made the grants majority performance-based, with 75% of the target value being PRSUs and 25% being time-based RSUs.</w:t>
      </w:r>
    </w:p>
    <w:p>
      <w:pPr>
        <w:spacing w:after="0" w:line="16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Rationale. </w:t>
      </w:r>
      <w:r>
        <w:rPr>
          <w:rFonts w:ascii="Times New Roman" w:cs="Times New Roman" w:eastAsia="Times New Roman" w:hAnsi="Times New Roman"/>
          <w:sz w:val="18"/>
          <w:szCs w:val="18"/>
          <w:color w:val="auto"/>
        </w:rPr>
        <w:t>The Board’s rationale for making these special grants was based on several factors. The PRSUs’ use of relative TSR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metric strongly aligns the Executive Chairman’s interests with those of our stockholders. The Board designed the awards with significant challenge, incentive and upside opportunity similar to our other NEOs in order to keep the Executive Chairman engaged and to motivate him to actively continue overseeing and executing our strategy, as well as to continue developing our leadership team. The combination of the design of the awards and the fact that the Executive Chairman will not receive any other compensation during the three-year term of the awards reinforces and underscores the importance of having Mr. Vitale maintain an ongoing and significant focus on executing our strategy, achieving our business objectives, developing our leadership team and driving the creation of stockholder value.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Terms. </w:t>
      </w:r>
      <w:r>
        <w:rPr>
          <w:rFonts w:ascii="Times New Roman" w:cs="Times New Roman" w:eastAsia="Times New Roman" w:hAnsi="Times New Roman"/>
          <w:sz w:val="18"/>
          <w:szCs w:val="18"/>
          <w:color w:val="auto"/>
        </w:rPr>
        <w:t>The specific terms of the grants to the Executive Chairman are as follows:</w:t>
      </w:r>
    </w:p>
    <w:p>
      <w:pPr>
        <w:spacing w:after="0" w:line="135" w:lineRule="exact"/>
        <w:rPr>
          <w:sz w:val="20"/>
          <w:szCs w:val="20"/>
          <w:color w:val="auto"/>
        </w:rPr>
      </w:pPr>
    </w:p>
    <w:p>
      <w:pPr>
        <w:ind w:left="1080" w:right="4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PRSUs:</w:t>
      </w:r>
      <w:r>
        <w:rPr>
          <w:rFonts w:ascii="Times New Roman" w:cs="Times New Roman" w:eastAsia="Times New Roman" w:hAnsi="Times New Roman"/>
          <w:sz w:val="18"/>
          <w:szCs w:val="18"/>
          <w:color w:val="auto"/>
        </w:rPr>
        <w:t xml:space="preserve"> 300,000 PRSUs, which, like the PRSUs granted to the other NEOs, vest based on BellRing’s three-year TSR percentile rank relative to the TSRs of the companies in the Russell 3000 Food Products companies, in his case for the period from April 5, 2022 to February 1, 2025. The PRSUs had a target value of $7.5 million.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xml:space="preserve"> 100,000 RSUs that vest ratably over three years, consistent with our other NEOs. The RSUs had a target value of $2.5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protective provisions</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equity grants for the next three years</w:t>
      </w:r>
      <w:r>
        <w:rPr>
          <w:rFonts w:ascii="Times New Roman" w:cs="Times New Roman" w:eastAsia="Times New Roman" w:hAnsi="Times New Roman"/>
          <w:sz w:val="18"/>
          <w:szCs w:val="18"/>
          <w:color w:val="auto"/>
        </w:rPr>
        <w:t>: The Board will not make any other equity grants to Mr. Vitale during the three-year term of the PRSUs and RSUs.</w:t>
      </w:r>
    </w:p>
    <w:p>
      <w:pPr>
        <w:spacing w:after="0" w:line="67" w:lineRule="exact"/>
        <w:rPr>
          <w:rFonts w:ascii="Times New Roman" w:cs="Times New Roman" w:eastAsia="Times New Roman" w:hAnsi="Times New Roman"/>
          <w:sz w:val="18"/>
          <w:szCs w:val="18"/>
          <w:color w:val="auto"/>
        </w:rPr>
      </w:pPr>
    </w:p>
    <w:p>
      <w:pPr>
        <w:jc w:val="both"/>
        <w:ind w:left="1540" w:right="60" w:hanging="331"/>
        <w:spacing w:after="0" w:line="266"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In connection with the grants, Mr. Vitale entered into a Lock-Up Agreement which provides that for five years, or until he ceases to serve as our Executive Chairman, he may not sell more than 50% of the sum of any shares underlying vested and unvested PRSUs (at target) and RSUs and any shares he owns outright.</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ownership guidelines</w:t>
      </w:r>
      <w:r>
        <w:rPr>
          <w:rFonts w:ascii="Times New Roman" w:cs="Times New Roman" w:eastAsia="Times New Roman" w:hAnsi="Times New Roman"/>
          <w:sz w:val="18"/>
          <w:szCs w:val="18"/>
          <w:color w:val="auto"/>
        </w:rPr>
        <w:t>: As a Section 16 officer, Mr. Vitale is subject to our stock ownership guideline policy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Any shares earned are subject to the Company’s clawback policy.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Adjustments to Equity Awards due to the Reorganization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November 11, 2021, the Committee granted RSUs and PRSUs to the named executive officers at the target grant date fair values reflected in the table above. Upon completion of the Reorganization Transactions in March 2022, the Committee authorized an increase in the number of RSUs and PRSUs granted to each named executive officer and an adjustment and repricing all outstanding stock options, including those held by named executive officers, in each case to account for the cash consideration component associated with the underlying shares of our common stock paid to all stockholders of the company in connection with the Reorganization Transactions. The aggregate grant date fair values of the RSU and PRSU awards granted on November 11, 2021 as adjusted in March 2022 calculated in accordance with Financial Accounting Standards Board (“FASB”) Topic 718 are reported in the Stock Awards column of the Summary Compensation Table beginning on page 45 of this proxy statement. The incremental fair values of the repriced stock options, computed as of the date of the Reorganization Transactions in accordance with FASB ASC Topic 718 are reported in the Option Awards column of the Summary Compensation Table beginning on page 45 of this proxy statement.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Other Compensation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stock ownership guidelines applicable to non-employee directors and Section 16 officers. Our Board of Directors believes it is in the best interests of the Company and our stockholders to align the financial interests of Section 16 officers and non-employee directors with those of our stockholders. Our guideline structure is as follows:</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and Non-Executive Directors — 5 times annual retainer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 6 times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Officers — 2 times base salary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Participants are expected to comply with the ownership requirements within five years of an appointment to a qualified position.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2022, all participants are still within the five-year timeframe for compliance. The categories of stock ownership that satisfy the ownership</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criteria include:</w:t>
      </w:r>
    </w:p>
    <w:p>
      <w:pPr>
        <w:spacing w:after="0" w:line="112"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directly or indirectly (e.g. by spouse or trust);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RSUs or performance-based cash or stock-settled restricted stock or RSUs (with any awards subject to unsatisfied performance-based vesting conditions taken into account at the “target” level of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represented by amounts invested in the BellRing Brands 401(k) Plan;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equivalents, including deferred stock units and deferred compensation, payable under our deferred compensation plans.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Unvested stock options/SARs and vested but unexercised stock options/SARs are not included when determining compliance with the guidelines. The Committee is responsible for monitoring the application of the stock ownership guidelines and may modify the guidelines in its discretion, including as a result of dramatic or unexpected changes in the market value of BellRing common stock. The Committee has the discretion to enforce these stock ownership guidelines on a case-by-case basis.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Recoupment (“Clawback”) Policy</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have an executive compensation “clawback” policy in connection with incentive compensation. The clawback policy provides that, in the event the Company is required to prepare an accounting restatement of its financial statements due to the Company’s material noncompliance with any financial reporting requirement under the securities laws, the Committee, to the extent allowable under applicable law, has the authority to recoup any incentive compensation paid to a current or former executive officer, including Section 16 officers, during the three-year period preceding the restatement if the restatement would result in the payment of a reduced award if the award were recalculated based on the restated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Policy on Hedging and Pledging Company Stock</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have a policy that prohibits directors and executive officers from engaging in derivative or hedging transactions in the Company’s securities and prohibits pledging of shares by directors and executive officers. See the section </w:t>
      </w:r>
      <w:r>
        <w:rPr>
          <w:rFonts w:ascii="Times New Roman" w:cs="Times New Roman" w:eastAsia="Times New Roman" w:hAnsi="Times New Roman"/>
          <w:sz w:val="18"/>
          <w:szCs w:val="18"/>
          <w:i w:val="1"/>
          <w:iCs w:val="1"/>
          <w:color w:val="auto"/>
        </w:rPr>
        <w:t>Corporate Governance — Policy on Hedging and Pledging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Stock </w:t>
      </w:r>
      <w:r>
        <w:rPr>
          <w:rFonts w:ascii="Times New Roman" w:cs="Times New Roman" w:eastAsia="Times New Roman" w:hAnsi="Times New Roman"/>
          <w:sz w:val="18"/>
          <w:szCs w:val="18"/>
          <w:color w:val="auto"/>
        </w:rPr>
        <w:t>on page 10 for further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Committee is responsible for overseeing the risks relating to compensation policies and practices affecting senior management on an ongoing basis. Aon performs an annual compensation risk assessment for the Company. For fiscal year 2022, the Committee thoroughly reviewed Aon’s compensation risk assessment which determined that our governance policies and compensation structure result in a compensation system that is not reasonably likely to lead to management decisions that would have a material adverse effect on the Company. The following features of our programs mitigate this risk:</w:t>
      </w:r>
    </w:p>
    <w:p>
      <w:pPr>
        <w:spacing w:after="0" w:line="89"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retains an independent compensation consultant to assist with annual compensation decisions;</w:t>
      </w:r>
    </w:p>
    <w:p>
      <w:pPr>
        <w:spacing w:after="0" w:line="130"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approves the Senior Management Bonus Program financial goals at the start of the fiscal year, and approves the performance achievement level and final payments earned after the end of the fiscal year;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2022, the Senior Management Bonus Program capped potential payouts at 150% of the target opportunity;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mix of cash and equity incentive programs, and all equity awards granted to our named executive officers are subject to multi-year vesting;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portfolio of equity award types;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competitive general and change-in-control severance programs to help ensure executives continue to work towards our stockholders’ best interests in light of potential employment uncertainty;</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subject to minimum stock ownership guidelines and limitations on trading in our securities, including prohibitions on hedging and pledging;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clawback policy permits the Company to recoup compensation paid on the basis of financial results that are subsequently restated.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Limited Perquisites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provide executives limited perquisites and other personal benefits that we believe are reasonable and consistent with our overall compensation philosophy. These benefits help retain and attract superior employees for key positions. The Committee reviews the levels of perquisites and other benefits periodically.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Currently the only perquisite we provide is personal use of our corporate aircraft by our Chief Executive Officer. The Committee has the authority to grant tax gross-ups related to such use, provided that they do not exceed $100,000 during any fiscal year. The Committee reviews the levels of perquisites and other benefits periodically. Personal use of the Company aircraft is discussed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Deductibility of Compensation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When reviewing compensation matters, the Committee considers the anticipated tax consequences (and, when relevant, to our executive officers) of the various payments under our compensation programs. Section 162(m) of the Code generally disallows a tax deduction for any publicly held corporation for individual compensation of more than $1 million in any taxable year to certain executives. The Committee, after considering the potential impact of the application of Section 162(m) of the Code, may provide compensation to executives that may not be tax deductible if it believes that providing that compensation is in the best interests of the Company and its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Control and Involuntary Termination Treatment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separate Severance and Change in Control Agreements with our named executive officers other than Mr. Vitale that provides for certain benefits to our executive officers (other than Mr. Vitale) in the event of an involuntary termination without cause or relating to a change in control or upon an executive officer’s death or disability. We believe these benefits are customary among the company’s peers and are fair to the executives and to our stockholders. For more information about potential payments to our named executive officers pursuant to these Severance and Change in Control Agreements, see “Executive Compensation — Potential Payments Upon Termination of Employment or Change in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for the Fiscal Year Ended September 30, 2022</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fiscal year 2022, the Committee reviewed competitive peer company board of director compensation market data provided by Aon. Modifications to our program were approved, as outlined herein, to provide competitive total compensation opportunities for our non-management directors.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All non-management directors received an annual retainer of $60,000. The chairperson of our Audit Committee receives an additional annual retainer of $15,000, and the chairperson of our Corporate Governance and Compensation Committee receives an additional annual retainer of $10,000. Other members of our Audit Committee received an additional annual retainer of $7,500, and other members of our Corporate Governance and Compensation Committee received an additional annual retainer of $5,000. The committee member annual retainers were new for fiscal year 2022. The independent lead director of our Board received an additional annual retainer of $20,000.</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to cash compensation, all non-management directors received an annual grant in the form of RSUs valued at approximately $100,000 on the date of grant, rounded down to the nearest RSU. All awards fully vest on the first anniversary of the date of grant. In addition, all awards fully vest at the director’s disability or death. Directors may elect to defer settlement of RSUs until separation from service.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our Deferred Compensation Plan for Directors, any non-management director may elect to defer, with certain limitations, his or her retainer. Deferred compensation may be notionally invested in BellRing common stock equivalents or in a number of mutual funds operated by The Vanguard Group Inc. with a variety of investment strategies and objectives. Deferrals in our common stock equivalents receive a 33 and 1/3% Company matching contribution, also credited in BellRing common stock equivalents. Balances are paid upon leaving the Board of Directors, generally in cash, in one of three ways: (1) lump sum payout; (2) five-year installments or (3) ten-year installments.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Directors who also are full-time officers or employees of the Company receive no additional compensation for serving as directors.</w:t>
      </w:r>
    </w:p>
    <w:p>
      <w:pPr>
        <w:spacing w:after="0" w:line="223"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maintain stock ownership guidelines applicable to all non-management directors. See </w:t>
      </w:r>
      <w:r>
        <w:rPr>
          <w:rFonts w:ascii="Times New Roman" w:cs="Times New Roman" w:eastAsia="Times New Roman" w:hAnsi="Times New Roman"/>
          <w:sz w:val="18"/>
          <w:szCs w:val="18"/>
          <w:i w:val="1"/>
          <w:iCs w:val="1"/>
          <w:color w:val="auto"/>
        </w:rPr>
        <w:t>Other Compensation Policies — Stock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Guidelines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Compensation Discussion </w:t>
      </w:r>
      <w:r>
        <w:rPr>
          <w:rFonts w:ascii="Times New Roman" w:cs="Times New Roman" w:eastAsia="Times New Roman" w:hAnsi="Times New Roman"/>
          <w:sz w:val="18"/>
          <w:szCs w:val="18"/>
          <w:color w:val="auto"/>
        </w:rPr>
        <w:t>for more details.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our fiscal year 2022, the Corporate Governance and Compensation Committee was composed of Messrs. Stein and Erickson and</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Ms. Kuperman. There are no relationships involving the members of our Corporate Governance and Compensation Committee or our executive officers that are required to be disclosed under Item 407(e)(4) of Regulation S-K.</w:t>
      </w:r>
    </w:p>
    <w:p>
      <w:pPr>
        <w:spacing w:after="0" w:line="3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Corporate Governance and Compensation Committee has reviewed the Compensation Discussion and Analysis and discussed that Analysis with management. Based on its review and discussions with management, the Corporate Governance and Compensation Committee recommended to the Board of Directors that the Compensation Discussion and Analysis be included in this Proxy Statement (and incorporated by reference into the Company’s 2022 Annual Report). This report is provided by the following independent directors, who comprise all of the members of the Corporate Governance and Compensation Committee: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Elliot H. Stein, Jr., </w:t>
      </w:r>
      <w:r>
        <w:rPr>
          <w:rFonts w:ascii="Times New Roman" w:cs="Times New Roman" w:eastAsia="Times New Roman" w:hAnsi="Times New Roman"/>
          <w:sz w:val="18"/>
          <w:szCs w:val="18"/>
          <w:i w:val="1"/>
          <w:iCs w:val="1"/>
          <w:color w:val="auto"/>
        </w:rPr>
        <w:t>Chairman</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Jennifer Kuperman</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55"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the total compensation earned during fiscal 2022, fiscal 2021 and fiscal 2020 by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BD8EA"/>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BD8EA"/>
            </w:tcBorders>
            <w:vMerge w:val="continue"/>
          </w:tcPr>
          <w:p>
            <w:pPr>
              <w:spacing w:after="0"/>
              <w:rPr>
                <w:sz w:val="15"/>
                <w:szCs w:val="15"/>
                <w:color w:val="auto"/>
              </w:rPr>
            </w:pPr>
          </w:p>
        </w:tc>
        <w:tc>
          <w:tcPr>
            <w:tcW w:w="5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BD8EA"/>
            </w:tcBorders>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BD8EA"/>
            </w:tcBorders>
          </w:tcPr>
          <w:p>
            <w:pPr>
              <w:spacing w:after="0"/>
              <w:rPr>
                <w:sz w:val="15"/>
                <w:szCs w:val="15"/>
                <w:color w:val="auto"/>
              </w:rPr>
            </w:pPr>
          </w:p>
        </w:tc>
        <w:tc>
          <w:tcPr>
            <w:tcW w:w="78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140" w:type="dxa"/>
            <w:vAlign w:val="bottom"/>
            <w:tcBorders>
              <w:bottom w:val="single" w:sz="8" w:color="ABD8EA"/>
            </w:tcBorders>
          </w:tcPr>
          <w:p>
            <w:pPr>
              <w:spacing w:after="0"/>
              <w:rPr>
                <w:sz w:val="15"/>
                <w:szCs w:val="15"/>
                <w:color w:val="auto"/>
              </w:rPr>
            </w:pPr>
          </w:p>
        </w:tc>
        <w:tc>
          <w:tcPr>
            <w:tcW w:w="58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(3)</w:t>
            </w:r>
          </w:p>
        </w:tc>
        <w:tc>
          <w:tcPr>
            <w:tcW w:w="140" w:type="dxa"/>
            <w:vAlign w:val="bottom"/>
            <w:tcBorders>
              <w:bottom w:val="single" w:sz="8" w:color="ABD8EA"/>
            </w:tcBorders>
          </w:tcPr>
          <w:p>
            <w:pPr>
              <w:spacing w:after="0"/>
              <w:rPr>
                <w:sz w:val="15"/>
                <w:szCs w:val="15"/>
                <w:color w:val="auto"/>
              </w:rPr>
            </w:pPr>
          </w:p>
        </w:tc>
        <w:tc>
          <w:tcPr>
            <w:tcW w:w="9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(4)</w:t>
            </w:r>
          </w:p>
        </w:tc>
        <w:tc>
          <w:tcPr>
            <w:tcW w:w="140" w:type="dxa"/>
            <w:vAlign w:val="bottom"/>
            <w:tcBorders>
              <w:bottom w:val="single" w:sz="8" w:color="ABD8EA"/>
            </w:tcBorders>
          </w:tcPr>
          <w:p>
            <w:pPr>
              <w:spacing w:after="0"/>
              <w:rPr>
                <w:sz w:val="15"/>
                <w:szCs w:val="15"/>
                <w:color w:val="auto"/>
              </w:rPr>
            </w:pPr>
          </w:p>
        </w:tc>
        <w:tc>
          <w:tcPr>
            <w:tcW w:w="9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(5)</w:t>
            </w:r>
          </w:p>
        </w:tc>
        <w:tc>
          <w:tcPr>
            <w:tcW w:w="140" w:type="dxa"/>
            <w:vAlign w:val="bottom"/>
            <w:tcBorders>
              <w:bottom w:val="single" w:sz="8" w:color="ABD8EA"/>
            </w:tcBorders>
          </w:tcPr>
          <w:p>
            <w:pPr>
              <w:spacing w:after="0"/>
              <w:rPr>
                <w:sz w:val="15"/>
                <w:szCs w:val="15"/>
                <w:color w:val="auto"/>
              </w:rPr>
            </w:pPr>
          </w:p>
        </w:tc>
        <w:tc>
          <w:tcPr>
            <w:tcW w:w="900" w:type="dxa"/>
            <w:vAlign w:val="bottom"/>
            <w:tcBorders>
              <w:bottom w:val="single" w:sz="8" w:color="auto"/>
            </w:tcBorders>
          </w:tcPr>
          <w:p>
            <w:pPr>
              <w:jc w:val="right"/>
              <w:ind w:right="221"/>
              <w:spacing w:after="0" w:line="17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(6)</w:t>
            </w:r>
          </w:p>
        </w:tc>
        <w:tc>
          <w:tcPr>
            <w:tcW w:w="140" w:type="dxa"/>
            <w:vAlign w:val="bottom"/>
            <w:tcBorders>
              <w:bottom w:val="single" w:sz="8" w:color="ABD8EA"/>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BD8EA"/>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ABD8EA"/>
          </w:tcPr>
          <w:p>
            <w:pPr>
              <w:spacing w:after="0" w:line="210" w:lineRule="exact"/>
              <w:rPr>
                <w:sz w:val="20"/>
                <w:szCs w:val="20"/>
                <w:color w:val="auto"/>
              </w:rPr>
            </w:pPr>
            <w:r>
              <w:rPr>
                <w:rFonts w:ascii="Times New Roman" w:cs="Times New Roman" w:eastAsia="Times New Roman" w:hAnsi="Times New Roman"/>
                <w:sz w:val="16"/>
                <w:szCs w:val="16"/>
                <w:color w:val="auto"/>
              </w:rPr>
              <w:t>Robert V. Vitale</w:t>
            </w:r>
            <w:r>
              <w:rPr>
                <w:rFonts w:ascii="Times New Roman" w:cs="Times New Roman" w:eastAsia="Times New Roman" w:hAnsi="Times New Roman"/>
                <w:sz w:val="24"/>
                <w:szCs w:val="24"/>
                <w:color w:val="auto"/>
                <w:vertAlign w:val="superscript"/>
              </w:rPr>
              <w:t>(1)</w:t>
            </w:r>
          </w:p>
        </w:tc>
        <w:tc>
          <w:tcPr>
            <w:tcW w:w="100" w:type="dxa"/>
            <w:vAlign w:val="bottom"/>
            <w:shd w:val="clear" w:color="auto" w:fill="ABD8EA"/>
          </w:tcPr>
          <w:p>
            <w:pPr>
              <w:spacing w:after="0"/>
              <w:rPr>
                <w:sz w:val="18"/>
                <w:szCs w:val="18"/>
                <w:color w:val="auto"/>
              </w:rPr>
            </w:pPr>
          </w:p>
        </w:tc>
        <w:tc>
          <w:tcPr>
            <w:tcW w:w="520" w:type="dxa"/>
            <w:vAlign w:val="bottom"/>
            <w:gridSpan w:val="2"/>
            <w:shd w:val="clear" w:color="auto" w:fill="ABD8EA"/>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700" w:type="dxa"/>
            <w:vAlign w:val="bottom"/>
            <w:gridSpan w:val="2"/>
            <w:shd w:val="clear" w:color="auto" w:fill="ABD8EA"/>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14,935,000</w:t>
            </w:r>
          </w:p>
        </w:tc>
        <w:tc>
          <w:tcPr>
            <w:tcW w:w="140" w:type="dxa"/>
            <w:vAlign w:val="bottom"/>
            <w:shd w:val="clear" w:color="auto" w:fill="ABD8EA"/>
          </w:tcPr>
          <w:p>
            <w:pPr>
              <w:spacing w:after="0"/>
              <w:rPr>
                <w:sz w:val="18"/>
                <w:szCs w:val="18"/>
                <w:color w:val="auto"/>
              </w:rPr>
            </w:pPr>
          </w:p>
        </w:tc>
        <w:tc>
          <w:tcPr>
            <w:tcW w:w="720" w:type="dxa"/>
            <w:vAlign w:val="bottom"/>
            <w:gridSpan w:val="2"/>
            <w:shd w:val="clear" w:color="auto" w:fill="ABD8EA"/>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ABD8EA"/>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ABD8EA"/>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ABD8EA"/>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14,935,000</w:t>
            </w:r>
          </w:p>
        </w:tc>
        <w:tc>
          <w:tcPr>
            <w:tcW w:w="40" w:type="dxa"/>
            <w:vAlign w:val="bottom"/>
            <w:shd w:val="clear" w:color="auto" w:fill="ABD8EA"/>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6"/>
                <w:szCs w:val="16"/>
                <w:i w:val="1"/>
                <w:iCs w:val="1"/>
                <w:color w:val="auto"/>
              </w:rPr>
              <w:t>Executive Chairman</w:t>
            </w:r>
          </w:p>
        </w:tc>
        <w:tc>
          <w:tcPr>
            <w:tcW w:w="100" w:type="dxa"/>
            <w:vAlign w:val="bottom"/>
            <w:shd w:val="clear" w:color="auto" w:fill="ABD8EA"/>
          </w:tcPr>
          <w:p>
            <w:pPr>
              <w:spacing w:after="0"/>
              <w:rPr>
                <w:sz w:val="17"/>
                <w:szCs w:val="17"/>
                <w:color w:val="auto"/>
              </w:rPr>
            </w:pPr>
          </w:p>
        </w:tc>
        <w:tc>
          <w:tcPr>
            <w:tcW w:w="520" w:type="dxa"/>
            <w:vAlign w:val="bottom"/>
            <w:gridSpan w:val="2"/>
            <w:shd w:val="clear" w:color="auto" w:fill="ABD8EA"/>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700" w:type="dxa"/>
            <w:vAlign w:val="bottom"/>
            <w:gridSpan w:val="2"/>
            <w:shd w:val="clear" w:color="auto" w:fill="ABD8EA"/>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ABD8EA"/>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ABD8EA"/>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ABD8EA"/>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ABD8EA"/>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ABD8EA"/>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ABD8EA"/>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3580" w:type="dxa"/>
            <w:vAlign w:val="bottom"/>
            <w:shd w:val="clear" w:color="auto" w:fill="ABD8EA"/>
          </w:tcPr>
          <w:p>
            <w:pPr>
              <w:spacing w:after="0"/>
              <w:rPr>
                <w:sz w:val="19"/>
                <w:szCs w:val="19"/>
                <w:color w:val="auto"/>
              </w:rPr>
            </w:pPr>
          </w:p>
        </w:tc>
        <w:tc>
          <w:tcPr>
            <w:tcW w:w="100" w:type="dxa"/>
            <w:vAlign w:val="bottom"/>
            <w:shd w:val="clear" w:color="auto" w:fill="ABD8EA"/>
          </w:tcPr>
          <w:p>
            <w:pPr>
              <w:spacing w:after="0"/>
              <w:rPr>
                <w:sz w:val="19"/>
                <w:szCs w:val="19"/>
                <w:color w:val="auto"/>
              </w:rPr>
            </w:pPr>
          </w:p>
        </w:tc>
        <w:tc>
          <w:tcPr>
            <w:tcW w:w="520" w:type="dxa"/>
            <w:vAlign w:val="bottom"/>
            <w:gridSpan w:val="2"/>
            <w:shd w:val="clear" w:color="auto" w:fill="ABD8EA"/>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700" w:type="dxa"/>
            <w:vAlign w:val="bottom"/>
            <w:gridSpan w:val="2"/>
            <w:shd w:val="clear" w:color="auto" w:fill="ABD8EA"/>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ABD8EA"/>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ABD8EA"/>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ABD8EA"/>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ABD8EA"/>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ABD8EA"/>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ABD8EA"/>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95"/>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Darcy Horn Davenport</w:t>
            </w: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625,000</w:t>
            </w:r>
          </w:p>
        </w:tc>
        <w:tc>
          <w:tcPr>
            <w:tcW w:w="140" w:type="dxa"/>
            <w:vAlign w:val="bottom"/>
          </w:tcPr>
          <w:p>
            <w:pPr>
              <w:spacing w:after="0"/>
              <w:rPr>
                <w:sz w:val="24"/>
                <w:szCs w:val="24"/>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3,286,834</w:t>
            </w:r>
          </w:p>
        </w:tc>
        <w:tc>
          <w:tcPr>
            <w:tcW w:w="1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165,934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944,125</w:t>
            </w:r>
          </w:p>
        </w:tc>
        <w:tc>
          <w:tcPr>
            <w:tcW w:w="140" w:type="dxa"/>
            <w:vAlign w:val="bottom"/>
          </w:tcPr>
          <w:p>
            <w:pPr>
              <w:spacing w:after="0"/>
              <w:rPr>
                <w:sz w:val="24"/>
                <w:szCs w:val="24"/>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24,120</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625,000</w:t>
            </w:r>
          </w:p>
        </w:tc>
        <w:tc>
          <w:tcPr>
            <w:tcW w:w="14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797,489</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834,474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1,171,875</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107,340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3,565,067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2020</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625,000</w:t>
            </w:r>
          </w:p>
        </w:tc>
        <w:tc>
          <w:tcPr>
            <w:tcW w:w="1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1,026,539</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760,032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497,656</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42,876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580" w:type="dxa"/>
            <w:vAlign w:val="bottom"/>
            <w:shd w:val="clear" w:color="auto" w:fill="ABD8EA"/>
          </w:tcPr>
          <w:p>
            <w:pPr>
              <w:spacing w:after="0"/>
              <w:rPr>
                <w:sz w:val="20"/>
                <w:szCs w:val="20"/>
                <w:color w:val="auto"/>
              </w:rPr>
            </w:pPr>
            <w:r>
              <w:rPr>
                <w:rFonts w:ascii="Times New Roman" w:cs="Times New Roman" w:eastAsia="Times New Roman" w:hAnsi="Times New Roman"/>
                <w:sz w:val="16"/>
                <w:szCs w:val="16"/>
                <w:color w:val="auto"/>
              </w:rPr>
              <w:t>Paul A. Rode</w:t>
            </w:r>
          </w:p>
        </w:tc>
        <w:tc>
          <w:tcPr>
            <w:tcW w:w="100" w:type="dxa"/>
            <w:vAlign w:val="bottom"/>
            <w:shd w:val="clear" w:color="auto" w:fill="ABD8EA"/>
          </w:tcPr>
          <w:p>
            <w:pPr>
              <w:spacing w:after="0"/>
              <w:rPr>
                <w:sz w:val="24"/>
                <w:szCs w:val="24"/>
                <w:color w:val="auto"/>
              </w:rPr>
            </w:pPr>
          </w:p>
        </w:tc>
        <w:tc>
          <w:tcPr>
            <w:tcW w:w="520" w:type="dxa"/>
            <w:vAlign w:val="bottom"/>
            <w:gridSpan w:val="2"/>
            <w:shd w:val="clear" w:color="auto" w:fill="ABD8EA"/>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6"/>
                <w:szCs w:val="16"/>
                <w:color w:val="auto"/>
                <w:w w:val="99"/>
              </w:rPr>
              <w:t>420,000</w:t>
            </w:r>
          </w:p>
        </w:tc>
        <w:tc>
          <w:tcPr>
            <w:tcW w:w="140" w:type="dxa"/>
            <w:vAlign w:val="bottom"/>
            <w:shd w:val="clear" w:color="auto" w:fill="ABD8EA"/>
          </w:tcPr>
          <w:p>
            <w:pPr>
              <w:spacing w:after="0"/>
              <w:rPr>
                <w:sz w:val="24"/>
                <w:szCs w:val="24"/>
                <w:color w:val="auto"/>
              </w:rPr>
            </w:pPr>
          </w:p>
        </w:tc>
        <w:tc>
          <w:tcPr>
            <w:tcW w:w="54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764,319</w:t>
            </w:r>
          </w:p>
        </w:tc>
        <w:tc>
          <w:tcPr>
            <w:tcW w:w="140" w:type="dxa"/>
            <w:vAlign w:val="bottom"/>
            <w:shd w:val="clear" w:color="auto" w:fill="ABD8EA"/>
          </w:tcPr>
          <w:p>
            <w:pPr>
              <w:spacing w:after="0"/>
              <w:rPr>
                <w:sz w:val="24"/>
                <w:szCs w:val="24"/>
                <w:color w:val="auto"/>
              </w:rPr>
            </w:pPr>
          </w:p>
        </w:tc>
        <w:tc>
          <w:tcPr>
            <w:tcW w:w="720" w:type="dxa"/>
            <w:vAlign w:val="bottom"/>
            <w:gridSpan w:val="2"/>
            <w:shd w:val="clear" w:color="auto" w:fill="ABD8EA"/>
          </w:tcPr>
          <w:p>
            <w:pPr>
              <w:jc w:val="right"/>
              <w:ind w:right="140"/>
              <w:spacing w:after="0"/>
              <w:rPr>
                <w:sz w:val="20"/>
                <w:szCs w:val="20"/>
                <w:color w:val="auto"/>
              </w:rPr>
            </w:pPr>
            <w:r>
              <w:rPr>
                <w:rFonts w:ascii="Times New Roman" w:cs="Times New Roman" w:eastAsia="Times New Roman" w:hAnsi="Times New Roman"/>
                <w:sz w:val="16"/>
                <w:szCs w:val="16"/>
                <w:color w:val="auto"/>
              </w:rPr>
              <w:t>31,264</w:t>
            </w:r>
          </w:p>
        </w:tc>
        <w:tc>
          <w:tcPr>
            <w:tcW w:w="90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317,226</w:t>
            </w:r>
          </w:p>
        </w:tc>
        <w:tc>
          <w:tcPr>
            <w:tcW w:w="140" w:type="dxa"/>
            <w:vAlign w:val="bottom"/>
            <w:shd w:val="clear" w:color="auto" w:fill="ABD8EA"/>
          </w:tcPr>
          <w:p>
            <w:pPr>
              <w:spacing w:after="0"/>
              <w:rPr>
                <w:sz w:val="24"/>
                <w:szCs w:val="24"/>
                <w:color w:val="auto"/>
              </w:rPr>
            </w:pPr>
          </w:p>
        </w:tc>
        <w:tc>
          <w:tcPr>
            <w:tcW w:w="1040" w:type="dxa"/>
            <w:vAlign w:val="bottom"/>
            <w:gridSpan w:val="2"/>
            <w:shd w:val="clear" w:color="auto" w:fill="ABD8EA"/>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19,316</w:t>
            </w:r>
          </w:p>
        </w:tc>
        <w:tc>
          <w:tcPr>
            <w:tcW w:w="140" w:type="dxa"/>
            <w:vAlign w:val="bottom"/>
            <w:shd w:val="clear" w:color="auto" w:fill="ABD8EA"/>
          </w:tcPr>
          <w:p>
            <w:pPr>
              <w:spacing w:after="0"/>
              <w:rPr>
                <w:sz w:val="24"/>
                <w:szCs w:val="24"/>
                <w:color w:val="auto"/>
              </w:rPr>
            </w:pPr>
          </w:p>
        </w:tc>
        <w:tc>
          <w:tcPr>
            <w:tcW w:w="78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1,552,125</w:t>
            </w:r>
          </w:p>
        </w:tc>
        <w:tc>
          <w:tcPr>
            <w:tcW w:w="40" w:type="dxa"/>
            <w:vAlign w:val="bottom"/>
            <w:shd w:val="clear" w:color="auto" w:fill="ABD8EA"/>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00" w:type="dxa"/>
            <w:vAlign w:val="bottom"/>
            <w:shd w:val="clear" w:color="auto" w:fill="ABD8EA"/>
          </w:tcPr>
          <w:p>
            <w:pPr>
              <w:spacing w:after="0"/>
              <w:rPr>
                <w:sz w:val="18"/>
                <w:szCs w:val="18"/>
                <w:color w:val="auto"/>
              </w:rPr>
            </w:pPr>
          </w:p>
        </w:tc>
        <w:tc>
          <w:tcPr>
            <w:tcW w:w="520" w:type="dxa"/>
            <w:vAlign w:val="bottom"/>
            <w:gridSpan w:val="2"/>
            <w:shd w:val="clear" w:color="auto" w:fill="ABD8EA"/>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140" w:type="dxa"/>
            <w:vAlign w:val="bottom"/>
            <w:shd w:val="clear" w:color="auto" w:fill="ABD8EA"/>
          </w:tcPr>
          <w:p>
            <w:pPr>
              <w:spacing w:after="0"/>
              <w:rPr>
                <w:sz w:val="18"/>
                <w:szCs w:val="18"/>
                <w:color w:val="auto"/>
              </w:rPr>
            </w:pPr>
          </w:p>
        </w:tc>
        <w:tc>
          <w:tcPr>
            <w:tcW w:w="54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257,482</w:t>
            </w:r>
          </w:p>
        </w:tc>
        <w:tc>
          <w:tcPr>
            <w:tcW w:w="140" w:type="dxa"/>
            <w:vAlign w:val="bottom"/>
            <w:shd w:val="clear" w:color="auto" w:fill="ABD8EA"/>
          </w:tcPr>
          <w:p>
            <w:pPr>
              <w:spacing w:after="0"/>
              <w:rPr>
                <w:sz w:val="18"/>
                <w:szCs w:val="18"/>
                <w:color w:val="auto"/>
              </w:rPr>
            </w:pPr>
          </w:p>
        </w:tc>
        <w:tc>
          <w:tcPr>
            <w:tcW w:w="720" w:type="dxa"/>
            <w:vAlign w:val="bottom"/>
            <w:gridSpan w:val="2"/>
            <w:shd w:val="clear" w:color="auto" w:fill="ABD8EA"/>
          </w:tcPr>
          <w:p>
            <w:pPr>
              <w:jc w:val="right"/>
              <w:ind w:right="140"/>
              <w:spacing w:after="0"/>
              <w:rPr>
                <w:sz w:val="20"/>
                <w:szCs w:val="20"/>
                <w:color w:val="auto"/>
              </w:rPr>
            </w:pPr>
            <w:r>
              <w:rPr>
                <w:rFonts w:ascii="Times New Roman" w:cs="Times New Roman" w:eastAsia="Times New Roman" w:hAnsi="Times New Roman"/>
                <w:sz w:val="16"/>
                <w:szCs w:val="16"/>
                <w:color w:val="auto"/>
              </w:rPr>
              <w:t>269,439</w:t>
            </w:r>
          </w:p>
        </w:tc>
        <w:tc>
          <w:tcPr>
            <w:tcW w:w="90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372,000</w:t>
            </w:r>
          </w:p>
        </w:tc>
        <w:tc>
          <w:tcPr>
            <w:tcW w:w="140" w:type="dxa"/>
            <w:vAlign w:val="bottom"/>
            <w:shd w:val="clear" w:color="auto" w:fill="ABD8EA"/>
          </w:tcPr>
          <w:p>
            <w:pPr>
              <w:spacing w:after="0"/>
              <w:rPr>
                <w:sz w:val="18"/>
                <w:szCs w:val="18"/>
                <w:color w:val="auto"/>
              </w:rPr>
            </w:pPr>
          </w:p>
        </w:tc>
        <w:tc>
          <w:tcPr>
            <w:tcW w:w="1040" w:type="dxa"/>
            <w:vAlign w:val="bottom"/>
            <w:gridSpan w:val="2"/>
            <w:shd w:val="clear" w:color="auto" w:fill="ABD8EA"/>
          </w:tcPr>
          <w:p>
            <w:pPr>
              <w:jc w:val="right"/>
              <w:ind w:right="140"/>
              <w:spacing w:after="0"/>
              <w:rPr>
                <w:sz w:val="20"/>
                <w:szCs w:val="20"/>
                <w:color w:val="auto"/>
              </w:rPr>
            </w:pPr>
            <w:r>
              <w:rPr>
                <w:rFonts w:ascii="Times New Roman" w:cs="Times New Roman" w:eastAsia="Times New Roman" w:hAnsi="Times New Roman"/>
                <w:sz w:val="16"/>
                <w:szCs w:val="16"/>
                <w:color w:val="auto"/>
              </w:rPr>
              <w:t>29,474</w:t>
            </w:r>
          </w:p>
        </w:tc>
        <w:tc>
          <w:tcPr>
            <w:tcW w:w="90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18,316</w:t>
            </w:r>
          </w:p>
        </w:tc>
        <w:tc>
          <w:tcPr>
            <w:tcW w:w="140" w:type="dxa"/>
            <w:vAlign w:val="bottom"/>
            <w:shd w:val="clear" w:color="auto" w:fill="ABD8EA"/>
          </w:tcPr>
          <w:p>
            <w:pPr>
              <w:spacing w:after="0"/>
              <w:rPr>
                <w:sz w:val="18"/>
                <w:szCs w:val="18"/>
                <w:color w:val="auto"/>
              </w:rPr>
            </w:pPr>
          </w:p>
        </w:tc>
        <w:tc>
          <w:tcPr>
            <w:tcW w:w="820" w:type="dxa"/>
            <w:vAlign w:val="bottom"/>
            <w:gridSpan w:val="2"/>
            <w:shd w:val="clear" w:color="auto" w:fill="ABD8EA"/>
          </w:tcPr>
          <w:p>
            <w:pPr>
              <w:jc w:val="right"/>
              <w:ind w:right="40"/>
              <w:spacing w:after="0"/>
              <w:rPr>
                <w:sz w:val="20"/>
                <w:szCs w:val="20"/>
                <w:color w:val="auto"/>
              </w:rPr>
            </w:pPr>
            <w:r>
              <w:rPr>
                <w:rFonts w:ascii="Times New Roman" w:cs="Times New Roman" w:eastAsia="Times New Roman" w:hAnsi="Times New Roman"/>
                <w:sz w:val="16"/>
                <w:szCs w:val="16"/>
                <w:color w:val="auto"/>
              </w:rPr>
              <w:t>1,346,711</w:t>
            </w:r>
          </w:p>
        </w:tc>
        <w:tc>
          <w:tcPr>
            <w:tcW w:w="0" w:type="dxa"/>
            <w:vAlign w:val="bottom"/>
          </w:tcPr>
          <w:p>
            <w:pPr>
              <w:spacing w:after="0"/>
              <w:rPr>
                <w:sz w:val="1"/>
                <w:szCs w:val="1"/>
                <w:color w:val="auto"/>
              </w:rPr>
            </w:pPr>
          </w:p>
        </w:tc>
      </w:tr>
      <w:tr>
        <w:trPr>
          <w:trHeight w:val="230"/>
        </w:trPr>
        <w:tc>
          <w:tcPr>
            <w:tcW w:w="3580" w:type="dxa"/>
            <w:vAlign w:val="bottom"/>
            <w:shd w:val="clear" w:color="auto" w:fill="ABD8EA"/>
          </w:tcPr>
          <w:p>
            <w:pPr>
              <w:spacing w:after="0"/>
              <w:rPr>
                <w:sz w:val="19"/>
                <w:szCs w:val="19"/>
                <w:color w:val="auto"/>
              </w:rPr>
            </w:pPr>
          </w:p>
        </w:tc>
        <w:tc>
          <w:tcPr>
            <w:tcW w:w="100" w:type="dxa"/>
            <w:vAlign w:val="bottom"/>
            <w:shd w:val="clear" w:color="auto" w:fill="ABD8EA"/>
          </w:tcPr>
          <w:p>
            <w:pPr>
              <w:spacing w:after="0"/>
              <w:rPr>
                <w:sz w:val="19"/>
                <w:szCs w:val="19"/>
                <w:color w:val="auto"/>
              </w:rPr>
            </w:pPr>
          </w:p>
        </w:tc>
        <w:tc>
          <w:tcPr>
            <w:tcW w:w="520" w:type="dxa"/>
            <w:vAlign w:val="bottom"/>
            <w:gridSpan w:val="2"/>
            <w:shd w:val="clear" w:color="auto" w:fill="ABD8EA"/>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56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140" w:type="dxa"/>
            <w:vAlign w:val="bottom"/>
            <w:shd w:val="clear" w:color="auto" w:fill="ABD8EA"/>
          </w:tcPr>
          <w:p>
            <w:pPr>
              <w:spacing w:after="0"/>
              <w:rPr>
                <w:sz w:val="19"/>
                <w:szCs w:val="19"/>
                <w:color w:val="auto"/>
              </w:rPr>
            </w:pPr>
          </w:p>
        </w:tc>
        <w:tc>
          <w:tcPr>
            <w:tcW w:w="54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622,902</w:t>
            </w:r>
          </w:p>
        </w:tc>
        <w:tc>
          <w:tcPr>
            <w:tcW w:w="140" w:type="dxa"/>
            <w:vAlign w:val="bottom"/>
            <w:shd w:val="clear" w:color="auto" w:fill="ABD8EA"/>
          </w:tcPr>
          <w:p>
            <w:pPr>
              <w:spacing w:after="0"/>
              <w:rPr>
                <w:sz w:val="19"/>
                <w:szCs w:val="19"/>
                <w:color w:val="auto"/>
              </w:rPr>
            </w:pPr>
          </w:p>
        </w:tc>
        <w:tc>
          <w:tcPr>
            <w:tcW w:w="720" w:type="dxa"/>
            <w:vAlign w:val="bottom"/>
            <w:gridSpan w:val="2"/>
            <w:shd w:val="clear" w:color="auto" w:fill="ABD8EA"/>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152,880</w:t>
            </w:r>
          </w:p>
        </w:tc>
        <w:tc>
          <w:tcPr>
            <w:tcW w:w="140" w:type="dxa"/>
            <w:vAlign w:val="bottom"/>
            <w:shd w:val="clear" w:color="auto" w:fill="ABD8EA"/>
          </w:tcPr>
          <w:p>
            <w:pPr>
              <w:spacing w:after="0"/>
              <w:rPr>
                <w:sz w:val="19"/>
                <w:szCs w:val="19"/>
                <w:color w:val="auto"/>
              </w:rPr>
            </w:pPr>
          </w:p>
        </w:tc>
        <w:tc>
          <w:tcPr>
            <w:tcW w:w="1040" w:type="dxa"/>
            <w:vAlign w:val="bottom"/>
            <w:gridSpan w:val="2"/>
            <w:shd w:val="clear" w:color="auto" w:fill="ABD8EA"/>
          </w:tcPr>
          <w:p>
            <w:pPr>
              <w:jc w:val="right"/>
              <w:ind w:right="140"/>
              <w:spacing w:after="0"/>
              <w:rPr>
                <w:sz w:val="20"/>
                <w:szCs w:val="20"/>
                <w:color w:val="auto"/>
              </w:rPr>
            </w:pPr>
            <w:r>
              <w:rPr>
                <w:rFonts w:ascii="Times New Roman" w:cs="Times New Roman" w:eastAsia="Times New Roman" w:hAnsi="Times New Roman"/>
                <w:sz w:val="16"/>
                <w:szCs w:val="16"/>
                <w:color w:val="auto"/>
              </w:rPr>
              <w:t>12,591</w:t>
            </w:r>
          </w:p>
        </w:tc>
        <w:tc>
          <w:tcPr>
            <w:tcW w:w="90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18,035</w:t>
            </w:r>
          </w:p>
        </w:tc>
        <w:tc>
          <w:tcPr>
            <w:tcW w:w="140" w:type="dxa"/>
            <w:vAlign w:val="bottom"/>
            <w:shd w:val="clear" w:color="auto" w:fill="ABD8EA"/>
          </w:tcPr>
          <w:p>
            <w:pPr>
              <w:spacing w:after="0"/>
              <w:rPr>
                <w:sz w:val="19"/>
                <w:szCs w:val="19"/>
                <w:color w:val="auto"/>
              </w:rPr>
            </w:pPr>
          </w:p>
        </w:tc>
        <w:tc>
          <w:tcPr>
            <w:tcW w:w="78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1,206,408</w:t>
            </w:r>
          </w:p>
        </w:tc>
        <w:tc>
          <w:tcPr>
            <w:tcW w:w="40" w:type="dxa"/>
            <w:vAlign w:val="bottom"/>
            <w:shd w:val="clear" w:color="auto" w:fill="ABD8EA"/>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Douglas J. Cornille</w:t>
            </w: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380,000</w:t>
            </w:r>
          </w:p>
        </w:tc>
        <w:tc>
          <w:tcPr>
            <w:tcW w:w="140" w:type="dxa"/>
            <w:vAlign w:val="bottom"/>
          </w:tcPr>
          <w:p>
            <w:pPr>
              <w:spacing w:after="0"/>
              <w:rPr>
                <w:sz w:val="24"/>
                <w:szCs w:val="24"/>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713,095</w:t>
            </w:r>
          </w:p>
        </w:tc>
        <w:tc>
          <w:tcPr>
            <w:tcW w:w="14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287,508</w:t>
            </w:r>
          </w:p>
        </w:tc>
        <w:tc>
          <w:tcPr>
            <w:tcW w:w="140" w:type="dxa"/>
            <w:vAlign w:val="bottom"/>
          </w:tcPr>
          <w:p>
            <w:pPr>
              <w:spacing w:after="0"/>
              <w:rPr>
                <w:sz w:val="24"/>
                <w:szCs w:val="24"/>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20,305</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SVP, Marketing - Premier Nutrition</w:t>
            </w: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330,750</w:t>
            </w:r>
          </w:p>
        </w:tc>
        <w:tc>
          <w:tcPr>
            <w:tcW w:w="14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414,995</w:t>
            </w:r>
          </w:p>
        </w:tc>
        <w:tc>
          <w:tcPr>
            <w:tcW w:w="14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257,985</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27,839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18,598</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2020</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330,750</w:t>
            </w:r>
          </w:p>
        </w:tc>
        <w:tc>
          <w:tcPr>
            <w:tcW w:w="1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498,314</w:t>
            </w: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143,380</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4,156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580" w:type="dxa"/>
            <w:vAlign w:val="bottom"/>
            <w:shd w:val="clear" w:color="auto" w:fill="ABD8EA"/>
          </w:tcPr>
          <w:p>
            <w:pPr>
              <w:spacing w:after="0"/>
              <w:rPr>
                <w:sz w:val="20"/>
                <w:szCs w:val="20"/>
                <w:color w:val="auto"/>
              </w:rPr>
            </w:pPr>
            <w:r>
              <w:rPr>
                <w:rFonts w:ascii="Times New Roman" w:cs="Times New Roman" w:eastAsia="Times New Roman" w:hAnsi="Times New Roman"/>
                <w:sz w:val="16"/>
                <w:szCs w:val="16"/>
                <w:color w:val="auto"/>
              </w:rPr>
              <w:t>Craig L. Rosenthal</w:t>
            </w:r>
          </w:p>
        </w:tc>
        <w:tc>
          <w:tcPr>
            <w:tcW w:w="100" w:type="dxa"/>
            <w:vAlign w:val="bottom"/>
            <w:shd w:val="clear" w:color="auto" w:fill="ABD8EA"/>
          </w:tcPr>
          <w:p>
            <w:pPr>
              <w:spacing w:after="0"/>
              <w:rPr>
                <w:sz w:val="24"/>
                <w:szCs w:val="24"/>
                <w:color w:val="auto"/>
              </w:rPr>
            </w:pPr>
          </w:p>
        </w:tc>
        <w:tc>
          <w:tcPr>
            <w:tcW w:w="520" w:type="dxa"/>
            <w:vAlign w:val="bottom"/>
            <w:gridSpan w:val="2"/>
            <w:shd w:val="clear" w:color="auto" w:fill="ABD8EA"/>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6"/>
                <w:szCs w:val="16"/>
                <w:color w:val="auto"/>
                <w:w w:val="99"/>
              </w:rPr>
              <w:t>345,000</w:t>
            </w:r>
          </w:p>
        </w:tc>
        <w:tc>
          <w:tcPr>
            <w:tcW w:w="140" w:type="dxa"/>
            <w:vAlign w:val="bottom"/>
            <w:shd w:val="clear" w:color="auto" w:fill="ABD8EA"/>
          </w:tcPr>
          <w:p>
            <w:pPr>
              <w:spacing w:after="0"/>
              <w:rPr>
                <w:sz w:val="24"/>
                <w:szCs w:val="24"/>
                <w:color w:val="auto"/>
              </w:rPr>
            </w:pPr>
          </w:p>
        </w:tc>
        <w:tc>
          <w:tcPr>
            <w:tcW w:w="54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580,754</w:t>
            </w:r>
          </w:p>
        </w:tc>
        <w:tc>
          <w:tcPr>
            <w:tcW w:w="140" w:type="dxa"/>
            <w:vAlign w:val="bottom"/>
            <w:shd w:val="clear" w:color="auto" w:fill="ABD8EA"/>
          </w:tcPr>
          <w:p>
            <w:pPr>
              <w:spacing w:after="0"/>
              <w:rPr>
                <w:sz w:val="24"/>
                <w:szCs w:val="24"/>
                <w:color w:val="auto"/>
              </w:rPr>
            </w:pPr>
          </w:p>
        </w:tc>
        <w:tc>
          <w:tcPr>
            <w:tcW w:w="720" w:type="dxa"/>
            <w:vAlign w:val="bottom"/>
            <w:gridSpan w:val="2"/>
            <w:shd w:val="clear" w:color="auto" w:fill="ABD8EA"/>
          </w:tcPr>
          <w:p>
            <w:pPr>
              <w:jc w:val="right"/>
              <w:ind w:right="140"/>
              <w:spacing w:after="0"/>
              <w:rPr>
                <w:sz w:val="20"/>
                <w:szCs w:val="20"/>
                <w:color w:val="auto"/>
              </w:rPr>
            </w:pPr>
            <w:r>
              <w:rPr>
                <w:rFonts w:ascii="Times New Roman" w:cs="Times New Roman" w:eastAsia="Times New Roman" w:hAnsi="Times New Roman"/>
                <w:sz w:val="16"/>
                <w:szCs w:val="16"/>
                <w:color w:val="auto"/>
              </w:rPr>
              <w:t>12,743</w:t>
            </w:r>
          </w:p>
        </w:tc>
        <w:tc>
          <w:tcPr>
            <w:tcW w:w="90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220,490</w:t>
            </w:r>
          </w:p>
        </w:tc>
        <w:tc>
          <w:tcPr>
            <w:tcW w:w="140" w:type="dxa"/>
            <w:vAlign w:val="bottom"/>
            <w:shd w:val="clear" w:color="auto" w:fill="ABD8EA"/>
          </w:tcPr>
          <w:p>
            <w:pPr>
              <w:spacing w:after="0"/>
              <w:rPr>
                <w:sz w:val="24"/>
                <w:szCs w:val="24"/>
                <w:color w:val="auto"/>
              </w:rPr>
            </w:pPr>
          </w:p>
        </w:tc>
        <w:tc>
          <w:tcPr>
            <w:tcW w:w="1040" w:type="dxa"/>
            <w:vAlign w:val="bottom"/>
            <w:gridSpan w:val="2"/>
            <w:shd w:val="clear" w:color="auto" w:fill="ABD8EA"/>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20,657</w:t>
            </w:r>
          </w:p>
        </w:tc>
        <w:tc>
          <w:tcPr>
            <w:tcW w:w="140" w:type="dxa"/>
            <w:vAlign w:val="bottom"/>
            <w:shd w:val="clear" w:color="auto" w:fill="ABD8EA"/>
          </w:tcPr>
          <w:p>
            <w:pPr>
              <w:spacing w:after="0"/>
              <w:rPr>
                <w:sz w:val="24"/>
                <w:szCs w:val="24"/>
                <w:color w:val="auto"/>
              </w:rPr>
            </w:pPr>
          </w:p>
        </w:tc>
        <w:tc>
          <w:tcPr>
            <w:tcW w:w="78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1,179,644</w:t>
            </w:r>
          </w:p>
        </w:tc>
        <w:tc>
          <w:tcPr>
            <w:tcW w:w="40" w:type="dxa"/>
            <w:vAlign w:val="bottom"/>
            <w:shd w:val="clear" w:color="auto" w:fill="ABD8EA"/>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580" w:type="dxa"/>
            <w:vAlign w:val="bottom"/>
            <w:tcBorders>
              <w:bottom w:val="single" w:sz="8" w:color="ABD8EA"/>
            </w:tcBorders>
            <w:shd w:val="clear" w:color="auto" w:fill="ABD8EA"/>
          </w:tcPr>
          <w:p>
            <w:pPr>
              <w:ind w:left="160"/>
              <w:spacing w:after="0"/>
              <w:rPr>
                <w:sz w:val="20"/>
                <w:szCs w:val="20"/>
                <w:color w:val="auto"/>
              </w:rPr>
            </w:pPr>
            <w:r>
              <w:rPr>
                <w:rFonts w:ascii="Times New Roman" w:cs="Times New Roman" w:eastAsia="Times New Roman" w:hAnsi="Times New Roman"/>
                <w:sz w:val="16"/>
                <w:szCs w:val="16"/>
                <w:i w:val="1"/>
                <w:iCs w:val="1"/>
                <w:color w:val="auto"/>
              </w:rPr>
              <w:t>SVP and General Counsel</w:t>
            </w:r>
          </w:p>
        </w:tc>
        <w:tc>
          <w:tcPr>
            <w:tcW w:w="100" w:type="dxa"/>
            <w:vAlign w:val="bottom"/>
            <w:tcBorders>
              <w:bottom w:val="single" w:sz="8" w:color="ABD8EA"/>
            </w:tcBorders>
            <w:shd w:val="clear" w:color="auto" w:fill="ABD8EA"/>
          </w:tcPr>
          <w:p>
            <w:pPr>
              <w:spacing w:after="0"/>
              <w:rPr>
                <w:sz w:val="18"/>
                <w:szCs w:val="18"/>
                <w:color w:val="auto"/>
              </w:rPr>
            </w:pPr>
          </w:p>
        </w:tc>
        <w:tc>
          <w:tcPr>
            <w:tcW w:w="520" w:type="dxa"/>
            <w:vAlign w:val="bottom"/>
            <w:tcBorders>
              <w:bottom w:val="single" w:sz="8" w:color="ABD8EA"/>
            </w:tcBorders>
            <w:gridSpan w:val="2"/>
            <w:shd w:val="clear" w:color="auto" w:fill="ABD8EA"/>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Borders>
              <w:bottom w:val="single" w:sz="8" w:color="ABD8EA"/>
            </w:tcBorders>
            <w:shd w:val="clear" w:color="auto" w:fill="ABD8EA"/>
          </w:tcPr>
          <w:p>
            <w:pPr>
              <w:jc w:val="center"/>
              <w:spacing w:after="0"/>
              <w:rPr>
                <w:sz w:val="20"/>
                <w:szCs w:val="20"/>
                <w:color w:val="auto"/>
              </w:rPr>
            </w:pPr>
            <w:r>
              <w:rPr>
                <w:rFonts w:ascii="Times New Roman" w:cs="Times New Roman" w:eastAsia="Times New Roman" w:hAnsi="Times New Roman"/>
                <w:sz w:val="16"/>
                <w:szCs w:val="16"/>
                <w:color w:val="auto"/>
                <w:w w:val="99"/>
              </w:rPr>
              <w:t>300,000</w:t>
            </w:r>
          </w:p>
        </w:tc>
        <w:tc>
          <w:tcPr>
            <w:tcW w:w="140" w:type="dxa"/>
            <w:vAlign w:val="bottom"/>
            <w:tcBorders>
              <w:bottom w:val="single" w:sz="8" w:color="ABD8EA"/>
            </w:tcBorders>
            <w:shd w:val="clear" w:color="auto" w:fill="ABD8EA"/>
          </w:tcPr>
          <w:p>
            <w:pPr>
              <w:spacing w:after="0"/>
              <w:rPr>
                <w:sz w:val="18"/>
                <w:szCs w:val="18"/>
                <w:color w:val="auto"/>
              </w:rPr>
            </w:pPr>
          </w:p>
        </w:tc>
        <w:tc>
          <w:tcPr>
            <w:tcW w:w="540" w:type="dxa"/>
            <w:vAlign w:val="bottom"/>
            <w:tcBorders>
              <w:bottom w:val="single" w:sz="8" w:color="ABD8EA"/>
            </w:tcBorders>
            <w:gridSpan w:val="2"/>
            <w:shd w:val="clear" w:color="auto" w:fill="ABD8EA"/>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157,493</w:t>
            </w:r>
          </w:p>
        </w:tc>
        <w:tc>
          <w:tcPr>
            <w:tcW w:w="140" w:type="dxa"/>
            <w:vAlign w:val="bottom"/>
            <w:tcBorders>
              <w:bottom w:val="single" w:sz="8" w:color="ABD8EA"/>
            </w:tcBorders>
            <w:shd w:val="clear" w:color="auto" w:fill="ABD8EA"/>
          </w:tcPr>
          <w:p>
            <w:pPr>
              <w:spacing w:after="0"/>
              <w:rPr>
                <w:sz w:val="18"/>
                <w:szCs w:val="18"/>
                <w:color w:val="auto"/>
              </w:rPr>
            </w:pPr>
          </w:p>
        </w:tc>
        <w:tc>
          <w:tcPr>
            <w:tcW w:w="720" w:type="dxa"/>
            <w:vAlign w:val="bottom"/>
            <w:tcBorders>
              <w:bottom w:val="single" w:sz="8" w:color="ABD8EA"/>
            </w:tcBorders>
            <w:gridSpan w:val="2"/>
            <w:shd w:val="clear" w:color="auto" w:fill="ABD8EA"/>
          </w:tcPr>
          <w:p>
            <w:pPr>
              <w:jc w:val="right"/>
              <w:ind w:right="140"/>
              <w:spacing w:after="0"/>
              <w:rPr>
                <w:sz w:val="20"/>
                <w:szCs w:val="20"/>
                <w:color w:val="auto"/>
              </w:rPr>
            </w:pPr>
            <w:r>
              <w:rPr>
                <w:rFonts w:ascii="Times New Roman" w:cs="Times New Roman" w:eastAsia="Times New Roman" w:hAnsi="Times New Roman"/>
                <w:sz w:val="16"/>
                <w:szCs w:val="16"/>
                <w:color w:val="auto"/>
              </w:rPr>
              <w:t>164,801</w:t>
            </w:r>
          </w:p>
        </w:tc>
        <w:tc>
          <w:tcPr>
            <w:tcW w:w="90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234,000</w:t>
            </w:r>
          </w:p>
        </w:tc>
        <w:tc>
          <w:tcPr>
            <w:tcW w:w="140" w:type="dxa"/>
            <w:vAlign w:val="bottom"/>
            <w:tcBorders>
              <w:bottom w:val="single" w:sz="8" w:color="ABD8EA"/>
            </w:tcBorders>
            <w:shd w:val="clear" w:color="auto" w:fill="ABD8EA"/>
          </w:tcPr>
          <w:p>
            <w:pPr>
              <w:spacing w:after="0"/>
              <w:rPr>
                <w:sz w:val="18"/>
                <w:szCs w:val="18"/>
                <w:color w:val="auto"/>
              </w:rPr>
            </w:pPr>
          </w:p>
        </w:tc>
        <w:tc>
          <w:tcPr>
            <w:tcW w:w="1040" w:type="dxa"/>
            <w:vAlign w:val="bottom"/>
            <w:tcBorders>
              <w:bottom w:val="single" w:sz="8" w:color="ABD8EA"/>
            </w:tcBorders>
            <w:gridSpan w:val="2"/>
            <w:shd w:val="clear" w:color="auto" w:fill="ABD8EA"/>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18,448</w:t>
            </w:r>
          </w:p>
        </w:tc>
        <w:tc>
          <w:tcPr>
            <w:tcW w:w="140" w:type="dxa"/>
            <w:vAlign w:val="bottom"/>
            <w:tcBorders>
              <w:bottom w:val="single" w:sz="8" w:color="ABD8EA"/>
            </w:tcBorders>
            <w:shd w:val="clear" w:color="auto" w:fill="ABD8EA"/>
          </w:tcPr>
          <w:p>
            <w:pPr>
              <w:spacing w:after="0"/>
              <w:rPr>
                <w:sz w:val="18"/>
                <w:szCs w:val="18"/>
                <w:color w:val="auto"/>
              </w:rPr>
            </w:pPr>
          </w:p>
        </w:tc>
        <w:tc>
          <w:tcPr>
            <w:tcW w:w="780" w:type="dxa"/>
            <w:vAlign w:val="bottom"/>
            <w:tcBorders>
              <w:bottom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6"/>
                <w:szCs w:val="16"/>
                <w:color w:val="auto"/>
              </w:rPr>
              <w:t>874,742</w:t>
            </w:r>
          </w:p>
        </w:tc>
        <w:tc>
          <w:tcPr>
            <w:tcW w:w="40" w:type="dxa"/>
            <w:vAlign w:val="bottom"/>
            <w:tcBorders>
              <w:bottom w:val="single" w:sz="8" w:color="ABD8EA"/>
            </w:tcBorders>
            <w:shd w:val="clear" w:color="auto" w:fill="ABD8EA"/>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Robin Singh</w:t>
            </w: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345,000</w:t>
            </w:r>
          </w:p>
        </w:tc>
        <w:tc>
          <w:tcPr>
            <w:tcW w:w="140" w:type="dxa"/>
            <w:vAlign w:val="bottom"/>
          </w:tcPr>
          <w:p>
            <w:pPr>
              <w:spacing w:after="0"/>
              <w:rPr>
                <w:sz w:val="24"/>
                <w:szCs w:val="24"/>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228,924</w:t>
            </w:r>
          </w:p>
        </w:tc>
        <w:tc>
          <w:tcPr>
            <w:tcW w:w="14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220,869</w:t>
            </w:r>
          </w:p>
        </w:tc>
        <w:tc>
          <w:tcPr>
            <w:tcW w:w="140" w:type="dxa"/>
            <w:vAlign w:val="bottom"/>
          </w:tcPr>
          <w:p>
            <w:pPr>
              <w:spacing w:after="0"/>
              <w:rPr>
                <w:sz w:val="24"/>
                <w:szCs w:val="24"/>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813,127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SVP, Operations - Premier Nutrition</w:t>
            </w: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330,235</w:t>
            </w:r>
          </w:p>
        </w:tc>
        <w:tc>
          <w:tcPr>
            <w:tcW w:w="1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204,991</w:t>
            </w: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257,583</w:t>
            </w:r>
          </w:p>
        </w:tc>
        <w:tc>
          <w:tcPr>
            <w:tcW w:w="14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18,536</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811,345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98425</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0" w:lineRule="exact"/>
        <w:rPr>
          <w:sz w:val="20"/>
          <w:szCs w:val="20"/>
          <w:color w:val="auto"/>
        </w:rPr>
      </w:pPr>
    </w:p>
    <w:p>
      <w:pPr>
        <w:jc w:val="both"/>
        <w:ind w:left="540" w:right="260" w:hanging="424"/>
        <w:spacing w:after="0" w:line="257"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2022, fiscal 2021 and fiscal 2020 compensation and the benefit plans in which he participates are fully disclosed in Post’s filings with the SEC.</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2022, the amounts relate to awards of RSUs of our common stock (the “BellRing RSUs”) and PRSUs of our common Stock (the “Bellring PRSUs”) granted in the fiscal year except for Mr. Singh, whose stock award in fiscal 2022 consisted solely of Bellring RSUs. The awards reflect the aggregate grant date fair values computed in accordance with FASB ASC Topic 718, and do not correspond to the actual values that will be realized by the NEOs. For the BellRing RSUs and the Bellring PRSUs, see Note 16 to the Company’s fiscal year 2022 financial statements beginning on page 73 of the Company’s Annual Report on Form 10-K for the fiscal year ended September 30, 2022 for a discussion of the determination of these amounts under FASB ASC Topic 718.</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incremental fair value expensed in connection with adjustments to outstanding option awards in the Reorganization Transactions.</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fiscal 2022, the amounts reported in this column reflect bonuses paid to the NEOs under the BellRing Brands, Inc. Senior Management Bonus Program, discussed above in </w:t>
      </w:r>
      <w:r>
        <w:rPr>
          <w:rFonts w:ascii="Times New Roman" w:cs="Times New Roman" w:eastAsia="Times New Roman" w:hAnsi="Times New Roman"/>
          <w:sz w:val="18"/>
          <w:szCs w:val="18"/>
          <w:i w:val="1"/>
          <w:iCs w:val="1"/>
          <w:color w:val="auto"/>
        </w:rPr>
        <w:t>Compensation Discussion &amp; Analysis</w:t>
      </w:r>
      <w:r>
        <w:rPr>
          <w:rFonts w:ascii="Times New Roman" w:cs="Times New Roman" w:eastAsia="Times New Roman" w:hAnsi="Times New Roman"/>
          <w:sz w:val="18"/>
          <w:szCs w:val="18"/>
          <w:color w:val="auto"/>
        </w:rPr>
        <w:t>. For fiscal 2022, amounts payable to our NEOs pursuant to awards granted under the program were determined based on achievement of corporate or business unit goals and other achievements considered in the discretion of the Corporate Governance and Compensation Committee. See “Compensation Discussion &amp; Analysis - 2022 Compensation Elements - Annual Bonus (Senior Management Bonus Program) on page 33 of this proxy statement.</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24"/>
        <w:spacing w:after="0" w:line="253"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wholly-owned subsidiary of Post, in fiscal 2019, our NEOs were eligible to participate in the following non-qualified deferred compensation plans maintained by Post for key employees: the Deferred Compensation Plan for Key Employees and the Executive Savings Investment Plan. Our NEOs are no longer eligible for deferrals under the Post Deferred Compensation Plan for Key Employees and the Post Executive Savings Investment Plan effective January 1, 2020. The Company does not maintain any deferred compensation plans for its employees. The amounts reported in this column represent the aggregate earnings on the respective NEO’s account under Post’s Deferred Compensation Plan for Key Employees and Executive Savings Investment Plan.</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“All Other Compensation” column include the following:</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Matching</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Personal</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9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Use of</w:t>
            </w: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Miscellaneous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9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Aircraft</w:t>
            </w:r>
          </w:p>
        </w:tc>
        <w:tc>
          <w:tcPr>
            <w:tcW w:w="13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tcBorders>
              <w:bottom w:val="single" w:sz="8" w:color="ABD8EA"/>
            </w:tcBorders>
          </w:tcPr>
          <w:p>
            <w:pPr>
              <w:spacing w:after="0"/>
              <w:rPr>
                <w:sz w:val="15"/>
                <w:szCs w:val="15"/>
                <w:color w:val="auto"/>
              </w:rPr>
            </w:pPr>
          </w:p>
        </w:tc>
        <w:tc>
          <w:tcPr>
            <w:tcW w:w="380" w:type="dxa"/>
            <w:vAlign w:val="bottom"/>
            <w:tcBorders>
              <w:bottom w:val="single" w:sz="8" w:color="ABD8EA"/>
            </w:tcBorders>
          </w:tcPr>
          <w:p>
            <w:pPr>
              <w:spacing w:after="0"/>
              <w:rPr>
                <w:sz w:val="15"/>
                <w:szCs w:val="15"/>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BD8EA"/>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BD8EA"/>
            </w:tcBorders>
          </w:tcPr>
          <w:p>
            <w:pPr>
              <w:spacing w:after="0"/>
              <w:rPr>
                <w:sz w:val="15"/>
                <w:szCs w:val="15"/>
                <w:color w:val="auto"/>
              </w:rPr>
            </w:pPr>
          </w:p>
        </w:tc>
        <w:tc>
          <w:tcPr>
            <w:tcW w:w="54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0"/>
                <w:szCs w:val="20"/>
                <w:b w:val="1"/>
                <w:bCs w:val="1"/>
                <w:color w:val="auto"/>
                <w:w w:val="91"/>
                <w:vertAlign w:val="superscript"/>
              </w:rPr>
              <w:t>(b)</w:t>
            </w:r>
          </w:p>
        </w:tc>
        <w:tc>
          <w:tcPr>
            <w:tcW w:w="420" w:type="dxa"/>
            <w:vAlign w:val="bottom"/>
            <w:tcBorders>
              <w:bottom w:val="single" w:sz="8" w:color="ABD8EA"/>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BD8EA"/>
            </w:tcBorders>
          </w:tcPr>
          <w:p>
            <w:pPr>
              <w:spacing w:after="0"/>
              <w:rPr>
                <w:sz w:val="15"/>
                <w:szCs w:val="15"/>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BD8EA"/>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ABD8EA"/>
          </w:tcPr>
          <w:p>
            <w:pPr>
              <w:spacing w:after="0" w:line="250"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(a)</w:t>
            </w:r>
          </w:p>
        </w:tc>
        <w:tc>
          <w:tcPr>
            <w:tcW w:w="380" w:type="dxa"/>
            <w:vAlign w:val="bottom"/>
            <w:shd w:val="clear" w:color="auto" w:fill="ABD8EA"/>
          </w:tcPr>
          <w:p>
            <w:pPr>
              <w:spacing w:after="0"/>
              <w:rPr>
                <w:sz w:val="21"/>
                <w:szCs w:val="21"/>
                <w:color w:val="auto"/>
              </w:rPr>
            </w:pPr>
          </w:p>
        </w:tc>
        <w:tc>
          <w:tcPr>
            <w:tcW w:w="1280" w:type="dxa"/>
            <w:vAlign w:val="bottom"/>
            <w:gridSpan w:val="2"/>
            <w:shd w:val="clear" w:color="auto" w:fill="ABD8EA"/>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ABD8EA"/>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ABD8EA"/>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ABD8EA"/>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ABD8EA"/>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17,792</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941</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5,027</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360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24,120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660" w:type="dxa"/>
            <w:vAlign w:val="bottom"/>
            <w:tcBorders>
              <w:bottom w:val="single" w:sz="8" w:color="ABD8EA"/>
            </w:tcBorders>
            <w:gridSpan w:val="3"/>
            <w:shd w:val="clear" w:color="auto" w:fill="ABD8EA"/>
          </w:tcPr>
          <w:p>
            <w:pPr>
              <w:jc w:val="right"/>
              <w:ind w:right="420"/>
              <w:spacing w:after="0"/>
              <w:rPr>
                <w:sz w:val="20"/>
                <w:szCs w:val="20"/>
                <w:color w:val="auto"/>
              </w:rPr>
            </w:pPr>
            <w:r>
              <w:rPr>
                <w:rFonts w:ascii="Times New Roman" w:cs="Times New Roman" w:eastAsia="Times New Roman" w:hAnsi="Times New Roman"/>
                <w:sz w:val="18"/>
                <w:szCs w:val="18"/>
                <w:color w:val="auto"/>
              </w:rPr>
              <w:t>18,300</w:t>
            </w:r>
          </w:p>
        </w:tc>
        <w:tc>
          <w:tcPr>
            <w:tcW w:w="1080" w:type="dxa"/>
            <w:vAlign w:val="bottom"/>
            <w:tcBorders>
              <w:bottom w:val="single" w:sz="8" w:color="ABD8EA"/>
            </w:tcBorders>
            <w:gridSpan w:val="2"/>
            <w:shd w:val="clear" w:color="auto" w:fill="ABD8EA"/>
          </w:tcPr>
          <w:p>
            <w:pPr>
              <w:ind w:left="380"/>
              <w:spacing w:after="0"/>
              <w:rPr>
                <w:sz w:val="20"/>
                <w:szCs w:val="20"/>
                <w:color w:val="auto"/>
              </w:rPr>
            </w:pPr>
            <w:r>
              <w:rPr>
                <w:rFonts w:ascii="Times New Roman" w:cs="Times New Roman" w:eastAsia="Times New Roman" w:hAnsi="Times New Roman"/>
                <w:sz w:val="18"/>
                <w:szCs w:val="18"/>
                <w:color w:val="auto"/>
              </w:rPr>
              <w:t>941</w:t>
            </w:r>
          </w:p>
        </w:tc>
        <w:tc>
          <w:tcPr>
            <w:tcW w:w="960" w:type="dxa"/>
            <w:vAlign w:val="bottom"/>
            <w:tcBorders>
              <w:bottom w:val="single" w:sz="8" w:color="ABD8EA"/>
            </w:tcBorders>
            <w:gridSpan w:val="2"/>
            <w:shd w:val="clear" w:color="auto" w:fill="ABD8EA"/>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BD8EA"/>
            </w:tcBorders>
            <w:gridSpan w:val="2"/>
            <w:shd w:val="clear" w:color="auto" w:fill="ABD8EA"/>
          </w:tcPr>
          <w:p>
            <w:pPr>
              <w:jc w:val="right"/>
              <w:ind w:right="420"/>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19,316</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19,373</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932</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20,305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660" w:type="dxa"/>
            <w:vAlign w:val="bottom"/>
            <w:tcBorders>
              <w:bottom w:val="single" w:sz="8" w:color="ABD8EA"/>
            </w:tcBorders>
            <w:gridSpan w:val="3"/>
            <w:shd w:val="clear" w:color="auto" w:fill="ABD8EA"/>
          </w:tcPr>
          <w:p>
            <w:pPr>
              <w:jc w:val="right"/>
              <w:ind w:right="420"/>
              <w:spacing w:after="0"/>
              <w:rPr>
                <w:sz w:val="20"/>
                <w:szCs w:val="20"/>
                <w:color w:val="auto"/>
              </w:rPr>
            </w:pPr>
            <w:r>
              <w:rPr>
                <w:rFonts w:ascii="Times New Roman" w:cs="Times New Roman" w:eastAsia="Times New Roman" w:hAnsi="Times New Roman"/>
                <w:sz w:val="18"/>
                <w:szCs w:val="18"/>
                <w:color w:val="auto"/>
              </w:rPr>
              <w:t>19,425</w:t>
            </w:r>
          </w:p>
        </w:tc>
        <w:tc>
          <w:tcPr>
            <w:tcW w:w="1080" w:type="dxa"/>
            <w:vAlign w:val="bottom"/>
            <w:tcBorders>
              <w:bottom w:val="single" w:sz="8" w:color="ABD8EA"/>
            </w:tcBorders>
            <w:gridSpan w:val="2"/>
            <w:shd w:val="clear" w:color="auto" w:fill="ABD8EA"/>
          </w:tcPr>
          <w:p>
            <w:pPr>
              <w:ind w:left="380"/>
              <w:spacing w:after="0"/>
              <w:rPr>
                <w:sz w:val="20"/>
                <w:szCs w:val="20"/>
                <w:color w:val="auto"/>
              </w:rPr>
            </w:pPr>
            <w:r>
              <w:rPr>
                <w:rFonts w:ascii="Times New Roman" w:cs="Times New Roman" w:eastAsia="Times New Roman" w:hAnsi="Times New Roman"/>
                <w:sz w:val="18"/>
                <w:szCs w:val="18"/>
                <w:color w:val="auto"/>
              </w:rPr>
              <w:t>907</w:t>
            </w:r>
          </w:p>
        </w:tc>
        <w:tc>
          <w:tcPr>
            <w:tcW w:w="960" w:type="dxa"/>
            <w:vAlign w:val="bottom"/>
            <w:tcBorders>
              <w:bottom w:val="single" w:sz="8" w:color="ABD8EA"/>
            </w:tcBorders>
            <w:gridSpan w:val="2"/>
            <w:shd w:val="clear" w:color="auto" w:fill="ABD8EA"/>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BD8EA"/>
            </w:tcBorders>
            <w:gridSpan w:val="2"/>
            <w:shd w:val="clear" w:color="auto" w:fill="ABD8EA"/>
          </w:tcPr>
          <w:p>
            <w:pPr>
              <w:ind w:left="600"/>
              <w:spacing w:after="0"/>
              <w:rPr>
                <w:sz w:val="20"/>
                <w:szCs w:val="20"/>
                <w:color w:val="auto"/>
              </w:rPr>
            </w:pPr>
            <w:r>
              <w:rPr>
                <w:rFonts w:ascii="Times New Roman" w:cs="Times New Roman" w:eastAsia="Times New Roman" w:hAnsi="Times New Roman"/>
                <w:sz w:val="18"/>
                <w:szCs w:val="18"/>
                <w:color w:val="auto"/>
              </w:rPr>
              <w:t>325</w:t>
            </w:r>
          </w:p>
        </w:tc>
        <w:tc>
          <w:tcPr>
            <w:tcW w:w="62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20,657</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17,412</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922</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jc w:val="both"/>
        <w:ind w:left="540" w:right="260" w:hanging="424"/>
        <w:spacing w:after="0" w:line="257"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2022, fiscal 2021 and fiscal 2020 compensation and the benefit plans in which he participates are fully disclosed in Post’s filings with the SEC.</w:t>
      </w:r>
    </w:p>
    <w:p>
      <w:pPr>
        <w:spacing w:after="0" w:line="1" w:lineRule="exact"/>
        <w:rPr>
          <w:rFonts w:ascii="Times New Roman" w:cs="Times New Roman" w:eastAsia="Times New Roman" w:hAnsi="Times New Roman"/>
          <w:sz w:val="18"/>
          <w:szCs w:val="18"/>
          <w:color w:val="auto"/>
        </w:rPr>
      </w:pPr>
    </w:p>
    <w:p>
      <w:pPr>
        <w:ind w:left="540" w:right="60" w:hanging="424"/>
        <w:spacing w:after="0" w:line="251"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based on the aggregate incremental cost to us of the NEO’s use of Post’s aircraft. The incremental cost is calculated by dividing the total estimated variable costs (such as fuel, landing fees, on-board catering and flight crew expenses) by the total flight hours for such fiscal year and multiplying such amount by the individual’s total number of flight hours for non-business use for the fiscal year. Incremental costs do not include certain fixed costs that we incur by virtue of using Post’s aircraft, including depreciation, employed pilot salaries and benefits, hangar fees and maintenance. Spouses and guests of NEOs occasionally fly on the aircraft as additional passengers on business flights. In those cases, the aggregate incremental cost is a de minimis amount, and no amounts are therefore reported; however, these flights are treated as taxable under the Internal Revenue Service’s Standard Industry Fare Level (“SIFL”) formula for imputing taxable income for such use. Our CEO may use the aircraft for personal use (including for her spouse and guests) so long as the value of such use is treated as taxable compensation to the individual. Following the completion of the Reorganization Transactions in March 2022, Post’s aircraft was no longer available for use by our NEOs.</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provides, for each of the NEOs, information concerning cash awards under our annual incentive plan for fiscal year 2022 and grants of equity awards made during fiscal year 2022. The non-equity incentive plan awards disclosed below are part of our Senior Management Bonus Program. The plan has threshold, target and maximum payouts, as set forth below, based on achievement of corporate or business unit performance measures; however, achievement below the threshold performance measures generally will result in a lower cash award payout (to the extent discretion is exercised) or no cash award payout at all. In November 2022, awards were determined to have been achieved for each of the NEOs based on a combination of achievement of the corporate or business unit performance measures in the amounts set forth in the Summary Compensation Table under “Non-Equity Incentive Plan Compensation.” Awards of RSUs were made under our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Long-Term Incentive Plan. See Compensation Discussion and Analysis for further information about the awards listed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Estimated future payouts under non-</w:t>
            </w:r>
          </w:p>
        </w:tc>
        <w:tc>
          <w:tcPr>
            <w:tcW w:w="238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6"/>
          </w:tcPr>
          <w:p>
            <w:pPr>
              <w:jc w:val="center"/>
              <w:ind w:right="140"/>
              <w:spacing w:after="0" w:line="135" w:lineRule="exact"/>
              <w:rPr>
                <w:sz w:val="20"/>
                <w:szCs w:val="20"/>
                <w:color w:val="auto"/>
              </w:rPr>
            </w:pPr>
            <w:r>
              <w:rPr>
                <w:rFonts w:ascii="Times New Roman" w:cs="Times New Roman" w:eastAsia="Times New Roman" w:hAnsi="Times New Roman"/>
                <w:sz w:val="11"/>
                <w:szCs w:val="11"/>
                <w:b w:val="1"/>
                <w:bCs w:val="1"/>
                <w:color w:val="auto"/>
              </w:rPr>
              <w:t>equity incentive plan awards</w:t>
            </w:r>
            <w:r>
              <w:rPr>
                <w:rFonts w:ascii="Times New Roman" w:cs="Times New Roman" w:eastAsia="Times New Roman" w:hAnsi="Times New Roman"/>
                <w:sz w:val="15"/>
                <w:szCs w:val="15"/>
                <w:b w:val="1"/>
                <w:bCs w:val="1"/>
                <w:color w:val="auto"/>
                <w:vertAlign w:val="superscript"/>
              </w:rPr>
              <w:t>(1)</w:t>
            </w:r>
          </w:p>
        </w:tc>
        <w:tc>
          <w:tcPr>
            <w:tcW w:w="2380" w:type="dxa"/>
            <w:vAlign w:val="bottom"/>
            <w:gridSpan w:val="6"/>
          </w:tcPr>
          <w:p>
            <w:pPr>
              <w:jc w:val="center"/>
              <w:ind w:right="160"/>
              <w:spacing w:after="0" w:line="135" w:lineRule="exact"/>
              <w:rPr>
                <w:sz w:val="20"/>
                <w:szCs w:val="20"/>
                <w:color w:val="auto"/>
              </w:rPr>
            </w:pPr>
            <w:r>
              <w:rPr>
                <w:rFonts w:ascii="Times New Roman" w:cs="Times New Roman" w:eastAsia="Times New Roman" w:hAnsi="Times New Roman"/>
                <w:sz w:val="11"/>
                <w:szCs w:val="11"/>
                <w:b w:val="1"/>
                <w:bCs w:val="1"/>
                <w:color w:val="auto"/>
              </w:rPr>
              <w:t>equity incentive plan awards</w:t>
            </w:r>
            <w:r>
              <w:rPr>
                <w:rFonts w:ascii="Times New Roman" w:cs="Times New Roman" w:eastAsia="Times New Roman" w:hAnsi="Times New Roman"/>
                <w:sz w:val="15"/>
                <w:szCs w:val="15"/>
                <w:b w:val="1"/>
                <w:bCs w:val="1"/>
                <w:color w:val="auto"/>
                <w:vertAlign w:val="superscript"/>
              </w:rPr>
              <w:t>(2)</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restart"/>
          </w:tcPr>
          <w:p>
            <w:pPr>
              <w:jc w:val="center"/>
              <w:ind w:right="160"/>
              <w:spacing w:after="0" w:line="102" w:lineRule="exact"/>
              <w:rPr>
                <w:sz w:val="20"/>
                <w:szCs w:val="20"/>
                <w:color w:val="auto"/>
              </w:rPr>
            </w:pPr>
            <w:r>
              <w:rPr>
                <w:rFonts w:ascii="Times New Roman" w:cs="Times New Roman" w:eastAsia="Times New Roman" w:hAnsi="Times New Roman"/>
                <w:sz w:val="10"/>
                <w:szCs w:val="10"/>
                <w:b w:val="1"/>
                <w:bCs w:val="1"/>
                <w:color w:val="auto"/>
              </w:rPr>
              <w:t>Number</w:t>
            </w:r>
          </w:p>
        </w:tc>
        <w:tc>
          <w:tcPr>
            <w:tcW w:w="920" w:type="dxa"/>
            <w:vAlign w:val="bottom"/>
            <w:gridSpan w:val="2"/>
            <w:vMerge w:val="restart"/>
          </w:tcPr>
          <w:p>
            <w:pPr>
              <w:jc w:val="center"/>
              <w:ind w:right="60"/>
              <w:spacing w:after="0" w:line="102" w:lineRule="exact"/>
              <w:rPr>
                <w:sz w:val="20"/>
                <w:szCs w:val="20"/>
                <w:color w:val="auto"/>
              </w:rPr>
            </w:pPr>
            <w:r>
              <w:rPr>
                <w:rFonts w:ascii="Times New Roman" w:cs="Times New Roman" w:eastAsia="Times New Roman" w:hAnsi="Times New Roman"/>
                <w:sz w:val="10"/>
                <w:szCs w:val="10"/>
                <w:b w:val="1"/>
                <w:bCs w:val="1"/>
                <w:color w:val="auto"/>
              </w:rPr>
              <w:t>Grant date</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9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9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135"/>
        </w:trPr>
        <w:tc>
          <w:tcPr>
            <w:tcW w:w="230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8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9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9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option</w:t>
            </w:r>
          </w:p>
        </w:tc>
        <w:tc>
          <w:tcPr>
            <w:tcW w:w="0" w:type="dxa"/>
            <w:vAlign w:val="bottom"/>
          </w:tcPr>
          <w:p>
            <w:pPr>
              <w:spacing w:after="0"/>
              <w:rPr>
                <w:sz w:val="1"/>
                <w:szCs w:val="1"/>
                <w:color w:val="auto"/>
              </w:rPr>
            </w:pPr>
          </w:p>
        </w:tc>
      </w:tr>
      <w:tr>
        <w:trPr>
          <w:trHeight w:val="155"/>
        </w:trPr>
        <w:tc>
          <w:tcPr>
            <w:tcW w:w="23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BD8EA"/>
            </w:tcBorders>
          </w:tcPr>
          <w:p>
            <w:pPr>
              <w:spacing w:after="0"/>
              <w:rPr>
                <w:sz w:val="13"/>
                <w:szCs w:val="13"/>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Grant Type</w:t>
            </w:r>
          </w:p>
        </w:tc>
        <w:tc>
          <w:tcPr>
            <w:tcW w:w="100" w:type="dxa"/>
            <w:vAlign w:val="bottom"/>
            <w:tcBorders>
              <w:bottom w:val="single" w:sz="8" w:color="ABD8EA"/>
            </w:tcBorders>
          </w:tcPr>
          <w:p>
            <w:pPr>
              <w:spacing w:after="0"/>
              <w:rPr>
                <w:sz w:val="13"/>
                <w:szCs w:val="13"/>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Borders>
              <w:bottom w:val="single" w:sz="8" w:color="ABD8EA"/>
            </w:tcBorders>
          </w:tcPr>
          <w:p>
            <w:pPr>
              <w:spacing w:after="0"/>
              <w:rPr>
                <w:sz w:val="13"/>
                <w:szCs w:val="13"/>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BD8EA"/>
            </w:tcBorders>
          </w:tcPr>
          <w:p>
            <w:pPr>
              <w:spacing w:after="0"/>
              <w:rPr>
                <w:sz w:val="13"/>
                <w:szCs w:val="13"/>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BD8EA"/>
            </w:tcBorders>
          </w:tcPr>
          <w:p>
            <w:pPr>
              <w:spacing w:after="0"/>
              <w:rPr>
                <w:sz w:val="13"/>
                <w:szCs w:val="13"/>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BD8EA"/>
            </w:tcBorders>
          </w:tcPr>
          <w:p>
            <w:pPr>
              <w:spacing w:after="0"/>
              <w:rPr>
                <w:sz w:val="13"/>
                <w:szCs w:val="13"/>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BD8EA"/>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BD8EA"/>
            </w:tcBorders>
          </w:tcPr>
          <w:p>
            <w:pPr>
              <w:spacing w:after="0"/>
              <w:rPr>
                <w:sz w:val="13"/>
                <w:szCs w:val="13"/>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BD8EA"/>
            </w:tcBorders>
          </w:tcPr>
          <w:p>
            <w:pPr>
              <w:spacing w:after="0"/>
              <w:rPr>
                <w:sz w:val="13"/>
                <w:szCs w:val="13"/>
                <w:color w:val="auto"/>
              </w:rPr>
            </w:pPr>
          </w:p>
        </w:tc>
        <w:tc>
          <w:tcPr>
            <w:tcW w:w="6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(3)</w:t>
            </w:r>
          </w:p>
        </w:tc>
        <w:tc>
          <w:tcPr>
            <w:tcW w:w="160" w:type="dxa"/>
            <w:vAlign w:val="bottom"/>
            <w:tcBorders>
              <w:bottom w:val="single" w:sz="8" w:color="ABD8EA"/>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8"/>
              </w:rPr>
              <w:t>awards</w:t>
            </w:r>
            <w:r>
              <w:rPr>
                <w:rFonts w:ascii="Times New Roman" w:cs="Times New Roman" w:eastAsia="Times New Roman" w:hAnsi="Times New Roman"/>
                <w:sz w:val="17"/>
                <w:szCs w:val="17"/>
                <w:b w:val="1"/>
                <w:bCs w:val="1"/>
                <w:color w:val="auto"/>
                <w:w w:val="98"/>
                <w:vertAlign w:val="superscript"/>
              </w:rPr>
              <w:t>(4)</w:t>
            </w:r>
          </w:p>
        </w:tc>
        <w:tc>
          <w:tcPr>
            <w:tcW w:w="60" w:type="dxa"/>
            <w:vAlign w:val="bottom"/>
            <w:tcBorders>
              <w:bottom w:val="single" w:sz="8" w:color="ABD8EA"/>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00" w:type="dxa"/>
            <w:vAlign w:val="bottom"/>
            <w:shd w:val="clear" w:color="auto" w:fill="ABD8EA"/>
          </w:tcPr>
          <w:p>
            <w:pPr>
              <w:spacing w:after="0" w:line="133" w:lineRule="exact"/>
              <w:rPr>
                <w:sz w:val="20"/>
                <w:szCs w:val="20"/>
                <w:color w:val="auto"/>
              </w:rPr>
            </w:pPr>
            <w:r>
              <w:rPr>
                <w:rFonts w:ascii="Times New Roman" w:cs="Times New Roman" w:eastAsia="Times New Roman" w:hAnsi="Times New Roman"/>
                <w:sz w:val="14"/>
                <w:szCs w:val="14"/>
                <w:color w:val="auto"/>
              </w:rPr>
              <w:t>Robert V. Vitale</w:t>
            </w:r>
          </w:p>
        </w:tc>
        <w:tc>
          <w:tcPr>
            <w:tcW w:w="120" w:type="dxa"/>
            <w:vAlign w:val="bottom"/>
            <w:shd w:val="clear" w:color="auto" w:fill="ABD8EA"/>
          </w:tcPr>
          <w:p>
            <w:pPr>
              <w:spacing w:after="0"/>
              <w:rPr>
                <w:sz w:val="11"/>
                <w:szCs w:val="11"/>
                <w:color w:val="auto"/>
              </w:rPr>
            </w:pPr>
          </w:p>
        </w:tc>
        <w:tc>
          <w:tcPr>
            <w:tcW w:w="1160" w:type="dxa"/>
            <w:vAlign w:val="bottom"/>
            <w:shd w:val="clear" w:color="auto" w:fill="ABD8EA"/>
          </w:tcPr>
          <w:p>
            <w:pPr>
              <w:spacing w:after="0" w:line="133" w:lineRule="exact"/>
              <w:rPr>
                <w:sz w:val="20"/>
                <w:szCs w:val="20"/>
                <w:color w:val="auto"/>
              </w:rPr>
            </w:pPr>
            <w:r>
              <w:rPr>
                <w:rFonts w:ascii="Times New Roman" w:cs="Times New Roman" w:eastAsia="Times New Roman" w:hAnsi="Times New Roman"/>
                <w:sz w:val="14"/>
                <w:szCs w:val="14"/>
                <w:color w:val="auto"/>
              </w:rPr>
              <w:t>PRSUs</w:t>
            </w:r>
          </w:p>
        </w:tc>
        <w:tc>
          <w:tcPr>
            <w:tcW w:w="700" w:type="dxa"/>
            <w:vAlign w:val="bottom"/>
            <w:gridSpan w:val="2"/>
            <w:shd w:val="clear" w:color="auto" w:fill="ABD8EA"/>
          </w:tcPr>
          <w:p>
            <w:pPr>
              <w:jc w:val="right"/>
              <w:ind w:right="37"/>
              <w:spacing w:after="0" w:line="133" w:lineRule="exact"/>
              <w:rPr>
                <w:sz w:val="20"/>
                <w:szCs w:val="20"/>
                <w:color w:val="auto"/>
              </w:rPr>
            </w:pPr>
            <w:r>
              <w:rPr>
                <w:rFonts w:ascii="Times New Roman" w:cs="Times New Roman" w:eastAsia="Times New Roman" w:hAnsi="Times New Roman"/>
                <w:sz w:val="14"/>
                <w:szCs w:val="14"/>
                <w:color w:val="auto"/>
              </w:rPr>
              <w:t>11/11/21</w:t>
            </w:r>
          </w:p>
        </w:tc>
        <w:tc>
          <w:tcPr>
            <w:tcW w:w="100" w:type="dxa"/>
            <w:vAlign w:val="bottom"/>
            <w:shd w:val="clear" w:color="auto" w:fill="ABD8EA"/>
          </w:tcPr>
          <w:p>
            <w:pPr>
              <w:spacing w:after="0"/>
              <w:rPr>
                <w:sz w:val="11"/>
                <w:szCs w:val="11"/>
                <w:color w:val="auto"/>
              </w:rPr>
            </w:pPr>
          </w:p>
        </w:tc>
        <w:tc>
          <w:tcPr>
            <w:tcW w:w="700" w:type="dxa"/>
            <w:vAlign w:val="bottom"/>
            <w:shd w:val="clear" w:color="auto" w:fill="ABD8EA"/>
          </w:tcPr>
          <w:p>
            <w:pPr>
              <w:spacing w:after="0"/>
              <w:rPr>
                <w:sz w:val="11"/>
                <w:szCs w:val="11"/>
                <w:color w:val="auto"/>
              </w:rPr>
            </w:pPr>
          </w:p>
        </w:tc>
        <w:tc>
          <w:tcPr>
            <w:tcW w:w="140" w:type="dxa"/>
            <w:vAlign w:val="bottom"/>
            <w:shd w:val="clear" w:color="auto" w:fill="ABD8EA"/>
          </w:tcPr>
          <w:p>
            <w:pPr>
              <w:spacing w:after="0"/>
              <w:rPr>
                <w:sz w:val="11"/>
                <w:szCs w:val="11"/>
                <w:color w:val="auto"/>
              </w:rPr>
            </w:pPr>
          </w:p>
        </w:tc>
        <w:tc>
          <w:tcPr>
            <w:tcW w:w="640" w:type="dxa"/>
            <w:vAlign w:val="bottom"/>
            <w:shd w:val="clear" w:color="auto" w:fill="ABD8EA"/>
          </w:tcPr>
          <w:p>
            <w:pPr>
              <w:spacing w:after="0"/>
              <w:rPr>
                <w:sz w:val="11"/>
                <w:szCs w:val="11"/>
                <w:color w:val="auto"/>
              </w:rPr>
            </w:pPr>
          </w:p>
        </w:tc>
        <w:tc>
          <w:tcPr>
            <w:tcW w:w="140" w:type="dxa"/>
            <w:vAlign w:val="bottom"/>
            <w:shd w:val="clear" w:color="auto" w:fill="ABD8EA"/>
          </w:tcPr>
          <w:p>
            <w:pPr>
              <w:spacing w:after="0"/>
              <w:rPr>
                <w:sz w:val="11"/>
                <w:szCs w:val="11"/>
                <w:color w:val="auto"/>
              </w:rPr>
            </w:pPr>
          </w:p>
        </w:tc>
        <w:tc>
          <w:tcPr>
            <w:tcW w:w="820" w:type="dxa"/>
            <w:vAlign w:val="bottom"/>
            <w:shd w:val="clear" w:color="auto" w:fill="ABD8EA"/>
          </w:tcPr>
          <w:p>
            <w:pPr>
              <w:spacing w:after="0"/>
              <w:rPr>
                <w:sz w:val="11"/>
                <w:szCs w:val="11"/>
                <w:color w:val="auto"/>
              </w:rPr>
            </w:pPr>
          </w:p>
        </w:tc>
        <w:tc>
          <w:tcPr>
            <w:tcW w:w="140" w:type="dxa"/>
            <w:vAlign w:val="bottom"/>
            <w:shd w:val="clear" w:color="auto" w:fill="ABD8EA"/>
          </w:tcPr>
          <w:p>
            <w:pPr>
              <w:spacing w:after="0"/>
              <w:rPr>
                <w:sz w:val="11"/>
                <w:szCs w:val="11"/>
                <w:color w:val="auto"/>
              </w:rPr>
            </w:pPr>
          </w:p>
        </w:tc>
        <w:tc>
          <w:tcPr>
            <w:tcW w:w="800" w:type="dxa"/>
            <w:vAlign w:val="bottom"/>
            <w:gridSpan w:val="2"/>
            <w:shd w:val="clear" w:color="auto" w:fill="ABD8EA"/>
          </w:tcPr>
          <w:p>
            <w:pPr>
              <w:jc w:val="right"/>
              <w:ind w:right="140"/>
              <w:spacing w:after="0" w:line="133" w:lineRule="exact"/>
              <w:rPr>
                <w:sz w:val="20"/>
                <w:szCs w:val="20"/>
                <w:color w:val="auto"/>
              </w:rPr>
            </w:pPr>
            <w:r>
              <w:rPr>
                <w:rFonts w:ascii="Times New Roman" w:cs="Times New Roman" w:eastAsia="Times New Roman" w:hAnsi="Times New Roman"/>
                <w:sz w:val="14"/>
                <w:szCs w:val="14"/>
                <w:color w:val="auto"/>
              </w:rPr>
              <w:t>150,000</w:t>
            </w:r>
          </w:p>
        </w:tc>
        <w:tc>
          <w:tcPr>
            <w:tcW w:w="760" w:type="dxa"/>
            <w:vAlign w:val="bottom"/>
            <w:gridSpan w:val="2"/>
            <w:shd w:val="clear" w:color="auto" w:fill="ABD8EA"/>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300,000</w:t>
            </w:r>
          </w:p>
        </w:tc>
        <w:tc>
          <w:tcPr>
            <w:tcW w:w="820" w:type="dxa"/>
            <w:vAlign w:val="bottom"/>
            <w:gridSpan w:val="2"/>
            <w:shd w:val="clear" w:color="auto" w:fill="ABD8EA"/>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780,000</w:t>
            </w:r>
          </w:p>
        </w:tc>
        <w:tc>
          <w:tcPr>
            <w:tcW w:w="600" w:type="dxa"/>
            <w:vAlign w:val="bottom"/>
            <w:shd w:val="clear" w:color="auto" w:fill="ABD8EA"/>
          </w:tcPr>
          <w:p>
            <w:pPr>
              <w:spacing w:after="0"/>
              <w:rPr>
                <w:sz w:val="11"/>
                <w:szCs w:val="11"/>
                <w:color w:val="auto"/>
              </w:rPr>
            </w:pPr>
          </w:p>
        </w:tc>
        <w:tc>
          <w:tcPr>
            <w:tcW w:w="160" w:type="dxa"/>
            <w:vAlign w:val="bottom"/>
            <w:shd w:val="clear" w:color="auto" w:fill="ABD8EA"/>
          </w:tcPr>
          <w:p>
            <w:pPr>
              <w:spacing w:after="0"/>
              <w:rPr>
                <w:sz w:val="11"/>
                <w:szCs w:val="11"/>
                <w:color w:val="auto"/>
              </w:rPr>
            </w:pPr>
          </w:p>
        </w:tc>
        <w:tc>
          <w:tcPr>
            <w:tcW w:w="920" w:type="dxa"/>
            <w:vAlign w:val="bottom"/>
            <w:gridSpan w:val="2"/>
            <w:shd w:val="clear" w:color="auto" w:fill="ABD8EA"/>
          </w:tcPr>
          <w:p>
            <w:pPr>
              <w:jc w:val="right"/>
              <w:ind w:right="60"/>
              <w:spacing w:after="0" w:line="133" w:lineRule="exact"/>
              <w:rPr>
                <w:sz w:val="20"/>
                <w:szCs w:val="20"/>
                <w:color w:val="auto"/>
              </w:rPr>
            </w:pPr>
            <w:r>
              <w:rPr>
                <w:rFonts w:ascii="Times New Roman" w:cs="Times New Roman" w:eastAsia="Times New Roman" w:hAnsi="Times New Roman"/>
                <w:sz w:val="14"/>
                <w:szCs w:val="14"/>
                <w:color w:val="auto"/>
              </w:rPr>
              <w:t>12,477,000</w:t>
            </w:r>
          </w:p>
        </w:tc>
        <w:tc>
          <w:tcPr>
            <w:tcW w:w="0" w:type="dxa"/>
            <w:vAlign w:val="bottom"/>
          </w:tcPr>
          <w:p>
            <w:pPr>
              <w:spacing w:after="0"/>
              <w:rPr>
                <w:sz w:val="1"/>
                <w:szCs w:val="1"/>
                <w:color w:val="auto"/>
              </w:rPr>
            </w:pPr>
          </w:p>
        </w:tc>
      </w:tr>
      <w:tr>
        <w:trPr>
          <w:trHeight w:val="198"/>
        </w:trPr>
        <w:tc>
          <w:tcPr>
            <w:tcW w:w="2300" w:type="dxa"/>
            <w:vAlign w:val="bottom"/>
            <w:shd w:val="clear" w:color="auto" w:fill="ABD8EA"/>
          </w:tcPr>
          <w:p>
            <w:pPr>
              <w:spacing w:after="0"/>
              <w:rPr>
                <w:sz w:val="17"/>
                <w:szCs w:val="17"/>
                <w:color w:val="auto"/>
              </w:rPr>
            </w:pPr>
          </w:p>
        </w:tc>
        <w:tc>
          <w:tcPr>
            <w:tcW w:w="120" w:type="dxa"/>
            <w:vAlign w:val="bottom"/>
            <w:shd w:val="clear" w:color="auto" w:fill="ABD8EA"/>
          </w:tcPr>
          <w:p>
            <w:pPr>
              <w:spacing w:after="0"/>
              <w:rPr>
                <w:sz w:val="17"/>
                <w:szCs w:val="17"/>
                <w:color w:val="auto"/>
              </w:rPr>
            </w:pPr>
          </w:p>
        </w:tc>
        <w:tc>
          <w:tcPr>
            <w:tcW w:w="1160" w:type="dxa"/>
            <w:vAlign w:val="bottom"/>
            <w:shd w:val="clear" w:color="auto" w:fill="ABD8EA"/>
          </w:tcPr>
          <w:p>
            <w:pPr>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gridSpan w:val="2"/>
            <w:shd w:val="clear" w:color="auto" w:fill="ABD8EA"/>
          </w:tcPr>
          <w:p>
            <w:pPr>
              <w:jc w:val="right"/>
              <w:ind w:right="37"/>
              <w:spacing w:after="0"/>
              <w:rPr>
                <w:sz w:val="20"/>
                <w:szCs w:val="20"/>
                <w:color w:val="auto"/>
              </w:rPr>
            </w:pPr>
            <w:r>
              <w:rPr>
                <w:rFonts w:ascii="Times New Roman" w:cs="Times New Roman" w:eastAsia="Times New Roman" w:hAnsi="Times New Roman"/>
                <w:sz w:val="14"/>
                <w:szCs w:val="14"/>
                <w:color w:val="auto"/>
              </w:rPr>
              <w:t>11/11/21</w:t>
            </w:r>
          </w:p>
        </w:tc>
        <w:tc>
          <w:tcPr>
            <w:tcW w:w="100" w:type="dxa"/>
            <w:vAlign w:val="bottom"/>
            <w:shd w:val="clear" w:color="auto" w:fill="ABD8EA"/>
          </w:tcPr>
          <w:p>
            <w:pPr>
              <w:spacing w:after="0"/>
              <w:rPr>
                <w:sz w:val="17"/>
                <w:szCs w:val="17"/>
                <w:color w:val="auto"/>
              </w:rPr>
            </w:pPr>
          </w:p>
        </w:tc>
        <w:tc>
          <w:tcPr>
            <w:tcW w:w="70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64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82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64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60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66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7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4"/>
                <w:szCs w:val="14"/>
                <w:color w:val="auto"/>
              </w:rPr>
              <w:t>100,000</w:t>
            </w:r>
          </w:p>
        </w:tc>
        <w:tc>
          <w:tcPr>
            <w:tcW w:w="92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4"/>
                <w:szCs w:val="14"/>
                <w:color w:val="auto"/>
              </w:rPr>
              <w:t>2,458,000</w:t>
            </w:r>
          </w:p>
        </w:tc>
        <w:tc>
          <w:tcPr>
            <w:tcW w:w="0" w:type="dxa"/>
            <w:vAlign w:val="bottom"/>
          </w:tcPr>
          <w:p>
            <w:pPr>
              <w:spacing w:after="0"/>
              <w:rPr>
                <w:sz w:val="1"/>
                <w:szCs w:val="1"/>
                <w:color w:val="auto"/>
              </w:rPr>
            </w:pPr>
          </w:p>
        </w:tc>
      </w:tr>
      <w:tr>
        <w:trPr>
          <w:trHeight w:val="153"/>
        </w:trPr>
        <w:tc>
          <w:tcPr>
            <w:tcW w:w="23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Darcy Horn Davenport</w:t>
            </w:r>
          </w:p>
        </w:tc>
        <w:tc>
          <w:tcPr>
            <w:tcW w:w="128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Annual Incentive</w:t>
            </w:r>
          </w:p>
        </w:tc>
        <w:tc>
          <w:tcPr>
            <w:tcW w:w="7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11/11/21</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406,250</w:t>
            </w:r>
          </w:p>
        </w:tc>
        <w:tc>
          <w:tcPr>
            <w:tcW w:w="78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812,500</w:t>
            </w:r>
          </w:p>
        </w:tc>
        <w:tc>
          <w:tcPr>
            <w:tcW w:w="96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1,218,750</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23,239</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46,478</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120,843</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2,154,255</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PRSUs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46,096</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color w:val="auto"/>
              </w:rPr>
              <w:t>11/11/21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1,132,579</w:t>
            </w:r>
          </w:p>
        </w:tc>
        <w:tc>
          <w:tcPr>
            <w:tcW w:w="0" w:type="dxa"/>
            <w:vAlign w:val="bottom"/>
          </w:tcPr>
          <w:p>
            <w:pPr>
              <w:spacing w:after="0"/>
              <w:rPr>
                <w:sz w:val="1"/>
                <w:szCs w:val="1"/>
                <w:color w:val="auto"/>
              </w:rPr>
            </w:pPr>
          </w:p>
        </w:tc>
      </w:tr>
      <w:tr>
        <w:trPr>
          <w:trHeight w:val="158"/>
        </w:trPr>
        <w:tc>
          <w:tcPr>
            <w:tcW w:w="2300" w:type="dxa"/>
            <w:vAlign w:val="bottom"/>
            <w:shd w:val="clear" w:color="auto" w:fill="ABD8EA"/>
          </w:tcPr>
          <w:p>
            <w:pPr>
              <w:spacing w:after="0" w:line="158" w:lineRule="exact"/>
              <w:rPr>
                <w:sz w:val="20"/>
                <w:szCs w:val="20"/>
                <w:color w:val="auto"/>
              </w:rPr>
            </w:pPr>
            <w:r>
              <w:rPr>
                <w:rFonts w:ascii="Times New Roman" w:cs="Times New Roman" w:eastAsia="Times New Roman" w:hAnsi="Times New Roman"/>
                <w:sz w:val="14"/>
                <w:szCs w:val="14"/>
                <w:color w:val="auto"/>
              </w:rPr>
              <w:t>Paul A. Rode</w:t>
            </w:r>
          </w:p>
        </w:tc>
        <w:tc>
          <w:tcPr>
            <w:tcW w:w="120" w:type="dxa"/>
            <w:vAlign w:val="bottom"/>
            <w:shd w:val="clear" w:color="auto" w:fill="ABD8EA"/>
          </w:tcPr>
          <w:p>
            <w:pPr>
              <w:spacing w:after="0"/>
              <w:rPr>
                <w:sz w:val="13"/>
                <w:szCs w:val="13"/>
                <w:color w:val="auto"/>
              </w:rPr>
            </w:pPr>
          </w:p>
        </w:tc>
        <w:tc>
          <w:tcPr>
            <w:tcW w:w="1160" w:type="dxa"/>
            <w:vAlign w:val="bottom"/>
            <w:shd w:val="clear" w:color="auto" w:fill="ABD8EA"/>
          </w:tcPr>
          <w:p>
            <w:pPr>
              <w:spacing w:after="0" w:line="158" w:lineRule="exact"/>
              <w:rPr>
                <w:sz w:val="20"/>
                <w:szCs w:val="20"/>
                <w:color w:val="auto"/>
              </w:rPr>
            </w:pPr>
            <w:r>
              <w:rPr>
                <w:rFonts w:ascii="Times New Roman" w:cs="Times New Roman" w:eastAsia="Times New Roman" w:hAnsi="Times New Roman"/>
                <w:sz w:val="14"/>
                <w:szCs w:val="14"/>
                <w:color w:val="auto"/>
              </w:rPr>
              <w:t>Annual Incentive</w:t>
            </w:r>
          </w:p>
        </w:tc>
        <w:tc>
          <w:tcPr>
            <w:tcW w:w="100" w:type="dxa"/>
            <w:vAlign w:val="bottom"/>
            <w:shd w:val="clear" w:color="auto" w:fill="ABD8EA"/>
          </w:tcPr>
          <w:p>
            <w:pPr>
              <w:spacing w:after="0"/>
              <w:rPr>
                <w:sz w:val="13"/>
                <w:szCs w:val="13"/>
                <w:color w:val="auto"/>
              </w:rPr>
            </w:pPr>
          </w:p>
        </w:tc>
        <w:tc>
          <w:tcPr>
            <w:tcW w:w="600" w:type="dxa"/>
            <w:vAlign w:val="bottom"/>
            <w:shd w:val="clear" w:color="auto" w:fill="ABD8EA"/>
          </w:tcPr>
          <w:p>
            <w:pPr>
              <w:spacing w:after="0"/>
              <w:rPr>
                <w:sz w:val="13"/>
                <w:szCs w:val="13"/>
                <w:color w:val="auto"/>
              </w:rPr>
            </w:pPr>
          </w:p>
        </w:tc>
        <w:tc>
          <w:tcPr>
            <w:tcW w:w="100" w:type="dxa"/>
            <w:vAlign w:val="bottom"/>
            <w:shd w:val="clear" w:color="auto" w:fill="ABD8EA"/>
          </w:tcPr>
          <w:p>
            <w:pPr>
              <w:spacing w:after="0"/>
              <w:rPr>
                <w:sz w:val="13"/>
                <w:szCs w:val="13"/>
                <w:color w:val="auto"/>
              </w:rPr>
            </w:pPr>
          </w:p>
        </w:tc>
        <w:tc>
          <w:tcPr>
            <w:tcW w:w="840" w:type="dxa"/>
            <w:vAlign w:val="bottom"/>
            <w:gridSpan w:val="2"/>
            <w:shd w:val="clear" w:color="auto" w:fill="ABD8EA"/>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136,500</w:t>
            </w:r>
          </w:p>
        </w:tc>
        <w:tc>
          <w:tcPr>
            <w:tcW w:w="780" w:type="dxa"/>
            <w:vAlign w:val="bottom"/>
            <w:gridSpan w:val="2"/>
            <w:shd w:val="clear" w:color="auto" w:fill="ABD8EA"/>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273,000</w:t>
            </w:r>
          </w:p>
        </w:tc>
        <w:tc>
          <w:tcPr>
            <w:tcW w:w="960" w:type="dxa"/>
            <w:vAlign w:val="bottom"/>
            <w:gridSpan w:val="2"/>
            <w:shd w:val="clear" w:color="auto" w:fill="ABD8EA"/>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409,500</w:t>
            </w:r>
          </w:p>
        </w:tc>
        <w:tc>
          <w:tcPr>
            <w:tcW w:w="64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60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66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60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860" w:type="dxa"/>
            <w:vAlign w:val="bottom"/>
            <w:shd w:val="clear" w:color="auto" w:fill="ABD8EA"/>
          </w:tcPr>
          <w:p>
            <w:pPr>
              <w:spacing w:after="0"/>
              <w:rPr>
                <w:sz w:val="13"/>
                <w:szCs w:val="13"/>
                <w:color w:val="auto"/>
              </w:rPr>
            </w:pPr>
          </w:p>
        </w:tc>
        <w:tc>
          <w:tcPr>
            <w:tcW w:w="60" w:type="dxa"/>
            <w:vAlign w:val="bottom"/>
            <w:shd w:val="clear" w:color="auto" w:fill="ABD8EA"/>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ABD8EA"/>
          </w:tcPr>
          <w:p>
            <w:pPr>
              <w:spacing w:after="0"/>
              <w:rPr>
                <w:sz w:val="12"/>
                <w:szCs w:val="12"/>
                <w:color w:val="auto"/>
              </w:rPr>
            </w:pPr>
          </w:p>
        </w:tc>
        <w:tc>
          <w:tcPr>
            <w:tcW w:w="120" w:type="dxa"/>
            <w:vAlign w:val="bottom"/>
            <w:shd w:val="clear" w:color="auto" w:fill="ABD8EA"/>
          </w:tcPr>
          <w:p>
            <w:pPr>
              <w:spacing w:after="0"/>
              <w:rPr>
                <w:sz w:val="12"/>
                <w:szCs w:val="12"/>
                <w:color w:val="auto"/>
              </w:rPr>
            </w:pPr>
          </w:p>
        </w:tc>
        <w:tc>
          <w:tcPr>
            <w:tcW w:w="1160" w:type="dxa"/>
            <w:vAlign w:val="bottom"/>
            <w:shd w:val="clear" w:color="auto" w:fill="ABD8EA"/>
          </w:tcPr>
          <w:p>
            <w:pPr>
              <w:spacing w:after="0" w:line="149" w:lineRule="exact"/>
              <w:rPr>
                <w:sz w:val="20"/>
                <w:szCs w:val="20"/>
                <w:color w:val="auto"/>
              </w:rPr>
            </w:pPr>
            <w:r>
              <w:rPr>
                <w:rFonts w:ascii="Times New Roman" w:cs="Times New Roman" w:eastAsia="Times New Roman" w:hAnsi="Times New Roman"/>
                <w:sz w:val="14"/>
                <w:szCs w:val="14"/>
                <w:color w:val="auto"/>
              </w:rPr>
              <w:t>PRSUs</w:t>
            </w:r>
          </w:p>
        </w:tc>
        <w:tc>
          <w:tcPr>
            <w:tcW w:w="700" w:type="dxa"/>
            <w:vAlign w:val="bottom"/>
            <w:gridSpan w:val="2"/>
            <w:shd w:val="clear" w:color="auto" w:fill="ABD8EA"/>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11/11/21</w:t>
            </w:r>
          </w:p>
        </w:tc>
        <w:tc>
          <w:tcPr>
            <w:tcW w:w="100" w:type="dxa"/>
            <w:vAlign w:val="bottom"/>
            <w:shd w:val="clear" w:color="auto" w:fill="ABD8EA"/>
          </w:tcPr>
          <w:p>
            <w:pPr>
              <w:spacing w:after="0"/>
              <w:rPr>
                <w:sz w:val="12"/>
                <w:szCs w:val="12"/>
                <w:color w:val="auto"/>
              </w:rPr>
            </w:pPr>
          </w:p>
        </w:tc>
        <w:tc>
          <w:tcPr>
            <w:tcW w:w="700" w:type="dxa"/>
            <w:vAlign w:val="bottom"/>
            <w:shd w:val="clear" w:color="auto" w:fill="ABD8EA"/>
          </w:tcPr>
          <w:p>
            <w:pPr>
              <w:spacing w:after="0"/>
              <w:rPr>
                <w:sz w:val="12"/>
                <w:szCs w:val="12"/>
                <w:color w:val="auto"/>
              </w:rPr>
            </w:pPr>
          </w:p>
        </w:tc>
        <w:tc>
          <w:tcPr>
            <w:tcW w:w="140" w:type="dxa"/>
            <w:vAlign w:val="bottom"/>
            <w:shd w:val="clear" w:color="auto" w:fill="ABD8EA"/>
          </w:tcPr>
          <w:p>
            <w:pPr>
              <w:spacing w:after="0"/>
              <w:rPr>
                <w:sz w:val="12"/>
                <w:szCs w:val="12"/>
                <w:color w:val="auto"/>
              </w:rPr>
            </w:pPr>
          </w:p>
        </w:tc>
        <w:tc>
          <w:tcPr>
            <w:tcW w:w="640" w:type="dxa"/>
            <w:vAlign w:val="bottom"/>
            <w:shd w:val="clear" w:color="auto" w:fill="ABD8EA"/>
          </w:tcPr>
          <w:p>
            <w:pPr>
              <w:spacing w:after="0"/>
              <w:rPr>
                <w:sz w:val="12"/>
                <w:szCs w:val="12"/>
                <w:color w:val="auto"/>
              </w:rPr>
            </w:pPr>
          </w:p>
        </w:tc>
        <w:tc>
          <w:tcPr>
            <w:tcW w:w="140" w:type="dxa"/>
            <w:vAlign w:val="bottom"/>
            <w:shd w:val="clear" w:color="auto" w:fill="ABD8EA"/>
          </w:tcPr>
          <w:p>
            <w:pPr>
              <w:spacing w:after="0"/>
              <w:rPr>
                <w:sz w:val="12"/>
                <w:szCs w:val="12"/>
                <w:color w:val="auto"/>
              </w:rPr>
            </w:pPr>
          </w:p>
        </w:tc>
        <w:tc>
          <w:tcPr>
            <w:tcW w:w="820" w:type="dxa"/>
            <w:vAlign w:val="bottom"/>
            <w:shd w:val="clear" w:color="auto" w:fill="ABD8EA"/>
          </w:tcPr>
          <w:p>
            <w:pPr>
              <w:spacing w:after="0"/>
              <w:rPr>
                <w:sz w:val="12"/>
                <w:szCs w:val="12"/>
                <w:color w:val="auto"/>
              </w:rPr>
            </w:pPr>
          </w:p>
        </w:tc>
        <w:tc>
          <w:tcPr>
            <w:tcW w:w="140" w:type="dxa"/>
            <w:vAlign w:val="bottom"/>
            <w:shd w:val="clear" w:color="auto" w:fill="ABD8EA"/>
          </w:tcPr>
          <w:p>
            <w:pPr>
              <w:spacing w:after="0"/>
              <w:rPr>
                <w:sz w:val="12"/>
                <w:szCs w:val="12"/>
                <w:color w:val="auto"/>
              </w:rPr>
            </w:pPr>
          </w:p>
        </w:tc>
        <w:tc>
          <w:tcPr>
            <w:tcW w:w="800" w:type="dxa"/>
            <w:vAlign w:val="bottom"/>
            <w:gridSpan w:val="2"/>
            <w:shd w:val="clear" w:color="auto" w:fill="ABD8EA"/>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5,337</w:t>
            </w:r>
          </w:p>
        </w:tc>
        <w:tc>
          <w:tcPr>
            <w:tcW w:w="760" w:type="dxa"/>
            <w:vAlign w:val="bottom"/>
            <w:gridSpan w:val="2"/>
            <w:shd w:val="clear" w:color="auto" w:fill="ABD8EA"/>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10,673</w:t>
            </w:r>
          </w:p>
        </w:tc>
        <w:tc>
          <w:tcPr>
            <w:tcW w:w="820" w:type="dxa"/>
            <w:vAlign w:val="bottom"/>
            <w:gridSpan w:val="2"/>
            <w:shd w:val="clear" w:color="auto" w:fill="ABD8EA"/>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27,750</w:t>
            </w:r>
          </w:p>
        </w:tc>
        <w:tc>
          <w:tcPr>
            <w:tcW w:w="600" w:type="dxa"/>
            <w:vAlign w:val="bottom"/>
            <w:shd w:val="clear" w:color="auto" w:fill="ABD8EA"/>
          </w:tcPr>
          <w:p>
            <w:pPr>
              <w:spacing w:after="0"/>
              <w:rPr>
                <w:sz w:val="12"/>
                <w:szCs w:val="12"/>
                <w:color w:val="auto"/>
              </w:rPr>
            </w:pPr>
          </w:p>
        </w:tc>
        <w:tc>
          <w:tcPr>
            <w:tcW w:w="160" w:type="dxa"/>
            <w:vAlign w:val="bottom"/>
            <w:shd w:val="clear" w:color="auto" w:fill="ABD8EA"/>
          </w:tcPr>
          <w:p>
            <w:pPr>
              <w:spacing w:after="0"/>
              <w:rPr>
                <w:sz w:val="12"/>
                <w:szCs w:val="12"/>
                <w:color w:val="auto"/>
              </w:rPr>
            </w:pPr>
          </w:p>
        </w:tc>
        <w:tc>
          <w:tcPr>
            <w:tcW w:w="920" w:type="dxa"/>
            <w:vAlign w:val="bottom"/>
            <w:gridSpan w:val="2"/>
            <w:shd w:val="clear" w:color="auto" w:fill="ABD8EA"/>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494,694</w:t>
            </w:r>
          </w:p>
        </w:tc>
        <w:tc>
          <w:tcPr>
            <w:tcW w:w="0" w:type="dxa"/>
            <w:vAlign w:val="bottom"/>
          </w:tcPr>
          <w:p>
            <w:pPr>
              <w:spacing w:after="0"/>
              <w:rPr>
                <w:sz w:val="1"/>
                <w:szCs w:val="1"/>
                <w:color w:val="auto"/>
              </w:rPr>
            </w:pPr>
          </w:p>
        </w:tc>
      </w:tr>
      <w:tr>
        <w:trPr>
          <w:trHeight w:val="198"/>
        </w:trPr>
        <w:tc>
          <w:tcPr>
            <w:tcW w:w="2300" w:type="dxa"/>
            <w:vAlign w:val="bottom"/>
            <w:shd w:val="clear" w:color="auto" w:fill="ABD8EA"/>
          </w:tcPr>
          <w:p>
            <w:pPr>
              <w:spacing w:after="0"/>
              <w:rPr>
                <w:sz w:val="17"/>
                <w:szCs w:val="17"/>
                <w:color w:val="auto"/>
              </w:rPr>
            </w:pPr>
          </w:p>
        </w:tc>
        <w:tc>
          <w:tcPr>
            <w:tcW w:w="120" w:type="dxa"/>
            <w:vAlign w:val="bottom"/>
            <w:shd w:val="clear" w:color="auto" w:fill="ABD8EA"/>
          </w:tcPr>
          <w:p>
            <w:pPr>
              <w:spacing w:after="0"/>
              <w:rPr>
                <w:sz w:val="17"/>
                <w:szCs w:val="17"/>
                <w:color w:val="auto"/>
              </w:rPr>
            </w:pPr>
          </w:p>
        </w:tc>
        <w:tc>
          <w:tcPr>
            <w:tcW w:w="1160" w:type="dxa"/>
            <w:vAlign w:val="bottom"/>
            <w:shd w:val="clear" w:color="auto" w:fill="ABD8EA"/>
          </w:tcPr>
          <w:p>
            <w:pPr>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gridSpan w:val="2"/>
            <w:shd w:val="clear" w:color="auto" w:fill="ABD8EA"/>
          </w:tcPr>
          <w:p>
            <w:pPr>
              <w:jc w:val="right"/>
              <w:ind w:right="37"/>
              <w:spacing w:after="0"/>
              <w:rPr>
                <w:sz w:val="20"/>
                <w:szCs w:val="20"/>
                <w:color w:val="auto"/>
              </w:rPr>
            </w:pPr>
            <w:r>
              <w:rPr>
                <w:rFonts w:ascii="Times New Roman" w:cs="Times New Roman" w:eastAsia="Times New Roman" w:hAnsi="Times New Roman"/>
                <w:sz w:val="14"/>
                <w:szCs w:val="14"/>
                <w:color w:val="auto"/>
              </w:rPr>
              <w:t>11/11/21</w:t>
            </w:r>
          </w:p>
        </w:tc>
        <w:tc>
          <w:tcPr>
            <w:tcW w:w="100" w:type="dxa"/>
            <w:vAlign w:val="bottom"/>
            <w:shd w:val="clear" w:color="auto" w:fill="ABD8EA"/>
          </w:tcPr>
          <w:p>
            <w:pPr>
              <w:spacing w:after="0"/>
              <w:rPr>
                <w:sz w:val="17"/>
                <w:szCs w:val="17"/>
                <w:color w:val="auto"/>
              </w:rPr>
            </w:pPr>
          </w:p>
        </w:tc>
        <w:tc>
          <w:tcPr>
            <w:tcW w:w="70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64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82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64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60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66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7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4"/>
                <w:szCs w:val="14"/>
                <w:color w:val="auto"/>
              </w:rPr>
              <w:t>10,586</w:t>
            </w:r>
          </w:p>
        </w:tc>
        <w:tc>
          <w:tcPr>
            <w:tcW w:w="92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4"/>
                <w:szCs w:val="14"/>
                <w:color w:val="auto"/>
              </w:rPr>
              <w:t>269,625</w:t>
            </w:r>
          </w:p>
        </w:tc>
        <w:tc>
          <w:tcPr>
            <w:tcW w:w="0" w:type="dxa"/>
            <w:vAlign w:val="bottom"/>
          </w:tcPr>
          <w:p>
            <w:pPr>
              <w:spacing w:after="0"/>
              <w:rPr>
                <w:sz w:val="1"/>
                <w:szCs w:val="1"/>
                <w:color w:val="auto"/>
              </w:rPr>
            </w:pPr>
          </w:p>
        </w:tc>
      </w:tr>
      <w:tr>
        <w:trPr>
          <w:trHeight w:val="153"/>
        </w:trPr>
        <w:tc>
          <w:tcPr>
            <w:tcW w:w="23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Douglas J. Cornille</w:t>
            </w:r>
          </w:p>
        </w:tc>
        <w:tc>
          <w:tcPr>
            <w:tcW w:w="128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Annual Incentive</w:t>
            </w:r>
          </w:p>
        </w:tc>
        <w:tc>
          <w:tcPr>
            <w:tcW w:w="7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11/11/21</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123,500</w:t>
            </w:r>
          </w:p>
        </w:tc>
        <w:tc>
          <w:tcPr>
            <w:tcW w:w="78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247,000</w:t>
            </w:r>
          </w:p>
        </w:tc>
        <w:tc>
          <w:tcPr>
            <w:tcW w:w="96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370,500</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4,979</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9,958</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25,891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461,553</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PRSUs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9,876</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color w:val="auto"/>
              </w:rPr>
              <w:t>11/11/21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251,542</w:t>
            </w:r>
          </w:p>
        </w:tc>
        <w:tc>
          <w:tcPr>
            <w:tcW w:w="0" w:type="dxa"/>
            <w:vAlign w:val="bottom"/>
          </w:tcPr>
          <w:p>
            <w:pPr>
              <w:spacing w:after="0"/>
              <w:rPr>
                <w:sz w:val="1"/>
                <w:szCs w:val="1"/>
                <w:color w:val="auto"/>
              </w:rPr>
            </w:pPr>
          </w:p>
        </w:tc>
      </w:tr>
      <w:tr>
        <w:trPr>
          <w:trHeight w:val="158"/>
        </w:trPr>
        <w:tc>
          <w:tcPr>
            <w:tcW w:w="2300" w:type="dxa"/>
            <w:vAlign w:val="bottom"/>
            <w:shd w:val="clear" w:color="auto" w:fill="ABD8EA"/>
          </w:tcPr>
          <w:p>
            <w:pPr>
              <w:spacing w:after="0" w:line="158" w:lineRule="exact"/>
              <w:rPr>
                <w:sz w:val="20"/>
                <w:szCs w:val="20"/>
                <w:color w:val="auto"/>
              </w:rPr>
            </w:pPr>
            <w:r>
              <w:rPr>
                <w:rFonts w:ascii="Times New Roman" w:cs="Times New Roman" w:eastAsia="Times New Roman" w:hAnsi="Times New Roman"/>
                <w:sz w:val="14"/>
                <w:szCs w:val="14"/>
                <w:color w:val="auto"/>
              </w:rPr>
              <w:t>Craig L. Rosenthal</w:t>
            </w:r>
          </w:p>
        </w:tc>
        <w:tc>
          <w:tcPr>
            <w:tcW w:w="120" w:type="dxa"/>
            <w:vAlign w:val="bottom"/>
            <w:shd w:val="clear" w:color="auto" w:fill="ABD8EA"/>
          </w:tcPr>
          <w:p>
            <w:pPr>
              <w:spacing w:after="0"/>
              <w:rPr>
                <w:sz w:val="13"/>
                <w:szCs w:val="13"/>
                <w:color w:val="auto"/>
              </w:rPr>
            </w:pPr>
          </w:p>
        </w:tc>
        <w:tc>
          <w:tcPr>
            <w:tcW w:w="1160" w:type="dxa"/>
            <w:vAlign w:val="bottom"/>
            <w:shd w:val="clear" w:color="auto" w:fill="ABD8EA"/>
          </w:tcPr>
          <w:p>
            <w:pPr>
              <w:spacing w:after="0" w:line="158" w:lineRule="exact"/>
              <w:rPr>
                <w:sz w:val="20"/>
                <w:szCs w:val="20"/>
                <w:color w:val="auto"/>
              </w:rPr>
            </w:pPr>
            <w:r>
              <w:rPr>
                <w:rFonts w:ascii="Times New Roman" w:cs="Times New Roman" w:eastAsia="Times New Roman" w:hAnsi="Times New Roman"/>
                <w:sz w:val="14"/>
                <w:szCs w:val="14"/>
                <w:color w:val="auto"/>
              </w:rPr>
              <w:t>Annual Incentive</w:t>
            </w:r>
          </w:p>
        </w:tc>
        <w:tc>
          <w:tcPr>
            <w:tcW w:w="100" w:type="dxa"/>
            <w:vAlign w:val="bottom"/>
            <w:shd w:val="clear" w:color="auto" w:fill="ABD8EA"/>
          </w:tcPr>
          <w:p>
            <w:pPr>
              <w:spacing w:after="0"/>
              <w:rPr>
                <w:sz w:val="13"/>
                <w:szCs w:val="13"/>
                <w:color w:val="auto"/>
              </w:rPr>
            </w:pPr>
          </w:p>
        </w:tc>
        <w:tc>
          <w:tcPr>
            <w:tcW w:w="600" w:type="dxa"/>
            <w:vAlign w:val="bottom"/>
            <w:shd w:val="clear" w:color="auto" w:fill="ABD8EA"/>
          </w:tcPr>
          <w:p>
            <w:pPr>
              <w:spacing w:after="0"/>
              <w:rPr>
                <w:sz w:val="13"/>
                <w:szCs w:val="13"/>
                <w:color w:val="auto"/>
              </w:rPr>
            </w:pPr>
          </w:p>
        </w:tc>
        <w:tc>
          <w:tcPr>
            <w:tcW w:w="100" w:type="dxa"/>
            <w:vAlign w:val="bottom"/>
            <w:shd w:val="clear" w:color="auto" w:fill="ABD8EA"/>
          </w:tcPr>
          <w:p>
            <w:pPr>
              <w:spacing w:after="0"/>
              <w:rPr>
                <w:sz w:val="13"/>
                <w:szCs w:val="13"/>
                <w:color w:val="auto"/>
              </w:rPr>
            </w:pPr>
          </w:p>
        </w:tc>
        <w:tc>
          <w:tcPr>
            <w:tcW w:w="840" w:type="dxa"/>
            <w:vAlign w:val="bottom"/>
            <w:gridSpan w:val="2"/>
            <w:shd w:val="clear" w:color="auto" w:fill="ABD8EA"/>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94,875</w:t>
            </w:r>
          </w:p>
        </w:tc>
        <w:tc>
          <w:tcPr>
            <w:tcW w:w="780" w:type="dxa"/>
            <w:vAlign w:val="bottom"/>
            <w:gridSpan w:val="2"/>
            <w:shd w:val="clear" w:color="auto" w:fill="ABD8EA"/>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189,750</w:t>
            </w:r>
          </w:p>
        </w:tc>
        <w:tc>
          <w:tcPr>
            <w:tcW w:w="960" w:type="dxa"/>
            <w:vAlign w:val="bottom"/>
            <w:gridSpan w:val="2"/>
            <w:shd w:val="clear" w:color="auto" w:fill="ABD8EA"/>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284,625</w:t>
            </w:r>
          </w:p>
        </w:tc>
        <w:tc>
          <w:tcPr>
            <w:tcW w:w="64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60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66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60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860" w:type="dxa"/>
            <w:vAlign w:val="bottom"/>
            <w:shd w:val="clear" w:color="auto" w:fill="ABD8EA"/>
          </w:tcPr>
          <w:p>
            <w:pPr>
              <w:spacing w:after="0"/>
              <w:rPr>
                <w:sz w:val="13"/>
                <w:szCs w:val="13"/>
                <w:color w:val="auto"/>
              </w:rPr>
            </w:pPr>
          </w:p>
        </w:tc>
        <w:tc>
          <w:tcPr>
            <w:tcW w:w="60" w:type="dxa"/>
            <w:vAlign w:val="bottom"/>
            <w:shd w:val="clear" w:color="auto" w:fill="ABD8EA"/>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ABD8EA"/>
          </w:tcPr>
          <w:p>
            <w:pPr>
              <w:spacing w:after="0"/>
              <w:rPr>
                <w:sz w:val="12"/>
                <w:szCs w:val="12"/>
                <w:color w:val="auto"/>
              </w:rPr>
            </w:pPr>
          </w:p>
        </w:tc>
        <w:tc>
          <w:tcPr>
            <w:tcW w:w="120" w:type="dxa"/>
            <w:vAlign w:val="bottom"/>
            <w:shd w:val="clear" w:color="auto" w:fill="ABD8EA"/>
          </w:tcPr>
          <w:p>
            <w:pPr>
              <w:spacing w:after="0"/>
              <w:rPr>
                <w:sz w:val="12"/>
                <w:szCs w:val="12"/>
                <w:color w:val="auto"/>
              </w:rPr>
            </w:pPr>
          </w:p>
        </w:tc>
        <w:tc>
          <w:tcPr>
            <w:tcW w:w="1160" w:type="dxa"/>
            <w:vAlign w:val="bottom"/>
            <w:shd w:val="clear" w:color="auto" w:fill="ABD8EA"/>
          </w:tcPr>
          <w:p>
            <w:pPr>
              <w:spacing w:after="0" w:line="149" w:lineRule="exact"/>
              <w:rPr>
                <w:sz w:val="20"/>
                <w:szCs w:val="20"/>
                <w:color w:val="auto"/>
              </w:rPr>
            </w:pPr>
            <w:r>
              <w:rPr>
                <w:rFonts w:ascii="Times New Roman" w:cs="Times New Roman" w:eastAsia="Times New Roman" w:hAnsi="Times New Roman"/>
                <w:sz w:val="14"/>
                <w:szCs w:val="14"/>
                <w:color w:val="auto"/>
              </w:rPr>
              <w:t>PRSUs</w:t>
            </w:r>
          </w:p>
        </w:tc>
        <w:tc>
          <w:tcPr>
            <w:tcW w:w="700" w:type="dxa"/>
            <w:vAlign w:val="bottom"/>
            <w:gridSpan w:val="2"/>
            <w:shd w:val="clear" w:color="auto" w:fill="ABD8EA"/>
          </w:tcPr>
          <w:p>
            <w:pPr>
              <w:jc w:val="right"/>
              <w:ind w:right="37"/>
              <w:spacing w:after="0" w:line="149" w:lineRule="exact"/>
              <w:rPr>
                <w:sz w:val="20"/>
                <w:szCs w:val="20"/>
                <w:color w:val="auto"/>
              </w:rPr>
            </w:pPr>
            <w:r>
              <w:rPr>
                <w:rFonts w:ascii="Times New Roman" w:cs="Times New Roman" w:eastAsia="Times New Roman" w:hAnsi="Times New Roman"/>
                <w:sz w:val="14"/>
                <w:szCs w:val="14"/>
                <w:color w:val="auto"/>
              </w:rPr>
              <w:t>11/11/21</w:t>
            </w:r>
          </w:p>
        </w:tc>
        <w:tc>
          <w:tcPr>
            <w:tcW w:w="100" w:type="dxa"/>
            <w:vAlign w:val="bottom"/>
            <w:shd w:val="clear" w:color="auto" w:fill="ABD8EA"/>
          </w:tcPr>
          <w:p>
            <w:pPr>
              <w:spacing w:after="0"/>
              <w:rPr>
                <w:sz w:val="12"/>
                <w:szCs w:val="12"/>
                <w:color w:val="auto"/>
              </w:rPr>
            </w:pPr>
          </w:p>
        </w:tc>
        <w:tc>
          <w:tcPr>
            <w:tcW w:w="700" w:type="dxa"/>
            <w:vAlign w:val="bottom"/>
            <w:shd w:val="clear" w:color="auto" w:fill="ABD8EA"/>
          </w:tcPr>
          <w:p>
            <w:pPr>
              <w:spacing w:after="0"/>
              <w:rPr>
                <w:sz w:val="12"/>
                <w:szCs w:val="12"/>
                <w:color w:val="auto"/>
              </w:rPr>
            </w:pPr>
          </w:p>
        </w:tc>
        <w:tc>
          <w:tcPr>
            <w:tcW w:w="140" w:type="dxa"/>
            <w:vAlign w:val="bottom"/>
            <w:shd w:val="clear" w:color="auto" w:fill="ABD8EA"/>
          </w:tcPr>
          <w:p>
            <w:pPr>
              <w:spacing w:after="0"/>
              <w:rPr>
                <w:sz w:val="12"/>
                <w:szCs w:val="12"/>
                <w:color w:val="auto"/>
              </w:rPr>
            </w:pPr>
          </w:p>
        </w:tc>
        <w:tc>
          <w:tcPr>
            <w:tcW w:w="640" w:type="dxa"/>
            <w:vAlign w:val="bottom"/>
            <w:shd w:val="clear" w:color="auto" w:fill="ABD8EA"/>
          </w:tcPr>
          <w:p>
            <w:pPr>
              <w:spacing w:after="0"/>
              <w:rPr>
                <w:sz w:val="12"/>
                <w:szCs w:val="12"/>
                <w:color w:val="auto"/>
              </w:rPr>
            </w:pPr>
          </w:p>
        </w:tc>
        <w:tc>
          <w:tcPr>
            <w:tcW w:w="140" w:type="dxa"/>
            <w:vAlign w:val="bottom"/>
            <w:shd w:val="clear" w:color="auto" w:fill="ABD8EA"/>
          </w:tcPr>
          <w:p>
            <w:pPr>
              <w:spacing w:after="0"/>
              <w:rPr>
                <w:sz w:val="12"/>
                <w:szCs w:val="12"/>
                <w:color w:val="auto"/>
              </w:rPr>
            </w:pPr>
          </w:p>
        </w:tc>
        <w:tc>
          <w:tcPr>
            <w:tcW w:w="820" w:type="dxa"/>
            <w:vAlign w:val="bottom"/>
            <w:shd w:val="clear" w:color="auto" w:fill="ABD8EA"/>
          </w:tcPr>
          <w:p>
            <w:pPr>
              <w:spacing w:after="0"/>
              <w:rPr>
                <w:sz w:val="12"/>
                <w:szCs w:val="12"/>
                <w:color w:val="auto"/>
              </w:rPr>
            </w:pPr>
          </w:p>
        </w:tc>
        <w:tc>
          <w:tcPr>
            <w:tcW w:w="140" w:type="dxa"/>
            <w:vAlign w:val="bottom"/>
            <w:shd w:val="clear" w:color="auto" w:fill="ABD8EA"/>
          </w:tcPr>
          <w:p>
            <w:pPr>
              <w:spacing w:after="0"/>
              <w:rPr>
                <w:sz w:val="12"/>
                <w:szCs w:val="12"/>
                <w:color w:val="auto"/>
              </w:rPr>
            </w:pPr>
          </w:p>
        </w:tc>
        <w:tc>
          <w:tcPr>
            <w:tcW w:w="800" w:type="dxa"/>
            <w:vAlign w:val="bottom"/>
            <w:gridSpan w:val="2"/>
            <w:shd w:val="clear" w:color="auto" w:fill="ABD8EA"/>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760" w:type="dxa"/>
            <w:vAlign w:val="bottom"/>
            <w:gridSpan w:val="2"/>
            <w:shd w:val="clear" w:color="auto" w:fill="ABD8EA"/>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8,110</w:t>
            </w:r>
          </w:p>
        </w:tc>
        <w:tc>
          <w:tcPr>
            <w:tcW w:w="820" w:type="dxa"/>
            <w:vAlign w:val="bottom"/>
            <w:gridSpan w:val="2"/>
            <w:shd w:val="clear" w:color="auto" w:fill="ABD8EA"/>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21,086</w:t>
            </w:r>
          </w:p>
        </w:tc>
        <w:tc>
          <w:tcPr>
            <w:tcW w:w="600" w:type="dxa"/>
            <w:vAlign w:val="bottom"/>
            <w:shd w:val="clear" w:color="auto" w:fill="ABD8EA"/>
          </w:tcPr>
          <w:p>
            <w:pPr>
              <w:spacing w:after="0"/>
              <w:rPr>
                <w:sz w:val="12"/>
                <w:szCs w:val="12"/>
                <w:color w:val="auto"/>
              </w:rPr>
            </w:pPr>
          </w:p>
        </w:tc>
        <w:tc>
          <w:tcPr>
            <w:tcW w:w="160" w:type="dxa"/>
            <w:vAlign w:val="bottom"/>
            <w:shd w:val="clear" w:color="auto" w:fill="ABD8EA"/>
          </w:tcPr>
          <w:p>
            <w:pPr>
              <w:spacing w:after="0"/>
              <w:rPr>
                <w:sz w:val="12"/>
                <w:szCs w:val="12"/>
                <w:color w:val="auto"/>
              </w:rPr>
            </w:pPr>
          </w:p>
        </w:tc>
        <w:tc>
          <w:tcPr>
            <w:tcW w:w="920" w:type="dxa"/>
            <w:vAlign w:val="bottom"/>
            <w:gridSpan w:val="2"/>
            <w:shd w:val="clear" w:color="auto" w:fill="ABD8EA"/>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375,899</w:t>
            </w:r>
          </w:p>
        </w:tc>
        <w:tc>
          <w:tcPr>
            <w:tcW w:w="0" w:type="dxa"/>
            <w:vAlign w:val="bottom"/>
          </w:tcPr>
          <w:p>
            <w:pPr>
              <w:spacing w:after="0"/>
              <w:rPr>
                <w:sz w:val="1"/>
                <w:szCs w:val="1"/>
                <w:color w:val="auto"/>
              </w:rPr>
            </w:pPr>
          </w:p>
        </w:tc>
      </w:tr>
      <w:tr>
        <w:trPr>
          <w:trHeight w:val="198"/>
        </w:trPr>
        <w:tc>
          <w:tcPr>
            <w:tcW w:w="2300" w:type="dxa"/>
            <w:vAlign w:val="bottom"/>
            <w:shd w:val="clear" w:color="auto" w:fill="ABD8EA"/>
          </w:tcPr>
          <w:p>
            <w:pPr>
              <w:spacing w:after="0"/>
              <w:rPr>
                <w:sz w:val="17"/>
                <w:szCs w:val="17"/>
                <w:color w:val="auto"/>
              </w:rPr>
            </w:pPr>
          </w:p>
        </w:tc>
        <w:tc>
          <w:tcPr>
            <w:tcW w:w="120" w:type="dxa"/>
            <w:vAlign w:val="bottom"/>
            <w:shd w:val="clear" w:color="auto" w:fill="ABD8EA"/>
          </w:tcPr>
          <w:p>
            <w:pPr>
              <w:spacing w:after="0"/>
              <w:rPr>
                <w:sz w:val="17"/>
                <w:szCs w:val="17"/>
                <w:color w:val="auto"/>
              </w:rPr>
            </w:pPr>
          </w:p>
        </w:tc>
        <w:tc>
          <w:tcPr>
            <w:tcW w:w="1160" w:type="dxa"/>
            <w:vAlign w:val="bottom"/>
            <w:shd w:val="clear" w:color="auto" w:fill="ABD8EA"/>
          </w:tcPr>
          <w:p>
            <w:pPr>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gridSpan w:val="2"/>
            <w:shd w:val="clear" w:color="auto" w:fill="ABD8EA"/>
          </w:tcPr>
          <w:p>
            <w:pPr>
              <w:jc w:val="right"/>
              <w:ind w:right="37"/>
              <w:spacing w:after="0"/>
              <w:rPr>
                <w:sz w:val="20"/>
                <w:szCs w:val="20"/>
                <w:color w:val="auto"/>
              </w:rPr>
            </w:pPr>
            <w:r>
              <w:rPr>
                <w:rFonts w:ascii="Times New Roman" w:cs="Times New Roman" w:eastAsia="Times New Roman" w:hAnsi="Times New Roman"/>
                <w:sz w:val="14"/>
                <w:szCs w:val="14"/>
                <w:color w:val="auto"/>
              </w:rPr>
              <w:t>11/11/21</w:t>
            </w:r>
          </w:p>
        </w:tc>
        <w:tc>
          <w:tcPr>
            <w:tcW w:w="100" w:type="dxa"/>
            <w:vAlign w:val="bottom"/>
            <w:shd w:val="clear" w:color="auto" w:fill="ABD8EA"/>
          </w:tcPr>
          <w:p>
            <w:pPr>
              <w:spacing w:after="0"/>
              <w:rPr>
                <w:sz w:val="17"/>
                <w:szCs w:val="17"/>
                <w:color w:val="auto"/>
              </w:rPr>
            </w:pPr>
          </w:p>
        </w:tc>
        <w:tc>
          <w:tcPr>
            <w:tcW w:w="70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64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82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64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60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66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7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4"/>
                <w:szCs w:val="14"/>
                <w:color w:val="auto"/>
              </w:rPr>
              <w:t>8,043</w:t>
            </w:r>
          </w:p>
        </w:tc>
        <w:tc>
          <w:tcPr>
            <w:tcW w:w="92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4"/>
                <w:szCs w:val="14"/>
                <w:color w:val="auto"/>
              </w:rPr>
              <w:t>204,855</w:t>
            </w:r>
          </w:p>
        </w:tc>
        <w:tc>
          <w:tcPr>
            <w:tcW w:w="0" w:type="dxa"/>
            <w:vAlign w:val="bottom"/>
          </w:tcPr>
          <w:p>
            <w:pPr>
              <w:spacing w:after="0"/>
              <w:rPr>
                <w:sz w:val="1"/>
                <w:szCs w:val="1"/>
                <w:color w:val="auto"/>
              </w:rPr>
            </w:pPr>
          </w:p>
        </w:tc>
      </w:tr>
      <w:tr>
        <w:trPr>
          <w:trHeight w:val="153"/>
        </w:trPr>
        <w:tc>
          <w:tcPr>
            <w:tcW w:w="23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Robin Singh</w:t>
            </w:r>
          </w:p>
        </w:tc>
        <w:tc>
          <w:tcPr>
            <w:tcW w:w="128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Annual Incentive</w:t>
            </w:r>
          </w:p>
        </w:tc>
        <w:tc>
          <w:tcPr>
            <w:tcW w:w="7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4"/>
                <w:szCs w:val="14"/>
                <w:color w:val="auto"/>
              </w:rPr>
              <w:t>11/11/21</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94,875</w:t>
            </w:r>
          </w:p>
        </w:tc>
        <w:tc>
          <w:tcPr>
            <w:tcW w:w="78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189,750</w:t>
            </w:r>
          </w:p>
        </w:tc>
        <w:tc>
          <w:tcPr>
            <w:tcW w:w="96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284,625</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8,988</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228,924</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right="60" w:hanging="424"/>
        <w:spacing w:after="0" w:line="269" w:lineRule="auto"/>
        <w:tabs>
          <w:tab w:leader="none" w:pos="5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columns consist of threshold, target and maximum annual incentive targets for fiscal year 2022 under our Senior Management Bonus Program. The “Threshold” column represents the amount payable to the NEO if the threshold performance level is achieved. If the threshold performance level is not achieved, the NEO may receive a lower cash award payout (to the extent discretion is exercised) or no cash award payout at all. The “Target” column represents the payout amount if the specified performance targets are achieved. The “Maximum” column represents the maximum payout possible. See the Summary Compensation Table for actual amounts paid under the Senior Management Bonus Program.</w:t>
      </w:r>
    </w:p>
    <w:p>
      <w:pPr>
        <w:spacing w:after="0" w:line="2"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the number of PRSUs granted in fiscal year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the number of RSUs granted in fiscal year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grant date fair value of equity awards calculated in accordance with FASB ASC Topic 718.</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September 30, 2022</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on exercisable and unexercisable options and unvested RSU awards held by our named executive officers on September 30, 2022.</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Plan</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0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Shares, Units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That</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or Other</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Have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That</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Not</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149"/>
        </w:trPr>
        <w:tc>
          <w:tcPr>
            <w:tcW w:w="3260" w:type="dxa"/>
            <w:vAlign w:val="bottom"/>
            <w:vMerge w:val="restart"/>
          </w:tcPr>
          <w:p>
            <w:pPr>
              <w:ind w:left="14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940" w:type="dxa"/>
            <w:vAlign w:val="bottom"/>
            <w:gridSpan w:val="2"/>
          </w:tcPr>
          <w:p>
            <w:pPr>
              <w:jc w:val="center"/>
              <w:ind w:left="149"/>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100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2"/>
                <w:szCs w:val="12"/>
                <w:b w:val="1"/>
                <w:bCs w:val="1"/>
                <w:color w:val="auto"/>
              </w:rPr>
              <w:t>Vested</w:t>
            </w:r>
            <w:r>
              <w:rPr>
                <w:rFonts w:ascii="Times New Roman" w:cs="Times New Roman" w:eastAsia="Times New Roman" w:hAnsi="Times New Roman"/>
                <w:sz w:val="17"/>
                <w:szCs w:val="17"/>
                <w:b w:val="1"/>
                <w:bCs w:val="1"/>
                <w:color w:val="auto"/>
                <w:vertAlign w:val="superscript"/>
              </w:rPr>
              <w:t>(10)</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65"/>
        </w:trPr>
        <w:tc>
          <w:tcPr>
            <w:tcW w:w="3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4"/>
                <w:szCs w:val="14"/>
                <w:color w:val="auto"/>
              </w:rPr>
            </w:pPr>
          </w:p>
        </w:tc>
        <w:tc>
          <w:tcPr>
            <w:tcW w:w="660" w:type="dxa"/>
            <w:vAlign w:val="bottom"/>
          </w:tcPr>
          <w:p>
            <w:pPr>
              <w:jc w:val="center"/>
              <w:spacing w:after="0" w:line="165" w:lineRule="exact"/>
              <w:rPr>
                <w:sz w:val="20"/>
                <w:szCs w:val="20"/>
                <w:color w:val="auto"/>
              </w:rPr>
            </w:pPr>
            <w:r>
              <w:rPr>
                <w:rFonts w:ascii="Times New Roman" w:cs="Times New Roman" w:eastAsia="Times New Roman" w:hAnsi="Times New Roman"/>
                <w:sz w:val="13"/>
                <w:szCs w:val="13"/>
                <w:b w:val="1"/>
                <w:bCs w:val="1"/>
                <w:color w:val="auto"/>
                <w:w w:val="95"/>
              </w:rPr>
              <w:t>Vested</w:t>
            </w:r>
            <w:r>
              <w:rPr>
                <w:rFonts w:ascii="Times New Roman" w:cs="Times New Roman" w:eastAsia="Times New Roman" w:hAnsi="Times New Roman"/>
                <w:sz w:val="19"/>
                <w:szCs w:val="19"/>
                <w:b w:val="1"/>
                <w:bCs w:val="1"/>
                <w:color w:val="auto"/>
                <w:w w:val="95"/>
                <w:vertAlign w:val="superscript"/>
              </w:rPr>
              <w:t>(10)</w:t>
            </w:r>
          </w:p>
        </w:tc>
        <w:tc>
          <w:tcPr>
            <w:tcW w:w="0" w:type="dxa"/>
            <w:vAlign w:val="bottom"/>
          </w:tcPr>
          <w:p>
            <w:pPr>
              <w:spacing w:after="0"/>
              <w:rPr>
                <w:sz w:val="1"/>
                <w:szCs w:val="1"/>
                <w:color w:val="auto"/>
              </w:rPr>
            </w:pPr>
          </w:p>
        </w:tc>
      </w:tr>
      <w:tr>
        <w:trPr>
          <w:trHeight w:val="20"/>
        </w:trPr>
        <w:tc>
          <w:tcPr>
            <w:tcW w:w="3260" w:type="dxa"/>
            <w:vAlign w:val="bottom"/>
            <w:shd w:val="clear" w:color="auto" w:fill="000000"/>
          </w:tcPr>
          <w:p>
            <w:pPr>
              <w:spacing w:after="0" w:line="20" w:lineRule="exact"/>
              <w:rPr>
                <w:sz w:val="1"/>
                <w:szCs w:val="1"/>
                <w:color w:val="auto"/>
              </w:rPr>
            </w:pPr>
          </w:p>
        </w:tc>
        <w:tc>
          <w:tcPr>
            <w:tcW w:w="220" w:type="dxa"/>
            <w:vAlign w:val="bottom"/>
            <w:shd w:val="clear" w:color="auto" w:fill="ABD8EA"/>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ABD8EA"/>
          </w:tcPr>
          <w:p>
            <w:pPr>
              <w:spacing w:after="0" w:line="20" w:lineRule="exact"/>
              <w:rPr>
                <w:sz w:val="1"/>
                <w:szCs w:val="1"/>
                <w:color w:val="auto"/>
              </w:rPr>
            </w:pPr>
          </w:p>
        </w:tc>
        <w:tc>
          <w:tcPr>
            <w:tcW w:w="200" w:type="dxa"/>
            <w:vAlign w:val="bottom"/>
            <w:shd w:val="clear" w:color="auto" w:fill="ABD8EA"/>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ABD8EA"/>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ABD8EA"/>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ABD8EA"/>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ABD8EA"/>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ABD8EA"/>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ABD8EA"/>
          </w:tcPr>
          <w:p>
            <w:pPr>
              <w:spacing w:after="0" w:line="20" w:lineRule="exact"/>
              <w:rPr>
                <w:sz w:val="1"/>
                <w:szCs w:val="1"/>
                <w:color w:val="auto"/>
              </w:rPr>
            </w:pPr>
          </w:p>
        </w:tc>
        <w:tc>
          <w:tcPr>
            <w:tcW w:w="660" w:type="dxa"/>
            <w:vAlign w:val="bottom"/>
            <w:tcBorders>
              <w:right w:val="single" w:sz="8" w:color="ABD8EA"/>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60" w:type="dxa"/>
            <w:vAlign w:val="bottom"/>
            <w:shd w:val="clear" w:color="auto" w:fill="ABD8EA"/>
          </w:tcPr>
          <w:p>
            <w:pPr>
              <w:spacing w:after="0" w:line="133" w:lineRule="exact"/>
              <w:rPr>
                <w:sz w:val="20"/>
                <w:szCs w:val="20"/>
                <w:color w:val="auto"/>
              </w:rPr>
            </w:pPr>
            <w:r>
              <w:rPr>
                <w:rFonts w:ascii="Times New Roman" w:cs="Times New Roman" w:eastAsia="Times New Roman" w:hAnsi="Times New Roman"/>
                <w:sz w:val="14"/>
                <w:szCs w:val="14"/>
                <w:color w:val="auto"/>
              </w:rPr>
              <w:t>Robert V. Vitale</w:t>
            </w:r>
            <w:r>
              <w:rPr>
                <w:rFonts w:ascii="Times New Roman" w:cs="Times New Roman" w:eastAsia="Times New Roman" w:hAnsi="Times New Roman"/>
                <w:sz w:val="10"/>
                <w:szCs w:val="10"/>
                <w:color w:val="auto"/>
              </w:rPr>
              <w:t>(1)</w:t>
            </w:r>
          </w:p>
        </w:tc>
        <w:tc>
          <w:tcPr>
            <w:tcW w:w="220" w:type="dxa"/>
            <w:vAlign w:val="bottom"/>
            <w:shd w:val="clear" w:color="auto" w:fill="ABD8EA"/>
          </w:tcPr>
          <w:p>
            <w:pPr>
              <w:spacing w:after="0"/>
              <w:rPr>
                <w:sz w:val="11"/>
                <w:szCs w:val="11"/>
                <w:color w:val="auto"/>
              </w:rPr>
            </w:pPr>
          </w:p>
        </w:tc>
        <w:tc>
          <w:tcPr>
            <w:tcW w:w="720" w:type="dxa"/>
            <w:vAlign w:val="bottom"/>
            <w:shd w:val="clear" w:color="auto" w:fill="ABD8EA"/>
          </w:tcPr>
          <w:p>
            <w:pPr>
              <w:jc w:val="center"/>
              <w:ind w:left="351"/>
              <w:spacing w:after="0" w:line="133"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ABD8EA"/>
          </w:tcPr>
          <w:p>
            <w:pPr>
              <w:spacing w:after="0"/>
              <w:rPr>
                <w:sz w:val="11"/>
                <w:szCs w:val="11"/>
                <w:color w:val="auto"/>
              </w:rPr>
            </w:pPr>
          </w:p>
        </w:tc>
        <w:tc>
          <w:tcPr>
            <w:tcW w:w="200" w:type="dxa"/>
            <w:vAlign w:val="bottom"/>
            <w:shd w:val="clear" w:color="auto" w:fill="ABD8EA"/>
          </w:tcPr>
          <w:p>
            <w:pPr>
              <w:spacing w:after="0"/>
              <w:rPr>
                <w:sz w:val="11"/>
                <w:szCs w:val="11"/>
                <w:color w:val="auto"/>
              </w:rPr>
            </w:pPr>
          </w:p>
        </w:tc>
        <w:tc>
          <w:tcPr>
            <w:tcW w:w="800" w:type="dxa"/>
            <w:vAlign w:val="bottom"/>
            <w:shd w:val="clear" w:color="auto" w:fill="ABD8EA"/>
          </w:tcPr>
          <w:p>
            <w:pPr>
              <w:jc w:val="center"/>
              <w:ind w:left="471"/>
              <w:spacing w:after="0" w:line="133"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shd w:val="clear" w:color="auto" w:fill="ABD8EA"/>
          </w:tcPr>
          <w:p>
            <w:pPr>
              <w:spacing w:after="0"/>
              <w:rPr>
                <w:sz w:val="11"/>
                <w:szCs w:val="11"/>
                <w:color w:val="auto"/>
              </w:rPr>
            </w:pPr>
          </w:p>
        </w:tc>
        <w:tc>
          <w:tcPr>
            <w:tcW w:w="480" w:type="dxa"/>
            <w:vAlign w:val="bottom"/>
            <w:shd w:val="clear" w:color="auto" w:fill="ABD8EA"/>
          </w:tcPr>
          <w:p>
            <w:pPr>
              <w:ind w:left="260"/>
              <w:spacing w:after="0" w:line="13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ABD8EA"/>
          </w:tcPr>
          <w:p>
            <w:pPr>
              <w:spacing w:after="0"/>
              <w:rPr>
                <w:sz w:val="11"/>
                <w:szCs w:val="11"/>
                <w:color w:val="auto"/>
              </w:rPr>
            </w:pPr>
          </w:p>
        </w:tc>
        <w:tc>
          <w:tcPr>
            <w:tcW w:w="700" w:type="dxa"/>
            <w:vAlign w:val="bottom"/>
            <w:shd w:val="clear" w:color="auto" w:fill="ABD8EA"/>
          </w:tcPr>
          <w:p>
            <w:pPr>
              <w:spacing w:after="0"/>
              <w:rPr>
                <w:sz w:val="11"/>
                <w:szCs w:val="11"/>
                <w:color w:val="auto"/>
              </w:rPr>
            </w:pPr>
          </w:p>
        </w:tc>
        <w:tc>
          <w:tcPr>
            <w:tcW w:w="260" w:type="dxa"/>
            <w:vAlign w:val="bottom"/>
            <w:shd w:val="clear" w:color="auto" w:fill="ABD8EA"/>
          </w:tcPr>
          <w:p>
            <w:pPr>
              <w:spacing w:after="0"/>
              <w:rPr>
                <w:sz w:val="11"/>
                <w:szCs w:val="11"/>
                <w:color w:val="auto"/>
              </w:rPr>
            </w:pPr>
          </w:p>
        </w:tc>
        <w:tc>
          <w:tcPr>
            <w:tcW w:w="500" w:type="dxa"/>
            <w:vAlign w:val="bottom"/>
            <w:shd w:val="clear" w:color="auto" w:fill="ABD8EA"/>
          </w:tcPr>
          <w:p>
            <w:pPr>
              <w:ind w:left="300"/>
              <w:spacing w:after="0" w:line="133"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ABD8EA"/>
          </w:tcPr>
          <w:p>
            <w:pPr>
              <w:spacing w:after="0"/>
              <w:rPr>
                <w:sz w:val="11"/>
                <w:szCs w:val="11"/>
                <w:color w:val="auto"/>
              </w:rPr>
            </w:pPr>
          </w:p>
        </w:tc>
        <w:tc>
          <w:tcPr>
            <w:tcW w:w="620" w:type="dxa"/>
            <w:vAlign w:val="bottom"/>
            <w:shd w:val="clear" w:color="auto" w:fill="ABD8EA"/>
          </w:tcPr>
          <w:p>
            <w:pPr>
              <w:spacing w:after="0"/>
              <w:rPr>
                <w:sz w:val="11"/>
                <w:szCs w:val="11"/>
                <w:color w:val="auto"/>
              </w:rPr>
            </w:pPr>
          </w:p>
        </w:tc>
        <w:tc>
          <w:tcPr>
            <w:tcW w:w="260" w:type="dxa"/>
            <w:vAlign w:val="bottom"/>
            <w:shd w:val="clear" w:color="auto" w:fill="ABD8EA"/>
          </w:tcPr>
          <w:p>
            <w:pPr>
              <w:spacing w:after="0"/>
              <w:rPr>
                <w:sz w:val="11"/>
                <w:szCs w:val="11"/>
                <w:color w:val="auto"/>
              </w:rPr>
            </w:pPr>
          </w:p>
        </w:tc>
        <w:tc>
          <w:tcPr>
            <w:tcW w:w="1160" w:type="dxa"/>
            <w:vAlign w:val="bottom"/>
            <w:gridSpan w:val="2"/>
            <w:shd w:val="clear" w:color="auto" w:fill="ABD8EA"/>
          </w:tcPr>
          <w:p>
            <w:pPr>
              <w:jc w:val="right"/>
              <w:ind w:right="260"/>
              <w:spacing w:after="0" w:line="133" w:lineRule="exact"/>
              <w:rPr>
                <w:sz w:val="20"/>
                <w:szCs w:val="20"/>
                <w:color w:val="auto"/>
              </w:rPr>
            </w:pPr>
            <w:r>
              <w:rPr>
                <w:rFonts w:ascii="Times New Roman" w:cs="Times New Roman" w:eastAsia="Times New Roman" w:hAnsi="Times New Roman"/>
                <w:sz w:val="14"/>
                <w:szCs w:val="14"/>
                <w:color w:val="auto"/>
              </w:rPr>
              <w:t>300,000</w:t>
            </w:r>
            <w:r>
              <w:rPr>
                <w:rFonts w:ascii="Times New Roman" w:cs="Times New Roman" w:eastAsia="Times New Roman" w:hAnsi="Times New Roman"/>
                <w:sz w:val="10"/>
                <w:szCs w:val="10"/>
                <w:color w:val="auto"/>
              </w:rPr>
              <w:t>(5)</w:t>
            </w:r>
          </w:p>
        </w:tc>
        <w:tc>
          <w:tcPr>
            <w:tcW w:w="660" w:type="dxa"/>
            <w:vAlign w:val="bottom"/>
            <w:tcBorders>
              <w:right w:val="single" w:sz="8" w:color="ABD8EA"/>
            </w:tcBorders>
            <w:shd w:val="clear" w:color="auto" w:fill="ABD8EA"/>
          </w:tcPr>
          <w:p>
            <w:pPr>
              <w:jc w:val="right"/>
              <w:spacing w:after="0" w:line="133" w:lineRule="exact"/>
              <w:rPr>
                <w:sz w:val="20"/>
                <w:szCs w:val="20"/>
                <w:color w:val="auto"/>
              </w:rPr>
            </w:pPr>
            <w:r>
              <w:rPr>
                <w:rFonts w:ascii="Times New Roman" w:cs="Times New Roman" w:eastAsia="Times New Roman" w:hAnsi="Times New Roman"/>
                <w:sz w:val="14"/>
                <w:szCs w:val="14"/>
                <w:color w:val="auto"/>
              </w:rPr>
              <w:t>6,183,000</w:t>
            </w:r>
          </w:p>
        </w:tc>
        <w:tc>
          <w:tcPr>
            <w:tcW w:w="0" w:type="dxa"/>
            <w:vAlign w:val="bottom"/>
          </w:tcPr>
          <w:p>
            <w:pPr>
              <w:spacing w:after="0"/>
              <w:rPr>
                <w:sz w:val="1"/>
                <w:szCs w:val="1"/>
                <w:color w:val="auto"/>
              </w:rPr>
            </w:pPr>
          </w:p>
        </w:tc>
      </w:tr>
      <w:tr>
        <w:trPr>
          <w:trHeight w:val="198"/>
        </w:trPr>
        <w:tc>
          <w:tcPr>
            <w:tcW w:w="3260" w:type="dxa"/>
            <w:vAlign w:val="bottom"/>
            <w:shd w:val="clear" w:color="auto" w:fill="ABD8EA"/>
          </w:tcPr>
          <w:p>
            <w:pPr>
              <w:spacing w:after="0"/>
              <w:rPr>
                <w:sz w:val="17"/>
                <w:szCs w:val="17"/>
                <w:color w:val="auto"/>
              </w:rPr>
            </w:pPr>
          </w:p>
        </w:tc>
        <w:tc>
          <w:tcPr>
            <w:tcW w:w="220" w:type="dxa"/>
            <w:vAlign w:val="bottom"/>
            <w:shd w:val="clear" w:color="auto" w:fill="ABD8EA"/>
          </w:tcPr>
          <w:p>
            <w:pPr>
              <w:spacing w:after="0"/>
              <w:rPr>
                <w:sz w:val="17"/>
                <w:szCs w:val="17"/>
                <w:color w:val="auto"/>
              </w:rPr>
            </w:pPr>
          </w:p>
        </w:tc>
        <w:tc>
          <w:tcPr>
            <w:tcW w:w="72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200" w:type="dxa"/>
            <w:vAlign w:val="bottom"/>
            <w:shd w:val="clear" w:color="auto" w:fill="ABD8EA"/>
          </w:tcPr>
          <w:p>
            <w:pPr>
              <w:spacing w:after="0"/>
              <w:rPr>
                <w:sz w:val="17"/>
                <w:szCs w:val="17"/>
                <w:color w:val="auto"/>
              </w:rPr>
            </w:pPr>
          </w:p>
        </w:tc>
        <w:tc>
          <w:tcPr>
            <w:tcW w:w="800" w:type="dxa"/>
            <w:vAlign w:val="bottom"/>
            <w:shd w:val="clear" w:color="auto" w:fill="ABD8EA"/>
          </w:tcPr>
          <w:p>
            <w:pPr>
              <w:spacing w:after="0"/>
              <w:rPr>
                <w:sz w:val="17"/>
                <w:szCs w:val="17"/>
                <w:color w:val="auto"/>
              </w:rPr>
            </w:pPr>
          </w:p>
        </w:tc>
        <w:tc>
          <w:tcPr>
            <w:tcW w:w="380" w:type="dxa"/>
            <w:vAlign w:val="bottom"/>
            <w:shd w:val="clear" w:color="auto" w:fill="ABD8EA"/>
          </w:tcPr>
          <w:p>
            <w:pPr>
              <w:spacing w:after="0"/>
              <w:rPr>
                <w:sz w:val="17"/>
                <w:szCs w:val="17"/>
                <w:color w:val="auto"/>
              </w:rPr>
            </w:pPr>
          </w:p>
        </w:tc>
        <w:tc>
          <w:tcPr>
            <w:tcW w:w="480" w:type="dxa"/>
            <w:vAlign w:val="bottom"/>
            <w:shd w:val="clear" w:color="auto" w:fill="ABD8EA"/>
          </w:tcPr>
          <w:p>
            <w:pPr>
              <w:spacing w:after="0"/>
              <w:rPr>
                <w:sz w:val="17"/>
                <w:szCs w:val="17"/>
                <w:color w:val="auto"/>
              </w:rPr>
            </w:pPr>
          </w:p>
        </w:tc>
        <w:tc>
          <w:tcPr>
            <w:tcW w:w="260" w:type="dxa"/>
            <w:vAlign w:val="bottom"/>
            <w:shd w:val="clear" w:color="auto" w:fill="ABD8EA"/>
          </w:tcPr>
          <w:p>
            <w:pPr>
              <w:spacing w:after="0"/>
              <w:rPr>
                <w:sz w:val="17"/>
                <w:szCs w:val="17"/>
                <w:color w:val="auto"/>
              </w:rPr>
            </w:pPr>
          </w:p>
        </w:tc>
        <w:tc>
          <w:tcPr>
            <w:tcW w:w="700" w:type="dxa"/>
            <w:vAlign w:val="bottom"/>
            <w:shd w:val="clear" w:color="auto" w:fill="ABD8EA"/>
          </w:tcPr>
          <w:p>
            <w:pPr>
              <w:spacing w:after="0"/>
              <w:rPr>
                <w:sz w:val="17"/>
                <w:szCs w:val="17"/>
                <w:color w:val="auto"/>
              </w:rPr>
            </w:pPr>
          </w:p>
        </w:tc>
        <w:tc>
          <w:tcPr>
            <w:tcW w:w="260" w:type="dxa"/>
            <w:vAlign w:val="bottom"/>
            <w:shd w:val="clear" w:color="auto" w:fill="ABD8EA"/>
          </w:tcPr>
          <w:p>
            <w:pPr>
              <w:spacing w:after="0"/>
              <w:rPr>
                <w:sz w:val="17"/>
                <w:szCs w:val="17"/>
                <w:color w:val="auto"/>
              </w:rPr>
            </w:pPr>
          </w:p>
        </w:tc>
        <w:tc>
          <w:tcPr>
            <w:tcW w:w="88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100,000</w:t>
            </w:r>
            <w:r>
              <w:rPr>
                <w:rFonts w:ascii="Times New Roman" w:cs="Times New Roman" w:eastAsia="Times New Roman" w:hAnsi="Times New Roman"/>
                <w:sz w:val="10"/>
                <w:szCs w:val="10"/>
                <w:color w:val="auto"/>
              </w:rPr>
              <w:t>(6)</w:t>
            </w:r>
          </w:p>
        </w:tc>
        <w:tc>
          <w:tcPr>
            <w:tcW w:w="8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2,061,000</w:t>
            </w:r>
          </w:p>
        </w:tc>
        <w:tc>
          <w:tcPr>
            <w:tcW w:w="780" w:type="dxa"/>
            <w:vAlign w:val="bottom"/>
            <w:shd w:val="clear" w:color="auto" w:fill="ABD8EA"/>
          </w:tcPr>
          <w:p>
            <w:pPr>
              <w:spacing w:after="0"/>
              <w:rPr>
                <w:sz w:val="17"/>
                <w:szCs w:val="17"/>
                <w:color w:val="auto"/>
              </w:rPr>
            </w:pPr>
          </w:p>
        </w:tc>
        <w:tc>
          <w:tcPr>
            <w:tcW w:w="380" w:type="dxa"/>
            <w:vAlign w:val="bottom"/>
            <w:shd w:val="clear" w:color="auto" w:fill="ABD8EA"/>
          </w:tcPr>
          <w:p>
            <w:pPr>
              <w:spacing w:after="0"/>
              <w:rPr>
                <w:sz w:val="17"/>
                <w:szCs w:val="17"/>
                <w:color w:val="auto"/>
              </w:rPr>
            </w:pPr>
          </w:p>
        </w:tc>
        <w:tc>
          <w:tcPr>
            <w:tcW w:w="660" w:type="dxa"/>
            <w:vAlign w:val="bottom"/>
            <w:tcBorders>
              <w:right w:val="single" w:sz="8" w:color="ABD8EA"/>
            </w:tcBorders>
            <w:shd w:val="clear" w:color="auto" w:fill="ABD8EA"/>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Darcy Horn Davenport</w:t>
            </w:r>
          </w:p>
        </w:tc>
        <w:tc>
          <w:tcPr>
            <w:tcW w:w="1100" w:type="dxa"/>
            <w:vAlign w:val="bottom"/>
            <w:gridSpan w:val="3"/>
          </w:tcPr>
          <w:p>
            <w:pPr>
              <w:jc w:val="center"/>
              <w:ind w:left="429"/>
              <w:spacing w:after="0" w:line="153" w:lineRule="exact"/>
              <w:rPr>
                <w:sz w:val="20"/>
                <w:szCs w:val="20"/>
                <w:color w:val="auto"/>
              </w:rPr>
            </w:pPr>
            <w:r>
              <w:rPr>
                <w:rFonts w:ascii="Times New Roman" w:cs="Times New Roman" w:eastAsia="Times New Roman" w:hAnsi="Times New Roman"/>
                <w:sz w:val="14"/>
                <w:szCs w:val="14"/>
                <w:color w:val="auto"/>
              </w:rPr>
              <w:t>14,828</w:t>
            </w:r>
            <w:r>
              <w:rPr>
                <w:rFonts w:ascii="Times New Roman" w:cs="Times New Roman" w:eastAsia="Times New Roman" w:hAnsi="Times New Roman"/>
                <w:sz w:val="10"/>
                <w:szCs w:val="10"/>
                <w:color w:val="auto"/>
              </w:rPr>
              <w:t>(2)</w:t>
            </w:r>
          </w:p>
        </w:tc>
        <w:tc>
          <w:tcPr>
            <w:tcW w:w="200" w:type="dxa"/>
            <w:vAlign w:val="bottom"/>
          </w:tcPr>
          <w:p>
            <w:pPr>
              <w:spacing w:after="0"/>
              <w:rPr>
                <w:sz w:val="13"/>
                <w:szCs w:val="13"/>
                <w:color w:val="auto"/>
              </w:rPr>
            </w:pPr>
          </w:p>
        </w:tc>
        <w:tc>
          <w:tcPr>
            <w:tcW w:w="1180" w:type="dxa"/>
            <w:vAlign w:val="bottom"/>
            <w:gridSpan w:val="2"/>
          </w:tcPr>
          <w:p>
            <w:pPr>
              <w:jc w:val="center"/>
              <w:ind w:left="91"/>
              <w:spacing w:after="0" w:line="153"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ind w:left="160"/>
              <w:spacing w:after="0" w:line="153" w:lineRule="exact"/>
              <w:rPr>
                <w:sz w:val="20"/>
                <w:szCs w:val="20"/>
                <w:color w:val="auto"/>
              </w:rPr>
            </w:pPr>
            <w:r>
              <w:rPr>
                <w:rFonts w:ascii="Times New Roman" w:cs="Times New Roman" w:eastAsia="Times New Roman" w:hAnsi="Times New Roman"/>
                <w:sz w:val="14"/>
                <w:szCs w:val="14"/>
                <w:color w:val="auto"/>
              </w:rPr>
              <w:t>48.10</w:t>
            </w:r>
          </w:p>
        </w:tc>
        <w:tc>
          <w:tcPr>
            <w:tcW w:w="96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11/14/2026</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46,096</w:t>
            </w:r>
            <w:r>
              <w:rPr>
                <w:rFonts w:ascii="Times New Roman" w:cs="Times New Roman" w:eastAsia="Times New Roman" w:hAnsi="Times New Roman"/>
                <w:sz w:val="10"/>
                <w:szCs w:val="10"/>
                <w:color w:val="auto"/>
              </w:rPr>
              <w:t>(6)</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950,039</w:t>
            </w:r>
          </w:p>
        </w:tc>
        <w:tc>
          <w:tcPr>
            <w:tcW w:w="116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120,843</w:t>
            </w:r>
            <w:r>
              <w:rPr>
                <w:rFonts w:ascii="Times New Roman" w:cs="Times New Roman" w:eastAsia="Times New Roman" w:hAnsi="Times New Roman"/>
                <w:sz w:val="10"/>
                <w:szCs w:val="10"/>
                <w:color w:val="auto"/>
              </w:rPr>
              <w:t>(5)</w:t>
            </w: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2,490,574</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100" w:type="dxa"/>
            <w:vAlign w:val="bottom"/>
            <w:gridSpan w:val="3"/>
          </w:tcPr>
          <w:p>
            <w:pPr>
              <w:jc w:val="center"/>
              <w:ind w:left="429"/>
              <w:spacing w:after="0" w:line="149" w:lineRule="exact"/>
              <w:rPr>
                <w:sz w:val="20"/>
                <w:szCs w:val="20"/>
                <w:color w:val="auto"/>
              </w:rPr>
            </w:pPr>
            <w:r>
              <w:rPr>
                <w:rFonts w:ascii="Times New Roman" w:cs="Times New Roman" w:eastAsia="Times New Roman" w:hAnsi="Times New Roman"/>
                <w:sz w:val="14"/>
                <w:szCs w:val="14"/>
                <w:color w:val="auto"/>
              </w:rPr>
              <w:t>23,688</w:t>
            </w:r>
            <w:r>
              <w:rPr>
                <w:rFonts w:ascii="Times New Roman" w:cs="Times New Roman" w:eastAsia="Times New Roman" w:hAnsi="Times New Roman"/>
                <w:sz w:val="10"/>
                <w:szCs w:val="10"/>
                <w:color w:val="auto"/>
              </w:rPr>
              <w:t>(2)</w:t>
            </w:r>
          </w:p>
        </w:tc>
        <w:tc>
          <w:tcPr>
            <w:tcW w:w="200" w:type="dxa"/>
            <w:vAlign w:val="bottom"/>
          </w:tcPr>
          <w:p>
            <w:pPr>
              <w:spacing w:after="0"/>
              <w:rPr>
                <w:sz w:val="12"/>
                <w:szCs w:val="12"/>
                <w:color w:val="auto"/>
              </w:rPr>
            </w:pPr>
          </w:p>
        </w:tc>
        <w:tc>
          <w:tcPr>
            <w:tcW w:w="1180" w:type="dxa"/>
            <w:vAlign w:val="bottom"/>
            <w:gridSpan w:val="2"/>
          </w:tcPr>
          <w:p>
            <w:pPr>
              <w:jc w:val="center"/>
              <w:ind w:left="91"/>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53.63</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12/1/2027</w:t>
            </w: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100" w:type="dxa"/>
            <w:vAlign w:val="bottom"/>
            <w:gridSpan w:val="3"/>
          </w:tcPr>
          <w:p>
            <w:pPr>
              <w:jc w:val="center"/>
              <w:ind w:left="429"/>
              <w:spacing w:after="0" w:line="149" w:lineRule="exact"/>
              <w:rPr>
                <w:sz w:val="20"/>
                <w:szCs w:val="20"/>
                <w:color w:val="auto"/>
              </w:rPr>
            </w:pPr>
            <w:r>
              <w:rPr>
                <w:rFonts w:ascii="Times New Roman" w:cs="Times New Roman" w:eastAsia="Times New Roman" w:hAnsi="Times New Roman"/>
                <w:sz w:val="14"/>
                <w:szCs w:val="14"/>
                <w:color w:val="auto"/>
              </w:rPr>
              <w:t>18,296</w:t>
            </w:r>
            <w:r>
              <w:rPr>
                <w:rFonts w:ascii="Times New Roman" w:cs="Times New Roman" w:eastAsia="Times New Roman" w:hAnsi="Times New Roman"/>
                <w:sz w:val="10"/>
                <w:szCs w:val="10"/>
                <w:color w:val="auto"/>
              </w:rPr>
              <w:t>(2)</w:t>
            </w:r>
          </w:p>
        </w:tc>
        <w:tc>
          <w:tcPr>
            <w:tcW w:w="200" w:type="dxa"/>
            <w:vAlign w:val="bottom"/>
          </w:tcPr>
          <w:p>
            <w:pPr>
              <w:spacing w:after="0"/>
              <w:rPr>
                <w:sz w:val="12"/>
                <w:szCs w:val="12"/>
                <w:color w:val="auto"/>
              </w:rPr>
            </w:pPr>
          </w:p>
        </w:tc>
        <w:tc>
          <w:tcPr>
            <w:tcW w:w="1180" w:type="dxa"/>
            <w:vAlign w:val="bottom"/>
            <w:gridSpan w:val="2"/>
          </w:tcPr>
          <w:p>
            <w:pPr>
              <w:jc w:val="center"/>
              <w:ind w:left="91"/>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62.10</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11/13/2028</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19,789</w:t>
            </w:r>
            <w:r>
              <w:rPr>
                <w:rFonts w:ascii="Times New Roman" w:cs="Times New Roman" w:eastAsia="Times New Roman" w:hAnsi="Times New Roman"/>
                <w:sz w:val="10"/>
                <w:szCs w:val="10"/>
                <w:color w:val="auto"/>
              </w:rPr>
              <w:t>(7)</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407,851</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00" w:type="dxa"/>
            <w:vAlign w:val="bottom"/>
            <w:gridSpan w:val="3"/>
          </w:tcPr>
          <w:p>
            <w:pPr>
              <w:jc w:val="center"/>
              <w:ind w:left="429"/>
              <w:spacing w:after="0" w:line="149" w:lineRule="exact"/>
              <w:rPr>
                <w:sz w:val="20"/>
                <w:szCs w:val="20"/>
                <w:color w:val="auto"/>
              </w:rPr>
            </w:pPr>
            <w:r>
              <w:rPr>
                <w:rFonts w:ascii="Times New Roman" w:cs="Times New Roman" w:eastAsia="Times New Roman" w:hAnsi="Times New Roman"/>
                <w:sz w:val="14"/>
                <w:szCs w:val="14"/>
                <w:color w:val="auto"/>
              </w:rPr>
              <w:t>44,000</w:t>
            </w:r>
            <w:r>
              <w:rPr>
                <w:rFonts w:ascii="Times New Roman" w:cs="Times New Roman" w:eastAsia="Times New Roman" w:hAnsi="Times New Roman"/>
                <w:sz w:val="10"/>
                <w:szCs w:val="10"/>
                <w:color w:val="auto"/>
              </w:rPr>
              <w:t>(3)</w:t>
            </w:r>
          </w:p>
        </w:tc>
        <w:tc>
          <w:tcPr>
            <w:tcW w:w="1380" w:type="dxa"/>
            <w:vAlign w:val="bottom"/>
            <w:gridSpan w:val="3"/>
          </w:tcPr>
          <w:p>
            <w:pPr>
              <w:jc w:val="center"/>
              <w:ind w:left="309"/>
              <w:spacing w:after="0" w:line="149" w:lineRule="exact"/>
              <w:rPr>
                <w:sz w:val="20"/>
                <w:szCs w:val="20"/>
                <w:color w:val="auto"/>
              </w:rPr>
            </w:pPr>
            <w:r>
              <w:rPr>
                <w:rFonts w:ascii="Times New Roman" w:cs="Times New Roman" w:eastAsia="Times New Roman" w:hAnsi="Times New Roman"/>
                <w:sz w:val="14"/>
                <w:szCs w:val="14"/>
                <w:color w:val="auto"/>
              </w:rPr>
              <w:t>40,873</w:t>
            </w:r>
            <w:r>
              <w:rPr>
                <w:rFonts w:ascii="Times New Roman" w:cs="Times New Roman" w:eastAsia="Times New Roman" w:hAnsi="Times New Roman"/>
                <w:sz w:val="10"/>
                <w:szCs w:val="10"/>
                <w:color w:val="auto"/>
              </w:rPr>
              <w:t>(3)</w:t>
            </w:r>
          </w:p>
        </w:tc>
        <w:tc>
          <w:tcPr>
            <w:tcW w:w="7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17.30</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11/20/2029</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29,612</w:t>
            </w:r>
            <w:r>
              <w:rPr>
                <w:rFonts w:ascii="Times New Roman" w:cs="Times New Roman" w:eastAsia="Times New Roman" w:hAnsi="Times New Roman"/>
                <w:sz w:val="10"/>
                <w:szCs w:val="10"/>
                <w:color w:val="auto"/>
              </w:rPr>
              <w:t>(8)</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610,303</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60" w:type="dxa"/>
            <w:vAlign w:val="bottom"/>
          </w:tcPr>
          <w:p>
            <w:pPr>
              <w:spacing w:after="0"/>
              <w:rPr>
                <w:sz w:val="16"/>
                <w:szCs w:val="16"/>
                <w:color w:val="auto"/>
              </w:rPr>
            </w:pPr>
          </w:p>
        </w:tc>
        <w:tc>
          <w:tcPr>
            <w:tcW w:w="1100" w:type="dxa"/>
            <w:vAlign w:val="bottom"/>
            <w:gridSpan w:val="3"/>
          </w:tcPr>
          <w:p>
            <w:pPr>
              <w:jc w:val="center"/>
              <w:ind w:left="429"/>
              <w:spacing w:after="0"/>
              <w:rPr>
                <w:sz w:val="20"/>
                <w:szCs w:val="20"/>
                <w:color w:val="auto"/>
              </w:rPr>
            </w:pPr>
            <w:r>
              <w:rPr>
                <w:rFonts w:ascii="Times New Roman" w:cs="Times New Roman" w:eastAsia="Times New Roman" w:hAnsi="Times New Roman"/>
                <w:sz w:val="14"/>
                <w:szCs w:val="14"/>
                <w:color w:val="auto"/>
              </w:rPr>
              <w:t>35,730</w:t>
            </w:r>
            <w:r>
              <w:rPr>
                <w:rFonts w:ascii="Times New Roman" w:cs="Times New Roman" w:eastAsia="Times New Roman" w:hAnsi="Times New Roman"/>
                <w:sz w:val="10"/>
                <w:szCs w:val="10"/>
                <w:color w:val="auto"/>
              </w:rPr>
              <w:t>(4)</w:t>
            </w:r>
          </w:p>
        </w:tc>
        <w:tc>
          <w:tcPr>
            <w:tcW w:w="1380" w:type="dxa"/>
            <w:vAlign w:val="bottom"/>
            <w:gridSpan w:val="3"/>
          </w:tcPr>
          <w:p>
            <w:pPr>
              <w:jc w:val="center"/>
              <w:ind w:left="309"/>
              <w:spacing w:after="0"/>
              <w:rPr>
                <w:sz w:val="20"/>
                <w:szCs w:val="20"/>
                <w:color w:val="auto"/>
              </w:rPr>
            </w:pPr>
            <w:r>
              <w:rPr>
                <w:rFonts w:ascii="Times New Roman" w:cs="Times New Roman" w:eastAsia="Times New Roman" w:hAnsi="Times New Roman"/>
                <w:sz w:val="14"/>
                <w:szCs w:val="14"/>
                <w:color w:val="auto"/>
              </w:rPr>
              <w:t>83,974</w:t>
            </w:r>
            <w:r>
              <w:rPr>
                <w:rFonts w:ascii="Times New Roman" w:cs="Times New Roman" w:eastAsia="Times New Roman" w:hAnsi="Times New Roman"/>
                <w:sz w:val="10"/>
                <w:szCs w:val="10"/>
                <w:color w:val="auto"/>
              </w:rPr>
              <w:t>(4)</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11/12/2030</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ABD8EA"/>
          </w:tcPr>
          <w:p>
            <w:pPr>
              <w:spacing w:after="0"/>
              <w:rPr>
                <w:sz w:val="20"/>
                <w:szCs w:val="20"/>
                <w:color w:val="auto"/>
              </w:rPr>
            </w:pPr>
            <w:r>
              <w:rPr>
                <w:rFonts w:ascii="Times New Roman" w:cs="Times New Roman" w:eastAsia="Times New Roman" w:hAnsi="Times New Roman"/>
                <w:sz w:val="14"/>
                <w:szCs w:val="14"/>
                <w:color w:val="auto"/>
              </w:rPr>
              <w:t>Paul A. Rode</w:t>
            </w:r>
          </w:p>
        </w:tc>
        <w:tc>
          <w:tcPr>
            <w:tcW w:w="220" w:type="dxa"/>
            <w:vAlign w:val="bottom"/>
            <w:shd w:val="clear" w:color="auto" w:fill="ABD8EA"/>
          </w:tcPr>
          <w:p>
            <w:pPr>
              <w:spacing w:after="0"/>
              <w:rPr>
                <w:sz w:val="15"/>
                <w:szCs w:val="15"/>
                <w:color w:val="auto"/>
              </w:rPr>
            </w:pPr>
          </w:p>
        </w:tc>
        <w:tc>
          <w:tcPr>
            <w:tcW w:w="880" w:type="dxa"/>
            <w:vAlign w:val="bottom"/>
            <w:gridSpan w:val="2"/>
            <w:shd w:val="clear" w:color="auto" w:fill="ABD8EA"/>
          </w:tcPr>
          <w:p>
            <w:pPr>
              <w:jc w:val="center"/>
              <w:ind w:left="211"/>
              <w:spacing w:after="0"/>
              <w:rPr>
                <w:sz w:val="20"/>
                <w:szCs w:val="20"/>
                <w:color w:val="auto"/>
              </w:rPr>
            </w:pPr>
            <w:r>
              <w:rPr>
                <w:rFonts w:ascii="Times New Roman" w:cs="Times New Roman" w:eastAsia="Times New Roman" w:hAnsi="Times New Roman"/>
                <w:sz w:val="14"/>
                <w:szCs w:val="14"/>
                <w:color w:val="auto"/>
              </w:rPr>
              <w:t>11,536</w:t>
            </w:r>
            <w:r>
              <w:rPr>
                <w:rFonts w:ascii="Times New Roman" w:cs="Times New Roman" w:eastAsia="Times New Roman" w:hAnsi="Times New Roman"/>
                <w:sz w:val="10"/>
                <w:szCs w:val="10"/>
                <w:color w:val="auto"/>
              </w:rPr>
              <w:t>(4)</w:t>
            </w:r>
          </w:p>
        </w:tc>
        <w:tc>
          <w:tcPr>
            <w:tcW w:w="1380" w:type="dxa"/>
            <w:vAlign w:val="bottom"/>
            <w:gridSpan w:val="3"/>
            <w:shd w:val="clear" w:color="auto" w:fill="ABD8EA"/>
          </w:tcPr>
          <w:p>
            <w:pPr>
              <w:jc w:val="center"/>
              <w:ind w:left="309"/>
              <w:spacing w:after="0"/>
              <w:rPr>
                <w:sz w:val="20"/>
                <w:szCs w:val="20"/>
                <w:color w:val="auto"/>
              </w:rPr>
            </w:pPr>
            <w:r>
              <w:rPr>
                <w:rFonts w:ascii="Times New Roman" w:cs="Times New Roman" w:eastAsia="Times New Roman" w:hAnsi="Times New Roman"/>
                <w:sz w:val="14"/>
                <w:szCs w:val="14"/>
                <w:color w:val="auto"/>
              </w:rPr>
              <w:t>27,114</w:t>
            </w:r>
            <w:r>
              <w:rPr>
                <w:rFonts w:ascii="Times New Roman" w:cs="Times New Roman" w:eastAsia="Times New Roman" w:hAnsi="Times New Roman"/>
                <w:sz w:val="10"/>
                <w:szCs w:val="10"/>
                <w:color w:val="auto"/>
              </w:rPr>
              <w:t>(4)</w:t>
            </w:r>
          </w:p>
        </w:tc>
        <w:tc>
          <w:tcPr>
            <w:tcW w:w="74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11/12/2030</w:t>
            </w:r>
          </w:p>
        </w:tc>
        <w:tc>
          <w:tcPr>
            <w:tcW w:w="88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2,966</w:t>
            </w:r>
            <w:r>
              <w:rPr>
                <w:rFonts w:ascii="Times New Roman" w:cs="Times New Roman" w:eastAsia="Times New Roman" w:hAnsi="Times New Roman"/>
                <w:sz w:val="10"/>
                <w:szCs w:val="10"/>
                <w:color w:val="auto"/>
              </w:rPr>
              <w:t>(9)</w:t>
            </w:r>
          </w:p>
        </w:tc>
        <w:tc>
          <w:tcPr>
            <w:tcW w:w="8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330,480</w:t>
            </w:r>
          </w:p>
        </w:tc>
        <w:tc>
          <w:tcPr>
            <w:tcW w:w="1160" w:type="dxa"/>
            <w:vAlign w:val="bottom"/>
            <w:gridSpan w:val="2"/>
            <w:vMerge w:val="restart"/>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27,750</w:t>
            </w:r>
            <w:r>
              <w:rPr>
                <w:rFonts w:ascii="Times New Roman" w:cs="Times New Roman" w:eastAsia="Times New Roman" w:hAnsi="Times New Roman"/>
                <w:sz w:val="10"/>
                <w:szCs w:val="10"/>
                <w:color w:val="auto"/>
              </w:rPr>
              <w:t>(5)</w:t>
            </w:r>
          </w:p>
        </w:tc>
        <w:tc>
          <w:tcPr>
            <w:tcW w:w="660" w:type="dxa"/>
            <w:vAlign w:val="bottom"/>
            <w:tcBorders>
              <w:right w:val="single" w:sz="8" w:color="ABD8EA"/>
            </w:tcBorders>
            <w:vMerge w:val="restart"/>
            <w:shd w:val="clear" w:color="auto" w:fill="ABD8EA"/>
          </w:tcPr>
          <w:p>
            <w:pPr>
              <w:jc w:val="right"/>
              <w:spacing w:after="0"/>
              <w:rPr>
                <w:sz w:val="20"/>
                <w:szCs w:val="20"/>
                <w:color w:val="auto"/>
              </w:rPr>
            </w:pPr>
            <w:r>
              <w:rPr>
                <w:rFonts w:ascii="Times New Roman" w:cs="Times New Roman" w:eastAsia="Times New Roman" w:hAnsi="Times New Roman"/>
                <w:sz w:val="14"/>
                <w:szCs w:val="14"/>
                <w:color w:val="auto"/>
              </w:rPr>
              <w:t>571,928</w:t>
            </w:r>
          </w:p>
        </w:tc>
        <w:tc>
          <w:tcPr>
            <w:tcW w:w="0" w:type="dxa"/>
            <w:vAlign w:val="bottom"/>
          </w:tcPr>
          <w:p>
            <w:pPr>
              <w:spacing w:after="0"/>
              <w:rPr>
                <w:sz w:val="1"/>
                <w:szCs w:val="1"/>
                <w:color w:val="auto"/>
              </w:rPr>
            </w:pPr>
          </w:p>
        </w:tc>
      </w:tr>
      <w:tr>
        <w:trPr>
          <w:trHeight w:val="148"/>
        </w:trPr>
        <w:tc>
          <w:tcPr>
            <w:tcW w:w="3260" w:type="dxa"/>
            <w:vAlign w:val="bottom"/>
            <w:shd w:val="clear" w:color="auto" w:fill="ABD8EA"/>
          </w:tcPr>
          <w:p>
            <w:pPr>
              <w:spacing w:after="0"/>
              <w:rPr>
                <w:sz w:val="12"/>
                <w:szCs w:val="12"/>
                <w:color w:val="auto"/>
              </w:rPr>
            </w:pPr>
          </w:p>
        </w:tc>
        <w:tc>
          <w:tcPr>
            <w:tcW w:w="220" w:type="dxa"/>
            <w:vAlign w:val="bottom"/>
            <w:shd w:val="clear" w:color="auto" w:fill="ABD8EA"/>
          </w:tcPr>
          <w:p>
            <w:pPr>
              <w:spacing w:after="0"/>
              <w:rPr>
                <w:sz w:val="12"/>
                <w:szCs w:val="12"/>
                <w:color w:val="auto"/>
              </w:rPr>
            </w:pPr>
          </w:p>
        </w:tc>
        <w:tc>
          <w:tcPr>
            <w:tcW w:w="720" w:type="dxa"/>
            <w:vAlign w:val="bottom"/>
            <w:shd w:val="clear" w:color="auto" w:fill="ABD8EA"/>
          </w:tcPr>
          <w:p>
            <w:pPr>
              <w:spacing w:after="0"/>
              <w:rPr>
                <w:sz w:val="12"/>
                <w:szCs w:val="12"/>
                <w:color w:val="auto"/>
              </w:rPr>
            </w:pPr>
          </w:p>
        </w:tc>
        <w:tc>
          <w:tcPr>
            <w:tcW w:w="160" w:type="dxa"/>
            <w:vAlign w:val="bottom"/>
            <w:shd w:val="clear" w:color="auto" w:fill="ABD8EA"/>
          </w:tcPr>
          <w:p>
            <w:pPr>
              <w:spacing w:after="0"/>
              <w:rPr>
                <w:sz w:val="12"/>
                <w:szCs w:val="12"/>
                <w:color w:val="auto"/>
              </w:rPr>
            </w:pPr>
          </w:p>
        </w:tc>
        <w:tc>
          <w:tcPr>
            <w:tcW w:w="200" w:type="dxa"/>
            <w:vAlign w:val="bottom"/>
            <w:shd w:val="clear" w:color="auto" w:fill="ABD8EA"/>
          </w:tcPr>
          <w:p>
            <w:pPr>
              <w:spacing w:after="0"/>
              <w:rPr>
                <w:sz w:val="12"/>
                <w:szCs w:val="12"/>
                <w:color w:val="auto"/>
              </w:rPr>
            </w:pPr>
          </w:p>
        </w:tc>
        <w:tc>
          <w:tcPr>
            <w:tcW w:w="800" w:type="dxa"/>
            <w:vAlign w:val="bottom"/>
            <w:shd w:val="clear" w:color="auto" w:fill="ABD8EA"/>
          </w:tcPr>
          <w:p>
            <w:pPr>
              <w:spacing w:after="0"/>
              <w:rPr>
                <w:sz w:val="12"/>
                <w:szCs w:val="12"/>
                <w:color w:val="auto"/>
              </w:rPr>
            </w:pPr>
          </w:p>
        </w:tc>
        <w:tc>
          <w:tcPr>
            <w:tcW w:w="380" w:type="dxa"/>
            <w:vAlign w:val="bottom"/>
            <w:shd w:val="clear" w:color="auto" w:fill="ABD8EA"/>
          </w:tcPr>
          <w:p>
            <w:pPr>
              <w:spacing w:after="0"/>
              <w:rPr>
                <w:sz w:val="12"/>
                <w:szCs w:val="12"/>
                <w:color w:val="auto"/>
              </w:rPr>
            </w:pPr>
          </w:p>
        </w:tc>
        <w:tc>
          <w:tcPr>
            <w:tcW w:w="480" w:type="dxa"/>
            <w:vAlign w:val="bottom"/>
            <w:shd w:val="clear" w:color="auto" w:fill="ABD8EA"/>
          </w:tcPr>
          <w:p>
            <w:pPr>
              <w:spacing w:after="0"/>
              <w:rPr>
                <w:sz w:val="12"/>
                <w:szCs w:val="12"/>
                <w:color w:val="auto"/>
              </w:rPr>
            </w:pPr>
          </w:p>
        </w:tc>
        <w:tc>
          <w:tcPr>
            <w:tcW w:w="260" w:type="dxa"/>
            <w:vAlign w:val="bottom"/>
            <w:shd w:val="clear" w:color="auto" w:fill="ABD8EA"/>
          </w:tcPr>
          <w:p>
            <w:pPr>
              <w:spacing w:after="0"/>
              <w:rPr>
                <w:sz w:val="12"/>
                <w:szCs w:val="12"/>
                <w:color w:val="auto"/>
              </w:rPr>
            </w:pPr>
          </w:p>
        </w:tc>
        <w:tc>
          <w:tcPr>
            <w:tcW w:w="700" w:type="dxa"/>
            <w:vAlign w:val="bottom"/>
            <w:shd w:val="clear" w:color="auto" w:fill="ABD8EA"/>
          </w:tcPr>
          <w:p>
            <w:pPr>
              <w:spacing w:after="0"/>
              <w:rPr>
                <w:sz w:val="12"/>
                <w:szCs w:val="12"/>
                <w:color w:val="auto"/>
              </w:rPr>
            </w:pPr>
          </w:p>
        </w:tc>
        <w:tc>
          <w:tcPr>
            <w:tcW w:w="260" w:type="dxa"/>
            <w:vAlign w:val="bottom"/>
            <w:shd w:val="clear" w:color="auto" w:fill="ABD8EA"/>
          </w:tcPr>
          <w:p>
            <w:pPr>
              <w:spacing w:after="0"/>
              <w:rPr>
                <w:sz w:val="12"/>
                <w:szCs w:val="12"/>
                <w:color w:val="auto"/>
              </w:rPr>
            </w:pPr>
          </w:p>
        </w:tc>
        <w:tc>
          <w:tcPr>
            <w:tcW w:w="880" w:type="dxa"/>
            <w:vAlign w:val="bottom"/>
            <w:gridSpan w:val="2"/>
            <w:vMerge w:val="restart"/>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10,586</w:t>
            </w:r>
            <w:r>
              <w:rPr>
                <w:rFonts w:ascii="Times New Roman" w:cs="Times New Roman" w:eastAsia="Times New Roman" w:hAnsi="Times New Roman"/>
                <w:sz w:val="10"/>
                <w:szCs w:val="10"/>
                <w:color w:val="auto"/>
              </w:rPr>
              <w:t>(6)</w:t>
            </w:r>
          </w:p>
        </w:tc>
        <w:tc>
          <w:tcPr>
            <w:tcW w:w="880" w:type="dxa"/>
            <w:vAlign w:val="bottom"/>
            <w:gridSpan w:val="2"/>
            <w:vMerge w:val="restart"/>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218,177</w:t>
            </w:r>
          </w:p>
        </w:tc>
        <w:tc>
          <w:tcPr>
            <w:tcW w:w="1160" w:type="dxa"/>
            <w:vAlign w:val="bottom"/>
            <w:gridSpan w:val="2"/>
            <w:vMerge w:val="continue"/>
            <w:shd w:val="clear" w:color="auto" w:fill="ABD8EA"/>
          </w:tcPr>
          <w:p>
            <w:pPr>
              <w:spacing w:after="0"/>
              <w:rPr>
                <w:sz w:val="12"/>
                <w:szCs w:val="12"/>
                <w:color w:val="auto"/>
              </w:rPr>
            </w:pPr>
          </w:p>
        </w:tc>
        <w:tc>
          <w:tcPr>
            <w:tcW w:w="660" w:type="dxa"/>
            <w:vAlign w:val="bottom"/>
            <w:tcBorders>
              <w:right w:val="single" w:sz="8" w:color="ABD8EA"/>
            </w:tcBorders>
            <w:vMerge w:val="continue"/>
            <w:shd w:val="clear" w:color="auto" w:fill="ABD8EA"/>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60" w:type="dxa"/>
            <w:vAlign w:val="bottom"/>
            <w:shd w:val="clear" w:color="auto" w:fill="ABD8EA"/>
          </w:tcPr>
          <w:p>
            <w:pPr>
              <w:spacing w:after="0"/>
              <w:rPr>
                <w:sz w:val="10"/>
                <w:szCs w:val="10"/>
                <w:color w:val="auto"/>
              </w:rPr>
            </w:pPr>
          </w:p>
        </w:tc>
        <w:tc>
          <w:tcPr>
            <w:tcW w:w="220" w:type="dxa"/>
            <w:vAlign w:val="bottom"/>
            <w:shd w:val="clear" w:color="auto" w:fill="ABD8EA"/>
          </w:tcPr>
          <w:p>
            <w:pPr>
              <w:spacing w:after="0"/>
              <w:rPr>
                <w:sz w:val="10"/>
                <w:szCs w:val="10"/>
                <w:color w:val="auto"/>
              </w:rPr>
            </w:pPr>
          </w:p>
        </w:tc>
        <w:tc>
          <w:tcPr>
            <w:tcW w:w="720" w:type="dxa"/>
            <w:vAlign w:val="bottom"/>
            <w:shd w:val="clear" w:color="auto" w:fill="ABD8EA"/>
          </w:tcPr>
          <w:p>
            <w:pPr>
              <w:spacing w:after="0"/>
              <w:rPr>
                <w:sz w:val="10"/>
                <w:szCs w:val="10"/>
                <w:color w:val="auto"/>
              </w:rPr>
            </w:pPr>
          </w:p>
        </w:tc>
        <w:tc>
          <w:tcPr>
            <w:tcW w:w="160" w:type="dxa"/>
            <w:vAlign w:val="bottom"/>
            <w:shd w:val="clear" w:color="auto" w:fill="ABD8EA"/>
          </w:tcPr>
          <w:p>
            <w:pPr>
              <w:spacing w:after="0"/>
              <w:rPr>
                <w:sz w:val="10"/>
                <w:szCs w:val="10"/>
                <w:color w:val="auto"/>
              </w:rPr>
            </w:pPr>
          </w:p>
        </w:tc>
        <w:tc>
          <w:tcPr>
            <w:tcW w:w="200" w:type="dxa"/>
            <w:vAlign w:val="bottom"/>
            <w:shd w:val="clear" w:color="auto" w:fill="ABD8EA"/>
          </w:tcPr>
          <w:p>
            <w:pPr>
              <w:spacing w:after="0"/>
              <w:rPr>
                <w:sz w:val="10"/>
                <w:szCs w:val="10"/>
                <w:color w:val="auto"/>
              </w:rPr>
            </w:pPr>
          </w:p>
        </w:tc>
        <w:tc>
          <w:tcPr>
            <w:tcW w:w="800" w:type="dxa"/>
            <w:vAlign w:val="bottom"/>
            <w:shd w:val="clear" w:color="auto" w:fill="ABD8EA"/>
          </w:tcPr>
          <w:p>
            <w:pPr>
              <w:spacing w:after="0"/>
              <w:rPr>
                <w:sz w:val="10"/>
                <w:szCs w:val="10"/>
                <w:color w:val="auto"/>
              </w:rPr>
            </w:pPr>
          </w:p>
        </w:tc>
        <w:tc>
          <w:tcPr>
            <w:tcW w:w="380" w:type="dxa"/>
            <w:vAlign w:val="bottom"/>
            <w:shd w:val="clear" w:color="auto" w:fill="ABD8EA"/>
          </w:tcPr>
          <w:p>
            <w:pPr>
              <w:spacing w:after="0"/>
              <w:rPr>
                <w:sz w:val="10"/>
                <w:szCs w:val="10"/>
                <w:color w:val="auto"/>
              </w:rPr>
            </w:pPr>
          </w:p>
        </w:tc>
        <w:tc>
          <w:tcPr>
            <w:tcW w:w="480" w:type="dxa"/>
            <w:vAlign w:val="bottom"/>
            <w:shd w:val="clear" w:color="auto" w:fill="ABD8EA"/>
          </w:tcPr>
          <w:p>
            <w:pPr>
              <w:spacing w:after="0"/>
              <w:rPr>
                <w:sz w:val="10"/>
                <w:szCs w:val="10"/>
                <w:color w:val="auto"/>
              </w:rPr>
            </w:pPr>
          </w:p>
        </w:tc>
        <w:tc>
          <w:tcPr>
            <w:tcW w:w="260" w:type="dxa"/>
            <w:vAlign w:val="bottom"/>
            <w:shd w:val="clear" w:color="auto" w:fill="ABD8EA"/>
          </w:tcPr>
          <w:p>
            <w:pPr>
              <w:spacing w:after="0"/>
              <w:rPr>
                <w:sz w:val="10"/>
                <w:szCs w:val="10"/>
                <w:color w:val="auto"/>
              </w:rPr>
            </w:pPr>
          </w:p>
        </w:tc>
        <w:tc>
          <w:tcPr>
            <w:tcW w:w="700" w:type="dxa"/>
            <w:vAlign w:val="bottom"/>
            <w:shd w:val="clear" w:color="auto" w:fill="ABD8EA"/>
          </w:tcPr>
          <w:p>
            <w:pPr>
              <w:spacing w:after="0"/>
              <w:rPr>
                <w:sz w:val="10"/>
                <w:szCs w:val="10"/>
                <w:color w:val="auto"/>
              </w:rPr>
            </w:pPr>
          </w:p>
        </w:tc>
        <w:tc>
          <w:tcPr>
            <w:tcW w:w="260" w:type="dxa"/>
            <w:vAlign w:val="bottom"/>
            <w:shd w:val="clear" w:color="auto" w:fill="ABD8EA"/>
          </w:tcPr>
          <w:p>
            <w:pPr>
              <w:spacing w:after="0"/>
              <w:rPr>
                <w:sz w:val="10"/>
                <w:szCs w:val="10"/>
                <w:color w:val="auto"/>
              </w:rPr>
            </w:pPr>
          </w:p>
        </w:tc>
        <w:tc>
          <w:tcPr>
            <w:tcW w:w="880" w:type="dxa"/>
            <w:vAlign w:val="bottom"/>
            <w:gridSpan w:val="2"/>
            <w:vMerge w:val="continue"/>
            <w:shd w:val="clear" w:color="auto" w:fill="ABD8EA"/>
          </w:tcPr>
          <w:p>
            <w:pPr>
              <w:spacing w:after="0"/>
              <w:rPr>
                <w:sz w:val="10"/>
                <w:szCs w:val="10"/>
                <w:color w:val="auto"/>
              </w:rPr>
            </w:pPr>
          </w:p>
        </w:tc>
        <w:tc>
          <w:tcPr>
            <w:tcW w:w="880" w:type="dxa"/>
            <w:vAlign w:val="bottom"/>
            <w:gridSpan w:val="2"/>
            <w:vMerge w:val="continue"/>
            <w:shd w:val="clear" w:color="auto" w:fill="ABD8EA"/>
          </w:tcPr>
          <w:p>
            <w:pPr>
              <w:spacing w:after="0"/>
              <w:rPr>
                <w:sz w:val="10"/>
                <w:szCs w:val="10"/>
                <w:color w:val="auto"/>
              </w:rPr>
            </w:pPr>
          </w:p>
        </w:tc>
        <w:tc>
          <w:tcPr>
            <w:tcW w:w="780" w:type="dxa"/>
            <w:vAlign w:val="bottom"/>
            <w:shd w:val="clear" w:color="auto" w:fill="ABD8EA"/>
          </w:tcPr>
          <w:p>
            <w:pPr>
              <w:spacing w:after="0"/>
              <w:rPr>
                <w:sz w:val="10"/>
                <w:szCs w:val="10"/>
                <w:color w:val="auto"/>
              </w:rPr>
            </w:pPr>
          </w:p>
        </w:tc>
        <w:tc>
          <w:tcPr>
            <w:tcW w:w="380" w:type="dxa"/>
            <w:vAlign w:val="bottom"/>
            <w:shd w:val="clear" w:color="auto" w:fill="ABD8EA"/>
          </w:tcPr>
          <w:p>
            <w:pPr>
              <w:spacing w:after="0"/>
              <w:rPr>
                <w:sz w:val="10"/>
                <w:szCs w:val="10"/>
                <w:color w:val="auto"/>
              </w:rPr>
            </w:pPr>
          </w:p>
        </w:tc>
        <w:tc>
          <w:tcPr>
            <w:tcW w:w="660" w:type="dxa"/>
            <w:vAlign w:val="bottom"/>
            <w:tcBorders>
              <w:right w:val="single" w:sz="8" w:color="ABD8EA"/>
            </w:tcBorders>
            <w:shd w:val="clear" w:color="auto" w:fill="ABD8EA"/>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ABD8EA"/>
          </w:tcPr>
          <w:p>
            <w:pPr>
              <w:spacing w:after="0"/>
              <w:rPr>
                <w:sz w:val="12"/>
                <w:szCs w:val="12"/>
                <w:color w:val="auto"/>
              </w:rPr>
            </w:pPr>
          </w:p>
        </w:tc>
        <w:tc>
          <w:tcPr>
            <w:tcW w:w="220" w:type="dxa"/>
            <w:vAlign w:val="bottom"/>
            <w:shd w:val="clear" w:color="auto" w:fill="ABD8EA"/>
          </w:tcPr>
          <w:p>
            <w:pPr>
              <w:spacing w:after="0"/>
              <w:rPr>
                <w:sz w:val="12"/>
                <w:szCs w:val="12"/>
                <w:color w:val="auto"/>
              </w:rPr>
            </w:pPr>
          </w:p>
        </w:tc>
        <w:tc>
          <w:tcPr>
            <w:tcW w:w="720" w:type="dxa"/>
            <w:vAlign w:val="bottom"/>
            <w:shd w:val="clear" w:color="auto" w:fill="ABD8EA"/>
          </w:tcPr>
          <w:p>
            <w:pPr>
              <w:spacing w:after="0"/>
              <w:rPr>
                <w:sz w:val="12"/>
                <w:szCs w:val="12"/>
                <w:color w:val="auto"/>
              </w:rPr>
            </w:pPr>
          </w:p>
        </w:tc>
        <w:tc>
          <w:tcPr>
            <w:tcW w:w="160" w:type="dxa"/>
            <w:vAlign w:val="bottom"/>
            <w:shd w:val="clear" w:color="auto" w:fill="ABD8EA"/>
          </w:tcPr>
          <w:p>
            <w:pPr>
              <w:spacing w:after="0"/>
              <w:rPr>
                <w:sz w:val="12"/>
                <w:szCs w:val="12"/>
                <w:color w:val="auto"/>
              </w:rPr>
            </w:pPr>
          </w:p>
        </w:tc>
        <w:tc>
          <w:tcPr>
            <w:tcW w:w="200" w:type="dxa"/>
            <w:vAlign w:val="bottom"/>
            <w:shd w:val="clear" w:color="auto" w:fill="ABD8EA"/>
          </w:tcPr>
          <w:p>
            <w:pPr>
              <w:spacing w:after="0"/>
              <w:rPr>
                <w:sz w:val="12"/>
                <w:szCs w:val="12"/>
                <w:color w:val="auto"/>
              </w:rPr>
            </w:pPr>
          </w:p>
        </w:tc>
        <w:tc>
          <w:tcPr>
            <w:tcW w:w="800" w:type="dxa"/>
            <w:vAlign w:val="bottom"/>
            <w:shd w:val="clear" w:color="auto" w:fill="ABD8EA"/>
          </w:tcPr>
          <w:p>
            <w:pPr>
              <w:spacing w:after="0"/>
              <w:rPr>
                <w:sz w:val="12"/>
                <w:szCs w:val="12"/>
                <w:color w:val="auto"/>
              </w:rPr>
            </w:pPr>
          </w:p>
        </w:tc>
        <w:tc>
          <w:tcPr>
            <w:tcW w:w="380" w:type="dxa"/>
            <w:vAlign w:val="bottom"/>
            <w:shd w:val="clear" w:color="auto" w:fill="ABD8EA"/>
          </w:tcPr>
          <w:p>
            <w:pPr>
              <w:spacing w:after="0"/>
              <w:rPr>
                <w:sz w:val="12"/>
                <w:szCs w:val="12"/>
                <w:color w:val="auto"/>
              </w:rPr>
            </w:pPr>
          </w:p>
        </w:tc>
        <w:tc>
          <w:tcPr>
            <w:tcW w:w="480" w:type="dxa"/>
            <w:vAlign w:val="bottom"/>
            <w:shd w:val="clear" w:color="auto" w:fill="ABD8EA"/>
          </w:tcPr>
          <w:p>
            <w:pPr>
              <w:spacing w:after="0"/>
              <w:rPr>
                <w:sz w:val="12"/>
                <w:szCs w:val="12"/>
                <w:color w:val="auto"/>
              </w:rPr>
            </w:pPr>
          </w:p>
        </w:tc>
        <w:tc>
          <w:tcPr>
            <w:tcW w:w="260" w:type="dxa"/>
            <w:vAlign w:val="bottom"/>
            <w:shd w:val="clear" w:color="auto" w:fill="ABD8EA"/>
          </w:tcPr>
          <w:p>
            <w:pPr>
              <w:spacing w:after="0"/>
              <w:rPr>
                <w:sz w:val="12"/>
                <w:szCs w:val="12"/>
                <w:color w:val="auto"/>
              </w:rPr>
            </w:pPr>
          </w:p>
        </w:tc>
        <w:tc>
          <w:tcPr>
            <w:tcW w:w="700" w:type="dxa"/>
            <w:vAlign w:val="bottom"/>
            <w:shd w:val="clear" w:color="auto" w:fill="ABD8EA"/>
          </w:tcPr>
          <w:p>
            <w:pPr>
              <w:spacing w:after="0"/>
              <w:rPr>
                <w:sz w:val="12"/>
                <w:szCs w:val="12"/>
                <w:color w:val="auto"/>
              </w:rPr>
            </w:pPr>
          </w:p>
        </w:tc>
        <w:tc>
          <w:tcPr>
            <w:tcW w:w="260" w:type="dxa"/>
            <w:vAlign w:val="bottom"/>
            <w:shd w:val="clear" w:color="auto" w:fill="ABD8EA"/>
          </w:tcPr>
          <w:p>
            <w:pPr>
              <w:spacing w:after="0"/>
              <w:rPr>
                <w:sz w:val="12"/>
                <w:szCs w:val="12"/>
                <w:color w:val="auto"/>
              </w:rPr>
            </w:pPr>
          </w:p>
        </w:tc>
        <w:tc>
          <w:tcPr>
            <w:tcW w:w="880" w:type="dxa"/>
            <w:vAlign w:val="bottom"/>
            <w:gridSpan w:val="2"/>
            <w:shd w:val="clear" w:color="auto" w:fill="ABD8EA"/>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12,008</w:t>
            </w:r>
            <w:r>
              <w:rPr>
                <w:rFonts w:ascii="Times New Roman" w:cs="Times New Roman" w:eastAsia="Times New Roman" w:hAnsi="Times New Roman"/>
                <w:sz w:val="10"/>
                <w:szCs w:val="10"/>
                <w:color w:val="auto"/>
              </w:rPr>
              <w:t>(7)</w:t>
            </w:r>
          </w:p>
        </w:tc>
        <w:tc>
          <w:tcPr>
            <w:tcW w:w="880" w:type="dxa"/>
            <w:vAlign w:val="bottom"/>
            <w:gridSpan w:val="2"/>
            <w:shd w:val="clear" w:color="auto" w:fill="ABD8EA"/>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247,475</w:t>
            </w:r>
          </w:p>
        </w:tc>
        <w:tc>
          <w:tcPr>
            <w:tcW w:w="780" w:type="dxa"/>
            <w:vAlign w:val="bottom"/>
            <w:shd w:val="clear" w:color="auto" w:fill="ABD8EA"/>
          </w:tcPr>
          <w:p>
            <w:pPr>
              <w:spacing w:after="0"/>
              <w:rPr>
                <w:sz w:val="12"/>
                <w:szCs w:val="12"/>
                <w:color w:val="auto"/>
              </w:rPr>
            </w:pPr>
          </w:p>
        </w:tc>
        <w:tc>
          <w:tcPr>
            <w:tcW w:w="380" w:type="dxa"/>
            <w:vAlign w:val="bottom"/>
            <w:shd w:val="clear" w:color="auto" w:fill="ABD8EA"/>
          </w:tcPr>
          <w:p>
            <w:pPr>
              <w:spacing w:after="0"/>
              <w:rPr>
                <w:sz w:val="12"/>
                <w:szCs w:val="12"/>
                <w:color w:val="auto"/>
              </w:rPr>
            </w:pPr>
          </w:p>
        </w:tc>
        <w:tc>
          <w:tcPr>
            <w:tcW w:w="660" w:type="dxa"/>
            <w:vAlign w:val="bottom"/>
            <w:tcBorders>
              <w:right w:val="single" w:sz="8" w:color="ABD8EA"/>
            </w:tcBorders>
            <w:shd w:val="clear" w:color="auto" w:fill="ABD8EA"/>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ABD8EA"/>
          </w:tcPr>
          <w:p>
            <w:pPr>
              <w:spacing w:after="0"/>
              <w:rPr>
                <w:sz w:val="17"/>
                <w:szCs w:val="17"/>
                <w:color w:val="auto"/>
              </w:rPr>
            </w:pPr>
          </w:p>
        </w:tc>
        <w:tc>
          <w:tcPr>
            <w:tcW w:w="220" w:type="dxa"/>
            <w:vAlign w:val="bottom"/>
            <w:shd w:val="clear" w:color="auto" w:fill="ABD8EA"/>
          </w:tcPr>
          <w:p>
            <w:pPr>
              <w:spacing w:after="0"/>
              <w:rPr>
                <w:sz w:val="17"/>
                <w:szCs w:val="17"/>
                <w:color w:val="auto"/>
              </w:rPr>
            </w:pPr>
          </w:p>
        </w:tc>
        <w:tc>
          <w:tcPr>
            <w:tcW w:w="72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200" w:type="dxa"/>
            <w:vAlign w:val="bottom"/>
            <w:shd w:val="clear" w:color="auto" w:fill="ABD8EA"/>
          </w:tcPr>
          <w:p>
            <w:pPr>
              <w:spacing w:after="0"/>
              <w:rPr>
                <w:sz w:val="17"/>
                <w:szCs w:val="17"/>
                <w:color w:val="auto"/>
              </w:rPr>
            </w:pPr>
          </w:p>
        </w:tc>
        <w:tc>
          <w:tcPr>
            <w:tcW w:w="800" w:type="dxa"/>
            <w:vAlign w:val="bottom"/>
            <w:shd w:val="clear" w:color="auto" w:fill="ABD8EA"/>
          </w:tcPr>
          <w:p>
            <w:pPr>
              <w:spacing w:after="0"/>
              <w:rPr>
                <w:sz w:val="17"/>
                <w:szCs w:val="17"/>
                <w:color w:val="auto"/>
              </w:rPr>
            </w:pPr>
          </w:p>
        </w:tc>
        <w:tc>
          <w:tcPr>
            <w:tcW w:w="380" w:type="dxa"/>
            <w:vAlign w:val="bottom"/>
            <w:shd w:val="clear" w:color="auto" w:fill="ABD8EA"/>
          </w:tcPr>
          <w:p>
            <w:pPr>
              <w:spacing w:after="0"/>
              <w:rPr>
                <w:sz w:val="17"/>
                <w:szCs w:val="17"/>
                <w:color w:val="auto"/>
              </w:rPr>
            </w:pPr>
          </w:p>
        </w:tc>
        <w:tc>
          <w:tcPr>
            <w:tcW w:w="480" w:type="dxa"/>
            <w:vAlign w:val="bottom"/>
            <w:shd w:val="clear" w:color="auto" w:fill="ABD8EA"/>
          </w:tcPr>
          <w:p>
            <w:pPr>
              <w:spacing w:after="0"/>
              <w:rPr>
                <w:sz w:val="17"/>
                <w:szCs w:val="17"/>
                <w:color w:val="auto"/>
              </w:rPr>
            </w:pPr>
          </w:p>
        </w:tc>
        <w:tc>
          <w:tcPr>
            <w:tcW w:w="260" w:type="dxa"/>
            <w:vAlign w:val="bottom"/>
            <w:shd w:val="clear" w:color="auto" w:fill="ABD8EA"/>
          </w:tcPr>
          <w:p>
            <w:pPr>
              <w:spacing w:after="0"/>
              <w:rPr>
                <w:sz w:val="17"/>
                <w:szCs w:val="17"/>
                <w:color w:val="auto"/>
              </w:rPr>
            </w:pPr>
          </w:p>
        </w:tc>
        <w:tc>
          <w:tcPr>
            <w:tcW w:w="700" w:type="dxa"/>
            <w:vAlign w:val="bottom"/>
            <w:shd w:val="clear" w:color="auto" w:fill="ABD8EA"/>
          </w:tcPr>
          <w:p>
            <w:pPr>
              <w:spacing w:after="0"/>
              <w:rPr>
                <w:sz w:val="17"/>
                <w:szCs w:val="17"/>
                <w:color w:val="auto"/>
              </w:rPr>
            </w:pPr>
          </w:p>
        </w:tc>
        <w:tc>
          <w:tcPr>
            <w:tcW w:w="260" w:type="dxa"/>
            <w:vAlign w:val="bottom"/>
            <w:shd w:val="clear" w:color="auto" w:fill="ABD8EA"/>
          </w:tcPr>
          <w:p>
            <w:pPr>
              <w:spacing w:after="0"/>
              <w:rPr>
                <w:sz w:val="17"/>
                <w:szCs w:val="17"/>
                <w:color w:val="auto"/>
              </w:rPr>
            </w:pPr>
          </w:p>
        </w:tc>
        <w:tc>
          <w:tcPr>
            <w:tcW w:w="88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9,561</w:t>
            </w:r>
            <w:r>
              <w:rPr>
                <w:rFonts w:ascii="Times New Roman" w:cs="Times New Roman" w:eastAsia="Times New Roman" w:hAnsi="Times New Roman"/>
                <w:sz w:val="10"/>
                <w:szCs w:val="10"/>
                <w:color w:val="auto"/>
              </w:rPr>
              <w:t>(8)</w:t>
            </w:r>
          </w:p>
        </w:tc>
        <w:tc>
          <w:tcPr>
            <w:tcW w:w="8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197,052</w:t>
            </w:r>
          </w:p>
        </w:tc>
        <w:tc>
          <w:tcPr>
            <w:tcW w:w="780" w:type="dxa"/>
            <w:vAlign w:val="bottom"/>
            <w:shd w:val="clear" w:color="auto" w:fill="ABD8EA"/>
          </w:tcPr>
          <w:p>
            <w:pPr>
              <w:spacing w:after="0"/>
              <w:rPr>
                <w:sz w:val="17"/>
                <w:szCs w:val="17"/>
                <w:color w:val="auto"/>
              </w:rPr>
            </w:pPr>
          </w:p>
        </w:tc>
        <w:tc>
          <w:tcPr>
            <w:tcW w:w="380" w:type="dxa"/>
            <w:vAlign w:val="bottom"/>
            <w:shd w:val="clear" w:color="auto" w:fill="ABD8EA"/>
          </w:tcPr>
          <w:p>
            <w:pPr>
              <w:spacing w:after="0"/>
              <w:rPr>
                <w:sz w:val="17"/>
                <w:szCs w:val="17"/>
                <w:color w:val="auto"/>
              </w:rPr>
            </w:pPr>
          </w:p>
        </w:tc>
        <w:tc>
          <w:tcPr>
            <w:tcW w:w="660" w:type="dxa"/>
            <w:vAlign w:val="bottom"/>
            <w:tcBorders>
              <w:right w:val="single" w:sz="8" w:color="ABD8EA"/>
            </w:tcBorders>
            <w:shd w:val="clear" w:color="auto" w:fill="ABD8EA"/>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Douglas J. Cornille</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9,876</w:t>
            </w:r>
            <w:r>
              <w:rPr>
                <w:rFonts w:ascii="Times New Roman" w:cs="Times New Roman" w:eastAsia="Times New Roman" w:hAnsi="Times New Roman"/>
                <w:sz w:val="10"/>
                <w:szCs w:val="10"/>
                <w:color w:val="auto"/>
              </w:rPr>
              <w:t>(6)</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203,544</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25,891</w:t>
            </w:r>
            <w:r>
              <w:rPr>
                <w:rFonts w:ascii="Times New Roman" w:cs="Times New Roman" w:eastAsia="Times New Roman" w:hAnsi="Times New Roman"/>
                <w:sz w:val="10"/>
                <w:szCs w:val="10"/>
                <w:color w:val="auto"/>
              </w:rPr>
              <w:t>(5)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533,614</w:t>
            </w:r>
          </w:p>
        </w:tc>
        <w:tc>
          <w:tcPr>
            <w:tcW w:w="0" w:type="dxa"/>
            <w:vAlign w:val="bottom"/>
          </w:tcPr>
          <w:p>
            <w:pPr>
              <w:spacing w:after="0"/>
              <w:rPr>
                <w:sz w:val="1"/>
                <w:szCs w:val="1"/>
                <w:color w:val="auto"/>
              </w:rPr>
            </w:pPr>
          </w:p>
        </w:tc>
      </w:tr>
      <w:tr>
        <w:trPr>
          <w:trHeight w:val="109"/>
        </w:trPr>
        <w:tc>
          <w:tcPr>
            <w:tcW w:w="3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9,606</w:t>
            </w:r>
            <w:r>
              <w:rPr>
                <w:rFonts w:ascii="Times New Roman" w:cs="Times New Roman" w:eastAsia="Times New Roman" w:hAnsi="Times New Roman"/>
                <w:sz w:val="10"/>
                <w:szCs w:val="10"/>
                <w:color w:val="auto"/>
              </w:rPr>
              <w:t>(7)</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197,980</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15,410</w:t>
            </w:r>
            <w:r>
              <w:rPr>
                <w:rFonts w:ascii="Times New Roman" w:cs="Times New Roman" w:eastAsia="Times New Roman" w:hAnsi="Times New Roman"/>
                <w:sz w:val="10"/>
                <w:szCs w:val="10"/>
                <w:color w:val="auto"/>
              </w:rPr>
              <w:t>(8)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317,600</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ABD8EA"/>
          </w:tcPr>
          <w:p>
            <w:pPr>
              <w:spacing w:after="0"/>
              <w:rPr>
                <w:sz w:val="20"/>
                <w:szCs w:val="20"/>
                <w:color w:val="auto"/>
              </w:rPr>
            </w:pPr>
            <w:r>
              <w:rPr>
                <w:rFonts w:ascii="Times New Roman" w:cs="Times New Roman" w:eastAsia="Times New Roman" w:hAnsi="Times New Roman"/>
                <w:sz w:val="14"/>
                <w:szCs w:val="14"/>
                <w:color w:val="auto"/>
              </w:rPr>
              <w:t>Craig L. Rosenthal</w:t>
            </w:r>
          </w:p>
        </w:tc>
        <w:tc>
          <w:tcPr>
            <w:tcW w:w="220" w:type="dxa"/>
            <w:vAlign w:val="bottom"/>
            <w:shd w:val="clear" w:color="auto" w:fill="ABD8EA"/>
          </w:tcPr>
          <w:p>
            <w:pPr>
              <w:spacing w:after="0"/>
              <w:rPr>
                <w:sz w:val="15"/>
                <w:szCs w:val="15"/>
                <w:color w:val="auto"/>
              </w:rPr>
            </w:pPr>
          </w:p>
        </w:tc>
        <w:tc>
          <w:tcPr>
            <w:tcW w:w="880" w:type="dxa"/>
            <w:vAlign w:val="bottom"/>
            <w:gridSpan w:val="2"/>
            <w:shd w:val="clear" w:color="auto" w:fill="ABD8EA"/>
          </w:tcPr>
          <w:p>
            <w:pPr>
              <w:jc w:val="center"/>
              <w:ind w:left="191"/>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3"/>
            <w:shd w:val="clear" w:color="auto" w:fill="ABD8EA"/>
          </w:tcPr>
          <w:p>
            <w:pPr>
              <w:jc w:val="center"/>
              <w:ind w:left="309"/>
              <w:spacing w:after="0"/>
              <w:rPr>
                <w:sz w:val="20"/>
                <w:szCs w:val="20"/>
                <w:color w:val="auto"/>
              </w:rPr>
            </w:pPr>
            <w:r>
              <w:rPr>
                <w:rFonts w:ascii="Times New Roman" w:cs="Times New Roman" w:eastAsia="Times New Roman" w:hAnsi="Times New Roman"/>
                <w:sz w:val="14"/>
                <w:szCs w:val="14"/>
                <w:color w:val="auto"/>
              </w:rPr>
              <w:t>15,760</w:t>
            </w:r>
            <w:r>
              <w:rPr>
                <w:rFonts w:ascii="Times New Roman" w:cs="Times New Roman" w:eastAsia="Times New Roman" w:hAnsi="Times New Roman"/>
                <w:sz w:val="10"/>
                <w:szCs w:val="10"/>
                <w:color w:val="auto"/>
              </w:rPr>
              <w:t>(4)</w:t>
            </w:r>
          </w:p>
        </w:tc>
        <w:tc>
          <w:tcPr>
            <w:tcW w:w="74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11/12/2030</w:t>
            </w:r>
          </w:p>
        </w:tc>
        <w:tc>
          <w:tcPr>
            <w:tcW w:w="880" w:type="dxa"/>
            <w:vAlign w:val="bottom"/>
            <w:gridSpan w:val="2"/>
            <w:vMerge w:val="restart"/>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8,043</w:t>
            </w:r>
            <w:r>
              <w:rPr>
                <w:rFonts w:ascii="Times New Roman" w:cs="Times New Roman" w:eastAsia="Times New Roman" w:hAnsi="Times New Roman"/>
                <w:sz w:val="10"/>
                <w:szCs w:val="10"/>
                <w:color w:val="auto"/>
              </w:rPr>
              <w:t>(6)</w:t>
            </w:r>
          </w:p>
        </w:tc>
        <w:tc>
          <w:tcPr>
            <w:tcW w:w="880" w:type="dxa"/>
            <w:vAlign w:val="bottom"/>
            <w:gridSpan w:val="2"/>
            <w:vMerge w:val="restart"/>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165,766</w:t>
            </w:r>
          </w:p>
        </w:tc>
        <w:tc>
          <w:tcPr>
            <w:tcW w:w="116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21,086</w:t>
            </w:r>
            <w:r>
              <w:rPr>
                <w:rFonts w:ascii="Times New Roman" w:cs="Times New Roman" w:eastAsia="Times New Roman" w:hAnsi="Times New Roman"/>
                <w:sz w:val="10"/>
                <w:szCs w:val="10"/>
                <w:color w:val="auto"/>
              </w:rPr>
              <w:t>(5)</w:t>
            </w:r>
          </w:p>
        </w:tc>
        <w:tc>
          <w:tcPr>
            <w:tcW w:w="660" w:type="dxa"/>
            <w:vAlign w:val="bottom"/>
            <w:tcBorders>
              <w:right w:val="single" w:sz="8" w:color="ABD8EA"/>
            </w:tcBorders>
            <w:shd w:val="clear" w:color="auto" w:fill="ABD8EA"/>
          </w:tcPr>
          <w:p>
            <w:pPr>
              <w:jc w:val="right"/>
              <w:spacing w:after="0"/>
              <w:rPr>
                <w:sz w:val="20"/>
                <w:szCs w:val="20"/>
                <w:color w:val="auto"/>
              </w:rPr>
            </w:pPr>
            <w:r>
              <w:rPr>
                <w:rFonts w:ascii="Times New Roman" w:cs="Times New Roman" w:eastAsia="Times New Roman" w:hAnsi="Times New Roman"/>
                <w:sz w:val="14"/>
                <w:szCs w:val="14"/>
                <w:color w:val="auto"/>
              </w:rPr>
              <w:t>434,582</w:t>
            </w:r>
          </w:p>
        </w:tc>
        <w:tc>
          <w:tcPr>
            <w:tcW w:w="0" w:type="dxa"/>
            <w:vAlign w:val="bottom"/>
          </w:tcPr>
          <w:p>
            <w:pPr>
              <w:spacing w:after="0"/>
              <w:rPr>
                <w:sz w:val="1"/>
                <w:szCs w:val="1"/>
                <w:color w:val="auto"/>
              </w:rPr>
            </w:pPr>
          </w:p>
        </w:tc>
      </w:tr>
      <w:tr>
        <w:trPr>
          <w:trHeight w:val="126"/>
        </w:trPr>
        <w:tc>
          <w:tcPr>
            <w:tcW w:w="3260" w:type="dxa"/>
            <w:vAlign w:val="bottom"/>
            <w:shd w:val="clear" w:color="auto" w:fill="ABD8EA"/>
          </w:tcPr>
          <w:p>
            <w:pPr>
              <w:spacing w:after="0"/>
              <w:rPr>
                <w:sz w:val="10"/>
                <w:szCs w:val="10"/>
                <w:color w:val="auto"/>
              </w:rPr>
            </w:pPr>
          </w:p>
        </w:tc>
        <w:tc>
          <w:tcPr>
            <w:tcW w:w="220" w:type="dxa"/>
            <w:vAlign w:val="bottom"/>
            <w:shd w:val="clear" w:color="auto" w:fill="ABD8EA"/>
          </w:tcPr>
          <w:p>
            <w:pPr>
              <w:spacing w:after="0"/>
              <w:rPr>
                <w:sz w:val="10"/>
                <w:szCs w:val="10"/>
                <w:color w:val="auto"/>
              </w:rPr>
            </w:pPr>
          </w:p>
        </w:tc>
        <w:tc>
          <w:tcPr>
            <w:tcW w:w="720" w:type="dxa"/>
            <w:vAlign w:val="bottom"/>
            <w:shd w:val="clear" w:color="auto" w:fill="ABD8EA"/>
          </w:tcPr>
          <w:p>
            <w:pPr>
              <w:spacing w:after="0"/>
              <w:rPr>
                <w:sz w:val="10"/>
                <w:szCs w:val="10"/>
                <w:color w:val="auto"/>
              </w:rPr>
            </w:pPr>
          </w:p>
        </w:tc>
        <w:tc>
          <w:tcPr>
            <w:tcW w:w="160" w:type="dxa"/>
            <w:vAlign w:val="bottom"/>
            <w:shd w:val="clear" w:color="auto" w:fill="ABD8EA"/>
          </w:tcPr>
          <w:p>
            <w:pPr>
              <w:spacing w:after="0"/>
              <w:rPr>
                <w:sz w:val="10"/>
                <w:szCs w:val="10"/>
                <w:color w:val="auto"/>
              </w:rPr>
            </w:pPr>
          </w:p>
        </w:tc>
        <w:tc>
          <w:tcPr>
            <w:tcW w:w="200" w:type="dxa"/>
            <w:vAlign w:val="bottom"/>
            <w:shd w:val="clear" w:color="auto" w:fill="ABD8EA"/>
          </w:tcPr>
          <w:p>
            <w:pPr>
              <w:spacing w:after="0"/>
              <w:rPr>
                <w:sz w:val="10"/>
                <w:szCs w:val="10"/>
                <w:color w:val="auto"/>
              </w:rPr>
            </w:pPr>
          </w:p>
        </w:tc>
        <w:tc>
          <w:tcPr>
            <w:tcW w:w="800" w:type="dxa"/>
            <w:vAlign w:val="bottom"/>
            <w:shd w:val="clear" w:color="auto" w:fill="ABD8EA"/>
          </w:tcPr>
          <w:p>
            <w:pPr>
              <w:spacing w:after="0"/>
              <w:rPr>
                <w:sz w:val="10"/>
                <w:szCs w:val="10"/>
                <w:color w:val="auto"/>
              </w:rPr>
            </w:pPr>
          </w:p>
        </w:tc>
        <w:tc>
          <w:tcPr>
            <w:tcW w:w="380" w:type="dxa"/>
            <w:vAlign w:val="bottom"/>
            <w:shd w:val="clear" w:color="auto" w:fill="ABD8EA"/>
          </w:tcPr>
          <w:p>
            <w:pPr>
              <w:spacing w:after="0"/>
              <w:rPr>
                <w:sz w:val="10"/>
                <w:szCs w:val="10"/>
                <w:color w:val="auto"/>
              </w:rPr>
            </w:pPr>
          </w:p>
        </w:tc>
        <w:tc>
          <w:tcPr>
            <w:tcW w:w="480" w:type="dxa"/>
            <w:vAlign w:val="bottom"/>
            <w:shd w:val="clear" w:color="auto" w:fill="ABD8EA"/>
          </w:tcPr>
          <w:p>
            <w:pPr>
              <w:spacing w:after="0"/>
              <w:rPr>
                <w:sz w:val="10"/>
                <w:szCs w:val="10"/>
                <w:color w:val="auto"/>
              </w:rPr>
            </w:pPr>
          </w:p>
        </w:tc>
        <w:tc>
          <w:tcPr>
            <w:tcW w:w="260" w:type="dxa"/>
            <w:vAlign w:val="bottom"/>
            <w:shd w:val="clear" w:color="auto" w:fill="ABD8EA"/>
          </w:tcPr>
          <w:p>
            <w:pPr>
              <w:spacing w:after="0"/>
              <w:rPr>
                <w:sz w:val="10"/>
                <w:szCs w:val="10"/>
                <w:color w:val="auto"/>
              </w:rPr>
            </w:pPr>
          </w:p>
        </w:tc>
        <w:tc>
          <w:tcPr>
            <w:tcW w:w="700" w:type="dxa"/>
            <w:vAlign w:val="bottom"/>
            <w:shd w:val="clear" w:color="auto" w:fill="ABD8EA"/>
          </w:tcPr>
          <w:p>
            <w:pPr>
              <w:spacing w:after="0"/>
              <w:rPr>
                <w:sz w:val="10"/>
                <w:szCs w:val="10"/>
                <w:color w:val="auto"/>
              </w:rPr>
            </w:pPr>
          </w:p>
        </w:tc>
        <w:tc>
          <w:tcPr>
            <w:tcW w:w="260" w:type="dxa"/>
            <w:vAlign w:val="bottom"/>
            <w:shd w:val="clear" w:color="auto" w:fill="ABD8EA"/>
          </w:tcPr>
          <w:p>
            <w:pPr>
              <w:spacing w:after="0"/>
              <w:rPr>
                <w:sz w:val="10"/>
                <w:szCs w:val="10"/>
                <w:color w:val="auto"/>
              </w:rPr>
            </w:pPr>
          </w:p>
        </w:tc>
        <w:tc>
          <w:tcPr>
            <w:tcW w:w="880" w:type="dxa"/>
            <w:vAlign w:val="bottom"/>
            <w:gridSpan w:val="2"/>
            <w:vMerge w:val="continue"/>
            <w:shd w:val="clear" w:color="auto" w:fill="ABD8EA"/>
          </w:tcPr>
          <w:p>
            <w:pPr>
              <w:spacing w:after="0"/>
              <w:rPr>
                <w:sz w:val="10"/>
                <w:szCs w:val="10"/>
                <w:color w:val="auto"/>
              </w:rPr>
            </w:pPr>
          </w:p>
        </w:tc>
        <w:tc>
          <w:tcPr>
            <w:tcW w:w="880" w:type="dxa"/>
            <w:vAlign w:val="bottom"/>
            <w:gridSpan w:val="2"/>
            <w:vMerge w:val="continue"/>
            <w:shd w:val="clear" w:color="auto" w:fill="ABD8EA"/>
          </w:tcPr>
          <w:p>
            <w:pPr>
              <w:spacing w:after="0"/>
              <w:rPr>
                <w:sz w:val="10"/>
                <w:szCs w:val="10"/>
                <w:color w:val="auto"/>
              </w:rPr>
            </w:pPr>
          </w:p>
        </w:tc>
        <w:tc>
          <w:tcPr>
            <w:tcW w:w="780" w:type="dxa"/>
            <w:vAlign w:val="bottom"/>
            <w:shd w:val="clear" w:color="auto" w:fill="ABD8EA"/>
          </w:tcPr>
          <w:p>
            <w:pPr>
              <w:spacing w:after="0"/>
              <w:rPr>
                <w:sz w:val="10"/>
                <w:szCs w:val="10"/>
                <w:color w:val="auto"/>
              </w:rPr>
            </w:pPr>
          </w:p>
        </w:tc>
        <w:tc>
          <w:tcPr>
            <w:tcW w:w="380" w:type="dxa"/>
            <w:vAlign w:val="bottom"/>
            <w:shd w:val="clear" w:color="auto" w:fill="ABD8EA"/>
          </w:tcPr>
          <w:p>
            <w:pPr>
              <w:spacing w:after="0"/>
              <w:rPr>
                <w:sz w:val="10"/>
                <w:szCs w:val="10"/>
                <w:color w:val="auto"/>
              </w:rPr>
            </w:pPr>
          </w:p>
        </w:tc>
        <w:tc>
          <w:tcPr>
            <w:tcW w:w="660" w:type="dxa"/>
            <w:vAlign w:val="bottom"/>
            <w:tcBorders>
              <w:right w:val="single" w:sz="8" w:color="ABD8EA"/>
            </w:tcBorders>
            <w:shd w:val="clear" w:color="auto" w:fill="ABD8EA"/>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ABD8EA"/>
          </w:tcPr>
          <w:p>
            <w:pPr>
              <w:spacing w:after="0"/>
              <w:rPr>
                <w:sz w:val="12"/>
                <w:szCs w:val="12"/>
                <w:color w:val="auto"/>
              </w:rPr>
            </w:pPr>
          </w:p>
        </w:tc>
        <w:tc>
          <w:tcPr>
            <w:tcW w:w="220" w:type="dxa"/>
            <w:vAlign w:val="bottom"/>
            <w:shd w:val="clear" w:color="auto" w:fill="ABD8EA"/>
          </w:tcPr>
          <w:p>
            <w:pPr>
              <w:spacing w:after="0"/>
              <w:rPr>
                <w:sz w:val="12"/>
                <w:szCs w:val="12"/>
                <w:color w:val="auto"/>
              </w:rPr>
            </w:pPr>
          </w:p>
        </w:tc>
        <w:tc>
          <w:tcPr>
            <w:tcW w:w="720" w:type="dxa"/>
            <w:vAlign w:val="bottom"/>
            <w:shd w:val="clear" w:color="auto" w:fill="ABD8EA"/>
          </w:tcPr>
          <w:p>
            <w:pPr>
              <w:spacing w:after="0"/>
              <w:rPr>
                <w:sz w:val="12"/>
                <w:szCs w:val="12"/>
                <w:color w:val="auto"/>
              </w:rPr>
            </w:pPr>
          </w:p>
        </w:tc>
        <w:tc>
          <w:tcPr>
            <w:tcW w:w="160" w:type="dxa"/>
            <w:vAlign w:val="bottom"/>
            <w:shd w:val="clear" w:color="auto" w:fill="ABD8EA"/>
          </w:tcPr>
          <w:p>
            <w:pPr>
              <w:spacing w:after="0"/>
              <w:rPr>
                <w:sz w:val="12"/>
                <w:szCs w:val="12"/>
                <w:color w:val="auto"/>
              </w:rPr>
            </w:pPr>
          </w:p>
        </w:tc>
        <w:tc>
          <w:tcPr>
            <w:tcW w:w="200" w:type="dxa"/>
            <w:vAlign w:val="bottom"/>
            <w:shd w:val="clear" w:color="auto" w:fill="ABD8EA"/>
          </w:tcPr>
          <w:p>
            <w:pPr>
              <w:spacing w:after="0"/>
              <w:rPr>
                <w:sz w:val="12"/>
                <w:szCs w:val="12"/>
                <w:color w:val="auto"/>
              </w:rPr>
            </w:pPr>
          </w:p>
        </w:tc>
        <w:tc>
          <w:tcPr>
            <w:tcW w:w="800" w:type="dxa"/>
            <w:vAlign w:val="bottom"/>
            <w:shd w:val="clear" w:color="auto" w:fill="ABD8EA"/>
          </w:tcPr>
          <w:p>
            <w:pPr>
              <w:spacing w:after="0"/>
              <w:rPr>
                <w:sz w:val="12"/>
                <w:szCs w:val="12"/>
                <w:color w:val="auto"/>
              </w:rPr>
            </w:pPr>
          </w:p>
        </w:tc>
        <w:tc>
          <w:tcPr>
            <w:tcW w:w="380" w:type="dxa"/>
            <w:vAlign w:val="bottom"/>
            <w:shd w:val="clear" w:color="auto" w:fill="ABD8EA"/>
          </w:tcPr>
          <w:p>
            <w:pPr>
              <w:spacing w:after="0"/>
              <w:rPr>
                <w:sz w:val="12"/>
                <w:szCs w:val="12"/>
                <w:color w:val="auto"/>
              </w:rPr>
            </w:pPr>
          </w:p>
        </w:tc>
        <w:tc>
          <w:tcPr>
            <w:tcW w:w="480" w:type="dxa"/>
            <w:vAlign w:val="bottom"/>
            <w:shd w:val="clear" w:color="auto" w:fill="ABD8EA"/>
          </w:tcPr>
          <w:p>
            <w:pPr>
              <w:spacing w:after="0"/>
              <w:rPr>
                <w:sz w:val="12"/>
                <w:szCs w:val="12"/>
                <w:color w:val="auto"/>
              </w:rPr>
            </w:pPr>
          </w:p>
        </w:tc>
        <w:tc>
          <w:tcPr>
            <w:tcW w:w="260" w:type="dxa"/>
            <w:vAlign w:val="bottom"/>
            <w:shd w:val="clear" w:color="auto" w:fill="ABD8EA"/>
          </w:tcPr>
          <w:p>
            <w:pPr>
              <w:spacing w:after="0"/>
              <w:rPr>
                <w:sz w:val="12"/>
                <w:szCs w:val="12"/>
                <w:color w:val="auto"/>
              </w:rPr>
            </w:pPr>
          </w:p>
        </w:tc>
        <w:tc>
          <w:tcPr>
            <w:tcW w:w="700" w:type="dxa"/>
            <w:vAlign w:val="bottom"/>
            <w:shd w:val="clear" w:color="auto" w:fill="ABD8EA"/>
          </w:tcPr>
          <w:p>
            <w:pPr>
              <w:spacing w:after="0"/>
              <w:rPr>
                <w:sz w:val="12"/>
                <w:szCs w:val="12"/>
                <w:color w:val="auto"/>
              </w:rPr>
            </w:pPr>
          </w:p>
        </w:tc>
        <w:tc>
          <w:tcPr>
            <w:tcW w:w="260" w:type="dxa"/>
            <w:vAlign w:val="bottom"/>
            <w:shd w:val="clear" w:color="auto" w:fill="ABD8EA"/>
          </w:tcPr>
          <w:p>
            <w:pPr>
              <w:spacing w:after="0"/>
              <w:rPr>
                <w:sz w:val="12"/>
                <w:szCs w:val="12"/>
                <w:color w:val="auto"/>
              </w:rPr>
            </w:pPr>
          </w:p>
        </w:tc>
        <w:tc>
          <w:tcPr>
            <w:tcW w:w="880" w:type="dxa"/>
            <w:vAlign w:val="bottom"/>
            <w:gridSpan w:val="2"/>
            <w:shd w:val="clear" w:color="auto" w:fill="ABD8EA"/>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7,205</w:t>
            </w:r>
            <w:r>
              <w:rPr>
                <w:rFonts w:ascii="Times New Roman" w:cs="Times New Roman" w:eastAsia="Times New Roman" w:hAnsi="Times New Roman"/>
                <w:sz w:val="10"/>
                <w:szCs w:val="10"/>
                <w:color w:val="auto"/>
              </w:rPr>
              <w:t>(7)</w:t>
            </w:r>
          </w:p>
        </w:tc>
        <w:tc>
          <w:tcPr>
            <w:tcW w:w="880" w:type="dxa"/>
            <w:vAlign w:val="bottom"/>
            <w:gridSpan w:val="2"/>
            <w:shd w:val="clear" w:color="auto" w:fill="ABD8EA"/>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148,495</w:t>
            </w:r>
          </w:p>
        </w:tc>
        <w:tc>
          <w:tcPr>
            <w:tcW w:w="780" w:type="dxa"/>
            <w:vAlign w:val="bottom"/>
            <w:shd w:val="clear" w:color="auto" w:fill="ABD8EA"/>
          </w:tcPr>
          <w:p>
            <w:pPr>
              <w:spacing w:after="0"/>
              <w:rPr>
                <w:sz w:val="12"/>
                <w:szCs w:val="12"/>
                <w:color w:val="auto"/>
              </w:rPr>
            </w:pPr>
          </w:p>
        </w:tc>
        <w:tc>
          <w:tcPr>
            <w:tcW w:w="380" w:type="dxa"/>
            <w:vAlign w:val="bottom"/>
            <w:shd w:val="clear" w:color="auto" w:fill="ABD8EA"/>
          </w:tcPr>
          <w:p>
            <w:pPr>
              <w:spacing w:after="0"/>
              <w:rPr>
                <w:sz w:val="12"/>
                <w:szCs w:val="12"/>
                <w:color w:val="auto"/>
              </w:rPr>
            </w:pPr>
          </w:p>
        </w:tc>
        <w:tc>
          <w:tcPr>
            <w:tcW w:w="660" w:type="dxa"/>
            <w:vAlign w:val="bottom"/>
            <w:tcBorders>
              <w:right w:val="single" w:sz="8" w:color="ABD8EA"/>
            </w:tcBorders>
            <w:shd w:val="clear" w:color="auto" w:fill="ABD8EA"/>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ABD8EA"/>
          </w:tcPr>
          <w:p>
            <w:pPr>
              <w:spacing w:after="0"/>
              <w:rPr>
                <w:sz w:val="17"/>
                <w:szCs w:val="17"/>
                <w:color w:val="auto"/>
              </w:rPr>
            </w:pPr>
          </w:p>
        </w:tc>
        <w:tc>
          <w:tcPr>
            <w:tcW w:w="220" w:type="dxa"/>
            <w:vAlign w:val="bottom"/>
            <w:shd w:val="clear" w:color="auto" w:fill="ABD8EA"/>
          </w:tcPr>
          <w:p>
            <w:pPr>
              <w:spacing w:after="0"/>
              <w:rPr>
                <w:sz w:val="17"/>
                <w:szCs w:val="17"/>
                <w:color w:val="auto"/>
              </w:rPr>
            </w:pPr>
          </w:p>
        </w:tc>
        <w:tc>
          <w:tcPr>
            <w:tcW w:w="72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200" w:type="dxa"/>
            <w:vAlign w:val="bottom"/>
            <w:shd w:val="clear" w:color="auto" w:fill="ABD8EA"/>
          </w:tcPr>
          <w:p>
            <w:pPr>
              <w:spacing w:after="0"/>
              <w:rPr>
                <w:sz w:val="17"/>
                <w:szCs w:val="17"/>
                <w:color w:val="auto"/>
              </w:rPr>
            </w:pPr>
          </w:p>
        </w:tc>
        <w:tc>
          <w:tcPr>
            <w:tcW w:w="800" w:type="dxa"/>
            <w:vAlign w:val="bottom"/>
            <w:shd w:val="clear" w:color="auto" w:fill="ABD8EA"/>
          </w:tcPr>
          <w:p>
            <w:pPr>
              <w:spacing w:after="0"/>
              <w:rPr>
                <w:sz w:val="17"/>
                <w:szCs w:val="17"/>
                <w:color w:val="auto"/>
              </w:rPr>
            </w:pPr>
          </w:p>
        </w:tc>
        <w:tc>
          <w:tcPr>
            <w:tcW w:w="380" w:type="dxa"/>
            <w:vAlign w:val="bottom"/>
            <w:shd w:val="clear" w:color="auto" w:fill="ABD8EA"/>
          </w:tcPr>
          <w:p>
            <w:pPr>
              <w:spacing w:after="0"/>
              <w:rPr>
                <w:sz w:val="17"/>
                <w:szCs w:val="17"/>
                <w:color w:val="auto"/>
              </w:rPr>
            </w:pPr>
          </w:p>
        </w:tc>
        <w:tc>
          <w:tcPr>
            <w:tcW w:w="480" w:type="dxa"/>
            <w:vAlign w:val="bottom"/>
            <w:shd w:val="clear" w:color="auto" w:fill="ABD8EA"/>
          </w:tcPr>
          <w:p>
            <w:pPr>
              <w:spacing w:after="0"/>
              <w:rPr>
                <w:sz w:val="17"/>
                <w:szCs w:val="17"/>
                <w:color w:val="auto"/>
              </w:rPr>
            </w:pPr>
          </w:p>
        </w:tc>
        <w:tc>
          <w:tcPr>
            <w:tcW w:w="260" w:type="dxa"/>
            <w:vAlign w:val="bottom"/>
            <w:shd w:val="clear" w:color="auto" w:fill="ABD8EA"/>
          </w:tcPr>
          <w:p>
            <w:pPr>
              <w:spacing w:after="0"/>
              <w:rPr>
                <w:sz w:val="17"/>
                <w:szCs w:val="17"/>
                <w:color w:val="auto"/>
              </w:rPr>
            </w:pPr>
          </w:p>
        </w:tc>
        <w:tc>
          <w:tcPr>
            <w:tcW w:w="700" w:type="dxa"/>
            <w:vAlign w:val="bottom"/>
            <w:shd w:val="clear" w:color="auto" w:fill="ABD8EA"/>
          </w:tcPr>
          <w:p>
            <w:pPr>
              <w:spacing w:after="0"/>
              <w:rPr>
                <w:sz w:val="17"/>
                <w:szCs w:val="17"/>
                <w:color w:val="auto"/>
              </w:rPr>
            </w:pPr>
          </w:p>
        </w:tc>
        <w:tc>
          <w:tcPr>
            <w:tcW w:w="260" w:type="dxa"/>
            <w:vAlign w:val="bottom"/>
            <w:shd w:val="clear" w:color="auto" w:fill="ABD8EA"/>
          </w:tcPr>
          <w:p>
            <w:pPr>
              <w:spacing w:after="0"/>
              <w:rPr>
                <w:sz w:val="17"/>
                <w:szCs w:val="17"/>
                <w:color w:val="auto"/>
              </w:rPr>
            </w:pPr>
          </w:p>
        </w:tc>
        <w:tc>
          <w:tcPr>
            <w:tcW w:w="88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5,848</w:t>
            </w:r>
            <w:r>
              <w:rPr>
                <w:rFonts w:ascii="Times New Roman" w:cs="Times New Roman" w:eastAsia="Times New Roman" w:hAnsi="Times New Roman"/>
                <w:sz w:val="10"/>
                <w:szCs w:val="10"/>
                <w:color w:val="auto"/>
              </w:rPr>
              <w:t>(8)</w:t>
            </w:r>
          </w:p>
        </w:tc>
        <w:tc>
          <w:tcPr>
            <w:tcW w:w="8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4"/>
                <w:szCs w:val="14"/>
                <w:color w:val="auto"/>
              </w:rPr>
              <w:t>120,527</w:t>
            </w:r>
          </w:p>
        </w:tc>
        <w:tc>
          <w:tcPr>
            <w:tcW w:w="780" w:type="dxa"/>
            <w:vAlign w:val="bottom"/>
            <w:shd w:val="clear" w:color="auto" w:fill="ABD8EA"/>
          </w:tcPr>
          <w:p>
            <w:pPr>
              <w:spacing w:after="0"/>
              <w:rPr>
                <w:sz w:val="17"/>
                <w:szCs w:val="17"/>
                <w:color w:val="auto"/>
              </w:rPr>
            </w:pPr>
          </w:p>
        </w:tc>
        <w:tc>
          <w:tcPr>
            <w:tcW w:w="380" w:type="dxa"/>
            <w:vAlign w:val="bottom"/>
            <w:shd w:val="clear" w:color="auto" w:fill="ABD8EA"/>
          </w:tcPr>
          <w:p>
            <w:pPr>
              <w:spacing w:after="0"/>
              <w:rPr>
                <w:sz w:val="17"/>
                <w:szCs w:val="17"/>
                <w:color w:val="auto"/>
              </w:rPr>
            </w:pPr>
          </w:p>
        </w:tc>
        <w:tc>
          <w:tcPr>
            <w:tcW w:w="660" w:type="dxa"/>
            <w:vAlign w:val="bottom"/>
            <w:tcBorders>
              <w:right w:val="single" w:sz="8" w:color="ABD8EA"/>
            </w:tcBorders>
            <w:shd w:val="clear" w:color="auto" w:fill="ABD8EA"/>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Robin Singh</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8,988</w:t>
            </w:r>
            <w:r>
              <w:rPr>
                <w:rFonts w:ascii="Times New Roman" w:cs="Times New Roman" w:eastAsia="Times New Roman" w:hAnsi="Times New Roman"/>
                <w:sz w:val="10"/>
                <w:szCs w:val="10"/>
                <w:color w:val="auto"/>
              </w:rPr>
              <w:t>(6)</w:t>
            </w:r>
          </w:p>
        </w:tc>
        <w:tc>
          <w:tcPr>
            <w:tcW w:w="88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182,243</w:t>
            </w: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3,963</w:t>
            </w:r>
            <w:r>
              <w:rPr>
                <w:rFonts w:ascii="Times New Roman" w:cs="Times New Roman" w:eastAsia="Times New Roman" w:hAnsi="Times New Roman"/>
                <w:sz w:val="10"/>
                <w:szCs w:val="10"/>
                <w:color w:val="auto"/>
              </w:rPr>
              <w:t>(7)</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81,677</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7,611</w:t>
            </w:r>
            <w:r>
              <w:rPr>
                <w:rFonts w:ascii="Times New Roman" w:cs="Times New Roman" w:eastAsia="Times New Roman" w:hAnsi="Times New Roman"/>
                <w:sz w:val="10"/>
                <w:szCs w:val="10"/>
                <w:color w:val="auto"/>
              </w:rPr>
              <w:t>(8)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156,863</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4" w:lineRule="exact"/>
        <w:rPr>
          <w:sz w:val="20"/>
          <w:szCs w:val="20"/>
          <w:color w:val="auto"/>
        </w:rPr>
      </w:pPr>
    </w:p>
    <w:p>
      <w:pPr>
        <w:jc w:val="both"/>
        <w:ind w:left="540" w:right="280" w:hanging="424"/>
        <w:spacing w:after="0" w:line="257"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2022, fiscal 2021 and fiscal 2020 compensation from Post and the Post benefit plans in which he participates are fully disclosed in Post’s filings with the SEC.</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Post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Company stock options; vest and become exercisable on November 20,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Company stock options; vest and become exercisable in equal installments on November 12, 2022 and 2023.</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instruction 3 to Item 402(f)(2) of Regulation S-K, Company PRSUs reported at target for Mr. Vitale based on actual performance at 100% of target as of September 30, 2022 and at maximum for the other named executive officers based on performance at 112% of target as of September 30, 2022; service-based restrictions lapse on November 11, 2024 and vesting is subject to the satisfaction of performance conditions. The PRSUs will be paid in shares of the Company’s common stock within sixty days from the vesting date.</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in equal installments on November 11, 2022, 2023 and 2024. The RSUs will be paid in shares of the Company’s common stock within sixty days from each of the applicable vesting dates.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61"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on November 20, 2022. The RSUs will be paid in shares of the Company’s common stock within sixty days from the vesting date.</w:t>
      </w:r>
    </w:p>
    <w:p>
      <w:pPr>
        <w:ind w:left="540" w:right="28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in equal installments on November 12, 2022 and 2023. The RSUs will be paid in shares of the Company’s common stock within sixty days from each of the applicable vesting dates.</w:t>
      </w:r>
    </w:p>
    <w:p>
      <w:pPr>
        <w:ind w:left="540" w:right="40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RSUs; service-based restrictions lapse in equal installments on June 17,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spacing w:after="0" w:line="1" w:lineRule="exact"/>
        <w:rPr>
          <w:rFonts w:ascii="Times New Roman" w:cs="Times New Roman" w:eastAsia="Times New Roman" w:hAnsi="Times New Roman"/>
          <w:sz w:val="18"/>
          <w:szCs w:val="18"/>
          <w:color w:val="auto"/>
        </w:rPr>
      </w:pPr>
    </w:p>
    <w:p>
      <w:pPr>
        <w:ind w:left="540" w:right="160" w:hanging="424"/>
        <w:spacing w:after="0" w:line="26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closing stock price of $20.61 and Post’s closing stock price of $81.91, each on September 30, 2022, the last trading day of fiscal 2022.</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0" w:type="dxa"/>
            <w:vAlign w:val="bottom"/>
            <w:tcBorders>
              <w:bottom w:val="single" w:sz="8" w:color="auto"/>
            </w:tcBorders>
            <w:gridSpan w:val="3"/>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60" w:type="dxa"/>
            <w:vAlign w:val="bottom"/>
          </w:tcPr>
          <w:p>
            <w:pPr>
              <w:spacing w:after="0"/>
              <w:rPr>
                <w:sz w:val="15"/>
                <w:szCs w:val="15"/>
                <w:color w:val="auto"/>
              </w:rPr>
            </w:pPr>
          </w:p>
        </w:tc>
        <w:tc>
          <w:tcPr>
            <w:tcW w:w="2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gridSpan w:val="2"/>
          </w:tcPr>
          <w:p>
            <w:pPr>
              <w:jc w:val="center"/>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8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20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188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tcPr>
          <w:p>
            <w:pPr>
              <w:spacing w:after="0"/>
              <w:rPr>
                <w:sz w:val="12"/>
                <w:szCs w:val="12"/>
                <w:color w:val="auto"/>
              </w:rPr>
            </w:pPr>
          </w:p>
        </w:tc>
        <w:tc>
          <w:tcPr>
            <w:tcW w:w="18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r>
              <w:rPr>
                <w:rFonts w:ascii="Times New Roman" w:cs="Times New Roman" w:eastAsia="Times New Roman" w:hAnsi="Times New Roman"/>
                <w:sz w:val="10"/>
                <w:szCs w:val="10"/>
                <w:b w:val="1"/>
                <w:bCs w:val="1"/>
                <w:color w:val="auto"/>
              </w:rPr>
              <w:t>(2)</w:t>
            </w:r>
          </w:p>
        </w:tc>
        <w:tc>
          <w:tcPr>
            <w:tcW w:w="204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3"/>
        </w:trPr>
        <w:tc>
          <w:tcPr>
            <w:tcW w:w="33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BD8EA"/>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tcBorders>
              <w:bottom w:val="single" w:sz="8" w:color="ABD8EA"/>
            </w:tcBorders>
          </w:tcPr>
          <w:p>
            <w:pPr>
              <w:spacing w:after="0"/>
              <w:rPr>
                <w:sz w:val="15"/>
                <w:szCs w:val="15"/>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BD8EA"/>
            </w:tcBorders>
          </w:tcPr>
          <w:p>
            <w:pPr>
              <w:spacing w:after="0"/>
              <w:rPr>
                <w:sz w:val="15"/>
                <w:szCs w:val="15"/>
                <w:color w:val="auto"/>
              </w:rPr>
            </w:pPr>
          </w:p>
        </w:tc>
        <w:tc>
          <w:tcPr>
            <w:tcW w:w="12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BD8EA"/>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Borders>
              <w:bottom w:val="single" w:sz="8" w:color="ABD8EA"/>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ABD8EA"/>
          </w:tcPr>
          <w:p>
            <w:pPr>
              <w:spacing w:after="0" w:line="250"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720" w:type="dxa"/>
            <w:vAlign w:val="bottom"/>
            <w:shd w:val="clear" w:color="auto" w:fill="ABD8EA"/>
          </w:tcPr>
          <w:p>
            <w:pPr>
              <w:spacing w:after="0"/>
              <w:rPr>
                <w:sz w:val="21"/>
                <w:szCs w:val="21"/>
                <w:color w:val="auto"/>
              </w:rPr>
            </w:pPr>
          </w:p>
        </w:tc>
        <w:tc>
          <w:tcPr>
            <w:tcW w:w="1880" w:type="dxa"/>
            <w:vAlign w:val="bottom"/>
            <w:gridSpan w:val="2"/>
            <w:shd w:val="clear" w:color="auto" w:fill="ABD8EA"/>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ABD8EA"/>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ABD8EA"/>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26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20,000</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44,600</w:t>
            </w: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6,684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180,067</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8,934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206,465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720" w:type="dxa"/>
            <w:vAlign w:val="bottom"/>
            <w:shd w:val="clear" w:color="auto" w:fill="ABD8EA"/>
          </w:tcPr>
          <w:p>
            <w:pPr>
              <w:spacing w:after="0"/>
              <w:rPr>
                <w:sz w:val="21"/>
                <w:szCs w:val="21"/>
                <w:color w:val="auto"/>
              </w:rPr>
            </w:pPr>
          </w:p>
        </w:tc>
        <w:tc>
          <w:tcPr>
            <w:tcW w:w="1120" w:type="dxa"/>
            <w:vAlign w:val="bottom"/>
            <w:shd w:val="clear" w:color="auto" w:fill="ABD8EA"/>
          </w:tcPr>
          <w:p>
            <w:pPr>
              <w:spacing w:after="0"/>
              <w:rPr>
                <w:sz w:val="21"/>
                <w:szCs w:val="21"/>
                <w:color w:val="auto"/>
              </w:rPr>
            </w:pPr>
          </w:p>
        </w:tc>
        <w:tc>
          <w:tcPr>
            <w:tcW w:w="760" w:type="dxa"/>
            <w:vAlign w:val="bottom"/>
            <w:shd w:val="clear" w:color="auto" w:fill="ABD8EA"/>
          </w:tcPr>
          <w:p>
            <w:pPr>
              <w:spacing w:after="0"/>
              <w:rPr>
                <w:sz w:val="21"/>
                <w:szCs w:val="21"/>
                <w:color w:val="auto"/>
              </w:rPr>
            </w:pPr>
          </w:p>
        </w:tc>
        <w:tc>
          <w:tcPr>
            <w:tcW w:w="1120" w:type="dxa"/>
            <w:vAlign w:val="bottom"/>
            <w:shd w:val="clear" w:color="auto" w:fill="ABD8EA"/>
          </w:tcPr>
          <w:p>
            <w:pPr>
              <w:spacing w:after="0"/>
              <w:rPr>
                <w:sz w:val="21"/>
                <w:szCs w:val="21"/>
                <w:color w:val="auto"/>
              </w:rPr>
            </w:pPr>
          </w:p>
        </w:tc>
        <w:tc>
          <w:tcPr>
            <w:tcW w:w="760" w:type="dxa"/>
            <w:vAlign w:val="bottom"/>
            <w:shd w:val="clear" w:color="auto" w:fill="ABD8EA"/>
          </w:tcPr>
          <w:p>
            <w:pPr>
              <w:spacing w:after="0"/>
              <w:rPr>
                <w:sz w:val="21"/>
                <w:szCs w:val="21"/>
                <w:color w:val="auto"/>
              </w:rPr>
            </w:pPr>
          </w:p>
        </w:tc>
        <w:tc>
          <w:tcPr>
            <w:tcW w:w="2040" w:type="dxa"/>
            <w:vAlign w:val="bottom"/>
            <w:gridSpan w:val="2"/>
            <w:shd w:val="clear" w:color="auto" w:fill="ABD8EA"/>
          </w:tcPr>
          <w:p>
            <w:pPr>
              <w:jc w:val="right"/>
              <w:ind w:right="780"/>
              <w:spacing w:after="0"/>
              <w:rPr>
                <w:sz w:val="20"/>
                <w:szCs w:val="20"/>
                <w:color w:val="auto"/>
              </w:rPr>
            </w:pPr>
            <w:r>
              <w:rPr>
                <w:rFonts w:ascii="Times New Roman" w:cs="Times New Roman" w:eastAsia="Times New Roman" w:hAnsi="Times New Roman"/>
                <w:sz w:val="18"/>
                <w:szCs w:val="18"/>
                <w:color w:val="auto"/>
              </w:rPr>
              <w:t>3,006</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80,982</w:t>
            </w:r>
          </w:p>
        </w:tc>
        <w:tc>
          <w:tcPr>
            <w:tcW w:w="0" w:type="dxa"/>
            <w:vAlign w:val="bottom"/>
          </w:tcPr>
          <w:p>
            <w:pPr>
              <w:spacing w:after="0"/>
              <w:rPr>
                <w:sz w:val="1"/>
                <w:szCs w:val="1"/>
                <w:color w:val="auto"/>
              </w:rPr>
            </w:pPr>
          </w:p>
        </w:tc>
      </w:tr>
      <w:tr>
        <w:trPr>
          <w:trHeight w:val="243"/>
        </w:trPr>
        <w:tc>
          <w:tcPr>
            <w:tcW w:w="3340" w:type="dxa"/>
            <w:vAlign w:val="bottom"/>
            <w:shd w:val="clear" w:color="auto" w:fill="ABD8EA"/>
          </w:tcPr>
          <w:p>
            <w:pPr>
              <w:spacing w:after="0"/>
              <w:rPr>
                <w:sz w:val="21"/>
                <w:szCs w:val="21"/>
                <w:color w:val="auto"/>
              </w:rPr>
            </w:pPr>
          </w:p>
        </w:tc>
        <w:tc>
          <w:tcPr>
            <w:tcW w:w="720" w:type="dxa"/>
            <w:vAlign w:val="bottom"/>
            <w:shd w:val="clear" w:color="auto" w:fill="ABD8EA"/>
          </w:tcPr>
          <w:p>
            <w:pPr>
              <w:spacing w:after="0"/>
              <w:rPr>
                <w:sz w:val="21"/>
                <w:szCs w:val="21"/>
                <w:color w:val="auto"/>
              </w:rPr>
            </w:pPr>
          </w:p>
        </w:tc>
        <w:tc>
          <w:tcPr>
            <w:tcW w:w="1120" w:type="dxa"/>
            <w:vAlign w:val="bottom"/>
            <w:shd w:val="clear" w:color="auto" w:fill="ABD8EA"/>
          </w:tcPr>
          <w:p>
            <w:pPr>
              <w:spacing w:after="0"/>
              <w:rPr>
                <w:sz w:val="21"/>
                <w:szCs w:val="21"/>
                <w:color w:val="auto"/>
              </w:rPr>
            </w:pPr>
          </w:p>
        </w:tc>
        <w:tc>
          <w:tcPr>
            <w:tcW w:w="760" w:type="dxa"/>
            <w:vAlign w:val="bottom"/>
            <w:shd w:val="clear" w:color="auto" w:fill="ABD8EA"/>
          </w:tcPr>
          <w:p>
            <w:pPr>
              <w:spacing w:after="0"/>
              <w:rPr>
                <w:sz w:val="21"/>
                <w:szCs w:val="21"/>
                <w:color w:val="auto"/>
              </w:rPr>
            </w:pPr>
          </w:p>
        </w:tc>
        <w:tc>
          <w:tcPr>
            <w:tcW w:w="1120" w:type="dxa"/>
            <w:vAlign w:val="bottom"/>
            <w:shd w:val="clear" w:color="auto" w:fill="ABD8EA"/>
          </w:tcPr>
          <w:p>
            <w:pPr>
              <w:spacing w:after="0"/>
              <w:rPr>
                <w:sz w:val="21"/>
                <w:szCs w:val="21"/>
                <w:color w:val="auto"/>
              </w:rPr>
            </w:pPr>
          </w:p>
        </w:tc>
        <w:tc>
          <w:tcPr>
            <w:tcW w:w="760" w:type="dxa"/>
            <w:vAlign w:val="bottom"/>
            <w:shd w:val="clear" w:color="auto" w:fill="ABD8EA"/>
          </w:tcPr>
          <w:p>
            <w:pPr>
              <w:spacing w:after="0"/>
              <w:rPr>
                <w:sz w:val="21"/>
                <w:szCs w:val="21"/>
                <w:color w:val="auto"/>
              </w:rPr>
            </w:pPr>
          </w:p>
        </w:tc>
        <w:tc>
          <w:tcPr>
            <w:tcW w:w="2040" w:type="dxa"/>
            <w:vAlign w:val="bottom"/>
            <w:gridSpan w:val="2"/>
            <w:shd w:val="clear" w:color="auto" w:fill="ABD8EA"/>
          </w:tcPr>
          <w:p>
            <w:pPr>
              <w:jc w:val="right"/>
              <w:ind w:right="780"/>
              <w:spacing w:after="0"/>
              <w:rPr>
                <w:sz w:val="20"/>
                <w:szCs w:val="20"/>
                <w:color w:val="auto"/>
              </w:rPr>
            </w:pPr>
            <w:r>
              <w:rPr>
                <w:rFonts w:ascii="Times New Roman" w:cs="Times New Roman" w:eastAsia="Times New Roman" w:hAnsi="Times New Roman"/>
                <w:sz w:val="18"/>
                <w:szCs w:val="18"/>
                <w:color w:val="auto"/>
              </w:rPr>
              <w:t>7,553</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174,550</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4,513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121,580</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5,627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720" w:type="dxa"/>
            <w:vAlign w:val="bottom"/>
            <w:shd w:val="clear" w:color="auto" w:fill="ABD8EA"/>
          </w:tcPr>
          <w:p>
            <w:pPr>
              <w:spacing w:after="0"/>
              <w:rPr>
                <w:sz w:val="21"/>
                <w:szCs w:val="21"/>
                <w:color w:val="auto"/>
              </w:rPr>
            </w:pPr>
          </w:p>
        </w:tc>
        <w:tc>
          <w:tcPr>
            <w:tcW w:w="1880" w:type="dxa"/>
            <w:vAlign w:val="bottom"/>
            <w:gridSpan w:val="2"/>
            <w:shd w:val="clear" w:color="auto" w:fill="ABD8EA"/>
          </w:tcPr>
          <w:p>
            <w:pPr>
              <w:jc w:val="right"/>
              <w:ind w:right="760"/>
              <w:spacing w:after="0"/>
              <w:rPr>
                <w:sz w:val="20"/>
                <w:szCs w:val="20"/>
                <w:color w:val="auto"/>
              </w:rPr>
            </w:pPr>
            <w:r>
              <w:rPr>
                <w:rFonts w:ascii="Times New Roman" w:cs="Times New Roman" w:eastAsia="Times New Roman" w:hAnsi="Times New Roman"/>
                <w:sz w:val="18"/>
                <w:szCs w:val="18"/>
                <w:color w:val="auto"/>
              </w:rPr>
              <w:t>7,056</w:t>
            </w:r>
          </w:p>
        </w:tc>
        <w:tc>
          <w:tcPr>
            <w:tcW w:w="1880" w:type="dxa"/>
            <w:vAlign w:val="bottom"/>
            <w:gridSpan w:val="2"/>
            <w:shd w:val="clear" w:color="auto" w:fill="ABD8EA"/>
          </w:tcPr>
          <w:p>
            <w:pPr>
              <w:jc w:val="right"/>
              <w:ind w:right="760"/>
              <w:spacing w:after="0"/>
              <w:rPr>
                <w:sz w:val="20"/>
                <w:szCs w:val="20"/>
                <w:color w:val="auto"/>
              </w:rPr>
            </w:pPr>
            <w:r>
              <w:rPr>
                <w:rFonts w:ascii="Times New Roman" w:cs="Times New Roman" w:eastAsia="Times New Roman" w:hAnsi="Times New Roman"/>
                <w:sz w:val="18"/>
                <w:szCs w:val="18"/>
                <w:color w:val="auto"/>
              </w:rPr>
              <w:t>33,657</w:t>
            </w:r>
          </w:p>
        </w:tc>
        <w:tc>
          <w:tcPr>
            <w:tcW w:w="2040" w:type="dxa"/>
            <w:vAlign w:val="bottom"/>
            <w:gridSpan w:val="2"/>
            <w:shd w:val="clear" w:color="auto" w:fill="ABD8EA"/>
          </w:tcPr>
          <w:p>
            <w:pPr>
              <w:jc w:val="right"/>
              <w:ind w:right="780"/>
              <w:spacing w:after="0"/>
              <w:rPr>
                <w:sz w:val="20"/>
                <w:szCs w:val="20"/>
                <w:color w:val="auto"/>
              </w:rPr>
            </w:pPr>
            <w:r>
              <w:rPr>
                <w:rFonts w:ascii="Times New Roman" w:cs="Times New Roman" w:eastAsia="Times New Roman" w:hAnsi="Times New Roman"/>
                <w:sz w:val="18"/>
                <w:szCs w:val="18"/>
                <w:color w:val="auto"/>
              </w:rPr>
              <w:t>1,839</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49,543</w:t>
            </w:r>
          </w:p>
        </w:tc>
        <w:tc>
          <w:tcPr>
            <w:tcW w:w="0" w:type="dxa"/>
            <w:vAlign w:val="bottom"/>
          </w:tcPr>
          <w:p>
            <w:pPr>
              <w:spacing w:after="0"/>
              <w:rPr>
                <w:sz w:val="1"/>
                <w:szCs w:val="1"/>
                <w:color w:val="auto"/>
              </w:rPr>
            </w:pPr>
          </w:p>
        </w:tc>
      </w:tr>
      <w:tr>
        <w:trPr>
          <w:trHeight w:val="243"/>
        </w:trPr>
        <w:tc>
          <w:tcPr>
            <w:tcW w:w="3340" w:type="dxa"/>
            <w:vAlign w:val="bottom"/>
            <w:shd w:val="clear" w:color="auto" w:fill="ABD8EA"/>
          </w:tcPr>
          <w:p>
            <w:pPr>
              <w:spacing w:after="0"/>
              <w:rPr>
                <w:sz w:val="21"/>
                <w:szCs w:val="21"/>
                <w:color w:val="auto"/>
              </w:rPr>
            </w:pPr>
          </w:p>
        </w:tc>
        <w:tc>
          <w:tcPr>
            <w:tcW w:w="720" w:type="dxa"/>
            <w:vAlign w:val="bottom"/>
            <w:shd w:val="clear" w:color="auto" w:fill="ABD8EA"/>
          </w:tcPr>
          <w:p>
            <w:pPr>
              <w:spacing w:after="0"/>
              <w:rPr>
                <w:sz w:val="21"/>
                <w:szCs w:val="21"/>
                <w:color w:val="auto"/>
              </w:rPr>
            </w:pPr>
          </w:p>
        </w:tc>
        <w:tc>
          <w:tcPr>
            <w:tcW w:w="1120" w:type="dxa"/>
            <w:vAlign w:val="bottom"/>
            <w:shd w:val="clear" w:color="auto" w:fill="ABD8EA"/>
          </w:tcPr>
          <w:p>
            <w:pPr>
              <w:spacing w:after="0"/>
              <w:rPr>
                <w:sz w:val="21"/>
                <w:szCs w:val="21"/>
                <w:color w:val="auto"/>
              </w:rPr>
            </w:pPr>
          </w:p>
        </w:tc>
        <w:tc>
          <w:tcPr>
            <w:tcW w:w="760" w:type="dxa"/>
            <w:vAlign w:val="bottom"/>
            <w:shd w:val="clear" w:color="auto" w:fill="ABD8EA"/>
          </w:tcPr>
          <w:p>
            <w:pPr>
              <w:spacing w:after="0"/>
              <w:rPr>
                <w:sz w:val="21"/>
                <w:szCs w:val="21"/>
                <w:color w:val="auto"/>
              </w:rPr>
            </w:pPr>
          </w:p>
        </w:tc>
        <w:tc>
          <w:tcPr>
            <w:tcW w:w="1120" w:type="dxa"/>
            <w:vAlign w:val="bottom"/>
            <w:shd w:val="clear" w:color="auto" w:fill="ABD8EA"/>
          </w:tcPr>
          <w:p>
            <w:pPr>
              <w:spacing w:after="0"/>
              <w:rPr>
                <w:sz w:val="21"/>
                <w:szCs w:val="21"/>
                <w:color w:val="auto"/>
              </w:rPr>
            </w:pPr>
          </w:p>
        </w:tc>
        <w:tc>
          <w:tcPr>
            <w:tcW w:w="760" w:type="dxa"/>
            <w:vAlign w:val="bottom"/>
            <w:shd w:val="clear" w:color="auto" w:fill="ABD8EA"/>
          </w:tcPr>
          <w:p>
            <w:pPr>
              <w:spacing w:after="0"/>
              <w:rPr>
                <w:sz w:val="21"/>
                <w:szCs w:val="21"/>
                <w:color w:val="auto"/>
              </w:rPr>
            </w:pPr>
          </w:p>
        </w:tc>
        <w:tc>
          <w:tcPr>
            <w:tcW w:w="2040" w:type="dxa"/>
            <w:vAlign w:val="bottom"/>
            <w:gridSpan w:val="2"/>
            <w:shd w:val="clear" w:color="auto" w:fill="ABD8EA"/>
          </w:tcPr>
          <w:p>
            <w:pPr>
              <w:jc w:val="right"/>
              <w:ind w:right="780"/>
              <w:spacing w:after="0"/>
              <w:rPr>
                <w:sz w:val="20"/>
                <w:szCs w:val="20"/>
                <w:color w:val="auto"/>
              </w:rPr>
            </w:pPr>
            <w:r>
              <w:rPr>
                <w:rFonts w:ascii="Times New Roman" w:cs="Times New Roman" w:eastAsia="Times New Roman" w:hAnsi="Times New Roman"/>
                <w:sz w:val="18"/>
                <w:szCs w:val="18"/>
                <w:color w:val="auto"/>
              </w:rPr>
              <w:t>4,532</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104,735</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2,229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60,049</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2,321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right="28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stock options exercise and stock awards vested in fiscal year 2022, if any, are fully disclosed in Post’s filings with the SEC.</w:t>
      </w:r>
    </w:p>
    <w:p>
      <w:pPr>
        <w:ind w:left="540" w:right="540" w:hanging="424"/>
        <w:spacing w:after="0" w:line="250"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valued at the spread between the closing price of our common stock as reported on the NYSE on the exercise date and the exercise price of the options.</w:t>
      </w: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valued at the closing price of our common stock as reported on the NYSE on the date of vesting.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an involuntary termination of employment, each of our NEOs is eligible for compensation and benefits under their respective severance and change in control agreements (other than Mr. Vitale, who has no such agreement) and equity compensation award agreements as described below. Except for the treatment of his equity compensation awards granted by the Company, Mr. Vitale is not eligible to receive any other benefits upon a termination of his employment by us. Mr. Vitale is the President and Chief Executive Officer of Post and also is compensated by Post for his services as an employee of Post as disclosed in Post’s filings with the SEC.</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estimates of the amounts to which each NEO would be entitled to receive from the Company pursuant to his or her severance and change in control agreement (other than Mr. Vitale, who has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no such agreement) and equity compensation award agreements with us and in the event of (a) the voluntary termination of the NEO’s employment or the NEO’s retirement, (b) the involuntary not for cause termination of the NEO’s employment, (c) the involuntary termination of the NEO’s employment in connection with a change in control, or (d) the NEO’s death or disability (in conjunction with a termination), each as if such event had occurred on September 30, 2022.</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 for</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followed by</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10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Involuntary</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73"/>
        </w:trPr>
        <w:tc>
          <w:tcPr>
            <w:tcW w:w="308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BD8EA"/>
            </w:tcBorders>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ABD8EA"/>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60" w:type="dxa"/>
            <w:vAlign w:val="bottom"/>
            <w:tcBorders>
              <w:bottom w:val="single" w:sz="8" w:color="ABD8EA"/>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(4)</w:t>
            </w:r>
          </w:p>
        </w:tc>
        <w:tc>
          <w:tcPr>
            <w:tcW w:w="180" w:type="dxa"/>
            <w:vAlign w:val="bottom"/>
            <w:tcBorders>
              <w:bottom w:val="single" w:sz="8" w:color="ABD8EA"/>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(4)</w:t>
            </w:r>
          </w:p>
        </w:tc>
        <w:tc>
          <w:tcPr>
            <w:tcW w:w="80" w:type="dxa"/>
            <w:vAlign w:val="bottom"/>
            <w:tcBorders>
              <w:bottom w:val="single" w:sz="8" w:color="ABD8EA"/>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Cash (Salary and Bonus)</w:t>
            </w:r>
          </w:p>
        </w:tc>
        <w:tc>
          <w:tcPr>
            <w:tcW w:w="120" w:type="dxa"/>
            <w:vAlign w:val="bottom"/>
            <w:shd w:val="clear" w:color="auto" w:fill="ABD8EA"/>
          </w:tcPr>
          <w:p>
            <w:pPr>
              <w:spacing w:after="0"/>
              <w:rPr>
                <w:sz w:val="19"/>
                <w:szCs w:val="19"/>
                <w:color w:val="auto"/>
              </w:rPr>
            </w:pPr>
          </w:p>
        </w:tc>
        <w:tc>
          <w:tcPr>
            <w:tcW w:w="40" w:type="dxa"/>
            <w:vAlign w:val="bottom"/>
            <w:shd w:val="clear" w:color="auto" w:fill="ABD8EA"/>
          </w:tcPr>
          <w:p>
            <w:pPr>
              <w:spacing w:after="0"/>
              <w:rPr>
                <w:sz w:val="19"/>
                <w:szCs w:val="19"/>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ABD8EA"/>
          </w:tcPr>
          <w:p>
            <w:pPr>
              <w:spacing w:after="0"/>
              <w:rPr>
                <w:sz w:val="18"/>
                <w:szCs w:val="18"/>
                <w:color w:val="auto"/>
              </w:rPr>
            </w:pP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Value of Stock and Option Awards</w:t>
            </w:r>
          </w:p>
        </w:tc>
        <w:tc>
          <w:tcPr>
            <w:tcW w:w="120" w:type="dxa"/>
            <w:vAlign w:val="bottom"/>
            <w:shd w:val="clear" w:color="auto" w:fill="ABD8EA"/>
          </w:tcPr>
          <w:p>
            <w:pPr>
              <w:spacing w:after="0"/>
              <w:rPr>
                <w:sz w:val="18"/>
                <w:szCs w:val="18"/>
                <w:color w:val="auto"/>
              </w:rPr>
            </w:pPr>
          </w:p>
        </w:tc>
        <w:tc>
          <w:tcPr>
            <w:tcW w:w="40" w:type="dxa"/>
            <w:vAlign w:val="bottom"/>
            <w:shd w:val="clear" w:color="auto" w:fill="ABD8EA"/>
          </w:tcPr>
          <w:p>
            <w:pPr>
              <w:spacing w:after="0"/>
              <w:rPr>
                <w:sz w:val="18"/>
                <w:szCs w:val="18"/>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1,827,818</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8,244,000</w:t>
            </w:r>
          </w:p>
        </w:tc>
        <w:tc>
          <w:tcPr>
            <w:tcW w:w="108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color w:val="auto"/>
              </w:rPr>
              <w:t>8,244,000</w:t>
            </w:r>
          </w:p>
        </w:tc>
        <w:tc>
          <w:tcPr>
            <w:tcW w:w="0" w:type="dxa"/>
            <w:vAlign w:val="bottom"/>
          </w:tcPr>
          <w:p>
            <w:pPr>
              <w:spacing w:after="0"/>
              <w:rPr>
                <w:sz w:val="1"/>
                <w:szCs w:val="1"/>
                <w:color w:val="auto"/>
              </w:rPr>
            </w:pPr>
          </w:p>
        </w:tc>
      </w:tr>
      <w:tr>
        <w:trPr>
          <w:trHeight w:val="216"/>
        </w:trPr>
        <w:tc>
          <w:tcPr>
            <w:tcW w:w="3080" w:type="dxa"/>
            <w:vAlign w:val="bottom"/>
            <w:shd w:val="clear" w:color="auto" w:fill="ABD8EA"/>
          </w:tcPr>
          <w:p>
            <w:pPr>
              <w:spacing w:after="0"/>
              <w:rPr>
                <w:sz w:val="18"/>
                <w:szCs w:val="18"/>
                <w:color w:val="auto"/>
              </w:rPr>
            </w:pP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Non-qualified Deferred Compensation</w:t>
            </w:r>
          </w:p>
        </w:tc>
        <w:tc>
          <w:tcPr>
            <w:tcW w:w="120" w:type="dxa"/>
            <w:vAlign w:val="bottom"/>
            <w:shd w:val="clear" w:color="auto" w:fill="ABD8EA"/>
          </w:tcPr>
          <w:p>
            <w:pPr>
              <w:spacing w:after="0"/>
              <w:rPr>
                <w:sz w:val="18"/>
                <w:szCs w:val="18"/>
                <w:color w:val="auto"/>
              </w:rPr>
            </w:pPr>
          </w:p>
        </w:tc>
        <w:tc>
          <w:tcPr>
            <w:tcW w:w="40" w:type="dxa"/>
            <w:vAlign w:val="bottom"/>
            <w:shd w:val="clear" w:color="auto" w:fill="ABD8EA"/>
          </w:tcPr>
          <w:p>
            <w:pPr>
              <w:spacing w:after="0"/>
              <w:rPr>
                <w:sz w:val="18"/>
                <w:szCs w:val="18"/>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ABD8EA"/>
          </w:tcPr>
          <w:p>
            <w:pPr>
              <w:spacing w:after="0"/>
              <w:rPr>
                <w:sz w:val="18"/>
                <w:szCs w:val="18"/>
                <w:color w:val="auto"/>
              </w:rPr>
            </w:pP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20" w:type="dxa"/>
            <w:vAlign w:val="bottom"/>
            <w:shd w:val="clear" w:color="auto" w:fill="ABD8EA"/>
          </w:tcPr>
          <w:p>
            <w:pPr>
              <w:spacing w:after="0"/>
              <w:rPr>
                <w:sz w:val="18"/>
                <w:szCs w:val="18"/>
                <w:color w:val="auto"/>
              </w:rPr>
            </w:pPr>
          </w:p>
        </w:tc>
        <w:tc>
          <w:tcPr>
            <w:tcW w:w="40" w:type="dxa"/>
            <w:vAlign w:val="bottom"/>
            <w:shd w:val="clear" w:color="auto" w:fill="ABD8EA"/>
          </w:tcPr>
          <w:p>
            <w:pPr>
              <w:spacing w:after="0"/>
              <w:rPr>
                <w:sz w:val="18"/>
                <w:szCs w:val="18"/>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shd w:val="clear" w:color="auto" w:fill="ABD8EA"/>
          </w:tcPr>
          <w:p>
            <w:pPr>
              <w:spacing w:after="0"/>
              <w:rPr>
                <w:sz w:val="21"/>
                <w:szCs w:val="21"/>
                <w:color w:val="auto"/>
              </w:rPr>
            </w:pP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ABD8EA"/>
          </w:tcPr>
          <w:p>
            <w:pPr>
              <w:spacing w:after="0"/>
              <w:rPr>
                <w:sz w:val="21"/>
                <w:szCs w:val="21"/>
                <w:color w:val="auto"/>
              </w:rPr>
            </w:pPr>
          </w:p>
        </w:tc>
        <w:tc>
          <w:tcPr>
            <w:tcW w:w="40" w:type="dxa"/>
            <w:vAlign w:val="bottom"/>
            <w:shd w:val="clear" w:color="auto" w:fill="ABD8EA"/>
          </w:tcPr>
          <w:p>
            <w:pPr>
              <w:spacing w:after="0"/>
              <w:rPr>
                <w:sz w:val="21"/>
                <w:szCs w:val="21"/>
                <w:color w:val="auto"/>
              </w:rPr>
            </w:pPr>
          </w:p>
        </w:tc>
        <w:tc>
          <w:tcPr>
            <w:tcW w:w="820" w:type="dxa"/>
            <w:vAlign w:val="bottom"/>
            <w:shd w:val="clear" w:color="auto" w:fill="ABD8EA"/>
          </w:tcPr>
          <w:p>
            <w:pPr>
              <w:spacing w:after="0"/>
              <w:rPr>
                <w:sz w:val="21"/>
                <w:szCs w:val="21"/>
                <w:color w:val="auto"/>
              </w:rPr>
            </w:pPr>
          </w:p>
        </w:tc>
        <w:tc>
          <w:tcPr>
            <w:tcW w:w="160" w:type="dxa"/>
            <w:vAlign w:val="bottom"/>
            <w:shd w:val="clear" w:color="auto" w:fill="ABD8EA"/>
          </w:tcPr>
          <w:p>
            <w:pPr>
              <w:spacing w:after="0"/>
              <w:rPr>
                <w:sz w:val="21"/>
                <w:szCs w:val="21"/>
                <w:color w:val="auto"/>
              </w:rPr>
            </w:pP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1,827,7818</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8,244,000</w:t>
            </w:r>
          </w:p>
        </w:tc>
        <w:tc>
          <w:tcPr>
            <w:tcW w:w="108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8,244,000</w:t>
            </w:r>
          </w:p>
        </w:tc>
        <w:tc>
          <w:tcPr>
            <w:tcW w:w="0" w:type="dxa"/>
            <w:vAlign w:val="bottom"/>
          </w:tcPr>
          <w:p>
            <w:pPr>
              <w:spacing w:after="0"/>
              <w:rPr>
                <w:sz w:val="1"/>
                <w:szCs w:val="1"/>
                <w:color w:val="auto"/>
              </w:rPr>
            </w:pPr>
          </w:p>
        </w:tc>
      </w:tr>
      <w:tr>
        <w:trPr>
          <w:trHeight w:val="22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(Salary and Bonus)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1,625,000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2,437,500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5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2,091,148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4,815,048</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4,815,048</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5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508,195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508,195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508,195</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508,195</w:t>
            </w: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42,202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63,303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508,195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4,266,545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7,824,046</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5,323,243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Cash (Salary and Bonus)</w:t>
            </w:r>
          </w:p>
        </w:tc>
        <w:tc>
          <w:tcPr>
            <w:tcW w:w="120" w:type="dxa"/>
            <w:vAlign w:val="bottom"/>
            <w:shd w:val="clear" w:color="auto" w:fill="ABD8EA"/>
          </w:tcPr>
          <w:p>
            <w:pPr>
              <w:spacing w:after="0"/>
              <w:rPr>
                <w:sz w:val="21"/>
                <w:szCs w:val="21"/>
                <w:color w:val="auto"/>
              </w:rPr>
            </w:pPr>
          </w:p>
        </w:tc>
        <w:tc>
          <w:tcPr>
            <w:tcW w:w="40" w:type="dxa"/>
            <w:vAlign w:val="bottom"/>
            <w:shd w:val="clear" w:color="auto" w:fill="ABD8EA"/>
          </w:tcPr>
          <w:p>
            <w:pPr>
              <w:spacing w:after="0"/>
              <w:rPr>
                <w:sz w:val="21"/>
                <w:szCs w:val="21"/>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693,000</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1,386,000</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ABD8EA"/>
          </w:tcPr>
          <w:p>
            <w:pPr>
              <w:spacing w:after="0"/>
              <w:rPr>
                <w:sz w:val="18"/>
                <w:szCs w:val="18"/>
                <w:color w:val="auto"/>
              </w:rPr>
            </w:pPr>
          </w:p>
        </w:tc>
        <w:tc>
          <w:tcPr>
            <w:tcW w:w="3500" w:type="dxa"/>
            <w:vAlign w:val="bottom"/>
            <w:shd w:val="clear" w:color="auto" w:fill="ABD8EA"/>
          </w:tcPr>
          <w:p>
            <w:pPr>
              <w:ind w:left="10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20" w:type="dxa"/>
            <w:vAlign w:val="bottom"/>
            <w:shd w:val="clear" w:color="auto" w:fill="ABD8EA"/>
          </w:tcPr>
          <w:p>
            <w:pPr>
              <w:spacing w:after="0"/>
              <w:rPr>
                <w:sz w:val="18"/>
                <w:szCs w:val="18"/>
                <w:color w:val="auto"/>
              </w:rPr>
            </w:pPr>
          </w:p>
        </w:tc>
        <w:tc>
          <w:tcPr>
            <w:tcW w:w="40" w:type="dxa"/>
            <w:vAlign w:val="bottom"/>
            <w:shd w:val="clear" w:color="auto" w:fill="ABD8EA"/>
          </w:tcPr>
          <w:p>
            <w:pPr>
              <w:spacing w:after="0"/>
              <w:rPr>
                <w:sz w:val="18"/>
                <w:szCs w:val="18"/>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103,386</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1,182,581</w:t>
            </w:r>
          </w:p>
        </w:tc>
        <w:tc>
          <w:tcPr>
            <w:tcW w:w="108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color w:val="auto"/>
              </w:rPr>
              <w:t>1,182,581</w:t>
            </w:r>
          </w:p>
        </w:tc>
        <w:tc>
          <w:tcPr>
            <w:tcW w:w="0" w:type="dxa"/>
            <w:vAlign w:val="bottom"/>
          </w:tcPr>
          <w:p>
            <w:pPr>
              <w:spacing w:after="0"/>
              <w:rPr>
                <w:sz w:val="1"/>
                <w:szCs w:val="1"/>
                <w:color w:val="auto"/>
              </w:rPr>
            </w:pPr>
          </w:p>
        </w:tc>
      </w:tr>
      <w:tr>
        <w:trPr>
          <w:trHeight w:val="216"/>
        </w:trPr>
        <w:tc>
          <w:tcPr>
            <w:tcW w:w="3080" w:type="dxa"/>
            <w:vAlign w:val="bottom"/>
            <w:shd w:val="clear" w:color="auto" w:fill="ABD8EA"/>
          </w:tcPr>
          <w:p>
            <w:pPr>
              <w:spacing w:after="0"/>
              <w:rPr>
                <w:sz w:val="18"/>
                <w:szCs w:val="18"/>
                <w:color w:val="auto"/>
              </w:rPr>
            </w:pPr>
          </w:p>
        </w:tc>
        <w:tc>
          <w:tcPr>
            <w:tcW w:w="3500" w:type="dxa"/>
            <w:vAlign w:val="bottom"/>
            <w:shd w:val="clear" w:color="auto" w:fill="ABD8EA"/>
          </w:tcPr>
          <w:p>
            <w:pPr>
              <w:ind w:left="10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20" w:type="dxa"/>
            <w:vAlign w:val="bottom"/>
            <w:shd w:val="clear" w:color="auto" w:fill="ABD8EA"/>
          </w:tcPr>
          <w:p>
            <w:pPr>
              <w:spacing w:after="0"/>
              <w:rPr>
                <w:sz w:val="18"/>
                <w:szCs w:val="18"/>
                <w:color w:val="auto"/>
              </w:rPr>
            </w:pPr>
          </w:p>
        </w:tc>
        <w:tc>
          <w:tcPr>
            <w:tcW w:w="1020" w:type="dxa"/>
            <w:vAlign w:val="bottom"/>
            <w:gridSpan w:val="3"/>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125,132</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125,132</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125,132</w:t>
            </w:r>
          </w:p>
        </w:tc>
        <w:tc>
          <w:tcPr>
            <w:tcW w:w="108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color w:val="auto"/>
              </w:rPr>
              <w:t>125,132</w:t>
            </w:r>
          </w:p>
        </w:tc>
        <w:tc>
          <w:tcPr>
            <w:tcW w:w="0" w:type="dxa"/>
            <w:vAlign w:val="bottom"/>
          </w:tcPr>
          <w:p>
            <w:pPr>
              <w:spacing w:after="0"/>
              <w:rPr>
                <w:sz w:val="1"/>
                <w:szCs w:val="1"/>
                <w:color w:val="auto"/>
              </w:rPr>
            </w:pPr>
          </w:p>
        </w:tc>
      </w:tr>
      <w:tr>
        <w:trPr>
          <w:trHeight w:val="216"/>
        </w:trPr>
        <w:tc>
          <w:tcPr>
            <w:tcW w:w="3080" w:type="dxa"/>
            <w:vAlign w:val="bottom"/>
            <w:shd w:val="clear" w:color="auto" w:fill="ABD8EA"/>
          </w:tcPr>
          <w:p>
            <w:pPr>
              <w:spacing w:after="0"/>
              <w:rPr>
                <w:sz w:val="18"/>
                <w:szCs w:val="18"/>
                <w:color w:val="auto"/>
              </w:rPr>
            </w:pP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20" w:type="dxa"/>
            <w:vAlign w:val="bottom"/>
            <w:shd w:val="clear" w:color="auto" w:fill="ABD8EA"/>
          </w:tcPr>
          <w:p>
            <w:pPr>
              <w:spacing w:after="0"/>
              <w:rPr>
                <w:sz w:val="18"/>
                <w:szCs w:val="18"/>
                <w:color w:val="auto"/>
              </w:rPr>
            </w:pPr>
          </w:p>
        </w:tc>
        <w:tc>
          <w:tcPr>
            <w:tcW w:w="40" w:type="dxa"/>
            <w:vAlign w:val="bottom"/>
            <w:shd w:val="clear" w:color="auto" w:fill="ABD8EA"/>
          </w:tcPr>
          <w:p>
            <w:pPr>
              <w:spacing w:after="0"/>
              <w:rPr>
                <w:sz w:val="18"/>
                <w:szCs w:val="18"/>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21,254</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42,508</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shd w:val="clear" w:color="auto" w:fill="ABD8EA"/>
          </w:tcPr>
          <w:p>
            <w:pPr>
              <w:spacing w:after="0"/>
              <w:rPr>
                <w:sz w:val="21"/>
                <w:szCs w:val="21"/>
                <w:color w:val="auto"/>
              </w:rPr>
            </w:pP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ABD8EA"/>
          </w:tcPr>
          <w:p>
            <w:pPr>
              <w:spacing w:after="0"/>
              <w:rPr>
                <w:sz w:val="21"/>
                <w:szCs w:val="21"/>
                <w:color w:val="auto"/>
              </w:rPr>
            </w:pPr>
          </w:p>
        </w:tc>
        <w:tc>
          <w:tcPr>
            <w:tcW w:w="40" w:type="dxa"/>
            <w:vAlign w:val="bottom"/>
            <w:shd w:val="clear" w:color="auto" w:fill="ABD8EA"/>
          </w:tcPr>
          <w:p>
            <w:pPr>
              <w:spacing w:after="0"/>
              <w:rPr>
                <w:sz w:val="21"/>
                <w:szCs w:val="21"/>
                <w:color w:val="auto"/>
              </w:rPr>
            </w:pPr>
          </w:p>
        </w:tc>
        <w:tc>
          <w:tcPr>
            <w:tcW w:w="9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125,132</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942,772</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2,736,221</w:t>
            </w:r>
          </w:p>
        </w:tc>
        <w:tc>
          <w:tcPr>
            <w:tcW w:w="108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1,307,7132</w:t>
            </w:r>
          </w:p>
        </w:tc>
        <w:tc>
          <w:tcPr>
            <w:tcW w:w="0" w:type="dxa"/>
            <w:vAlign w:val="bottom"/>
          </w:tcPr>
          <w:p>
            <w:pPr>
              <w:spacing w:after="0"/>
              <w:rPr>
                <w:sz w:val="1"/>
                <w:szCs w:val="1"/>
                <w:color w:val="auto"/>
              </w:rPr>
            </w:pPr>
          </w:p>
        </w:tc>
      </w:tr>
      <w:tr>
        <w:trPr>
          <w:trHeight w:val="22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(Salary and Bonus)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627,000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1,254,000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5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67,930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948,967</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948,967</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5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76,335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76,335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76,335</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76,335</w:t>
            </w: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14,064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76,335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778,297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2,283,376</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1,025,303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Cash (Salary and Bonus)</w:t>
            </w:r>
          </w:p>
        </w:tc>
        <w:tc>
          <w:tcPr>
            <w:tcW w:w="120" w:type="dxa"/>
            <w:vAlign w:val="bottom"/>
            <w:shd w:val="clear" w:color="auto" w:fill="ABD8EA"/>
          </w:tcPr>
          <w:p>
            <w:pPr>
              <w:spacing w:after="0"/>
              <w:rPr>
                <w:sz w:val="21"/>
                <w:szCs w:val="21"/>
                <w:color w:val="auto"/>
              </w:rPr>
            </w:pPr>
          </w:p>
        </w:tc>
        <w:tc>
          <w:tcPr>
            <w:tcW w:w="40" w:type="dxa"/>
            <w:vAlign w:val="bottom"/>
            <w:shd w:val="clear" w:color="auto" w:fill="ABD8EA"/>
          </w:tcPr>
          <w:p>
            <w:pPr>
              <w:spacing w:after="0"/>
              <w:rPr>
                <w:sz w:val="21"/>
                <w:szCs w:val="21"/>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534,750</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1,069,500</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ABD8EA"/>
          </w:tcPr>
          <w:p>
            <w:pPr>
              <w:spacing w:after="0"/>
              <w:rPr>
                <w:sz w:val="18"/>
                <w:szCs w:val="18"/>
                <w:color w:val="auto"/>
              </w:rPr>
            </w:pPr>
          </w:p>
        </w:tc>
        <w:tc>
          <w:tcPr>
            <w:tcW w:w="3500" w:type="dxa"/>
            <w:vAlign w:val="bottom"/>
            <w:shd w:val="clear" w:color="auto" w:fill="ABD8EA"/>
          </w:tcPr>
          <w:p>
            <w:pPr>
              <w:ind w:left="10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20" w:type="dxa"/>
            <w:vAlign w:val="bottom"/>
            <w:shd w:val="clear" w:color="auto" w:fill="ABD8EA"/>
          </w:tcPr>
          <w:p>
            <w:pPr>
              <w:spacing w:after="0"/>
              <w:rPr>
                <w:sz w:val="18"/>
                <w:szCs w:val="18"/>
                <w:color w:val="auto"/>
              </w:rPr>
            </w:pPr>
          </w:p>
        </w:tc>
        <w:tc>
          <w:tcPr>
            <w:tcW w:w="40" w:type="dxa"/>
            <w:vAlign w:val="bottom"/>
            <w:shd w:val="clear" w:color="auto" w:fill="ABD8EA"/>
          </w:tcPr>
          <w:p>
            <w:pPr>
              <w:spacing w:after="0"/>
              <w:rPr>
                <w:sz w:val="18"/>
                <w:szCs w:val="18"/>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96,545</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663,754</w:t>
            </w:r>
          </w:p>
        </w:tc>
        <w:tc>
          <w:tcPr>
            <w:tcW w:w="108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color w:val="auto"/>
              </w:rPr>
              <w:t>663,754</w:t>
            </w:r>
          </w:p>
        </w:tc>
        <w:tc>
          <w:tcPr>
            <w:tcW w:w="0" w:type="dxa"/>
            <w:vAlign w:val="bottom"/>
          </w:tcPr>
          <w:p>
            <w:pPr>
              <w:spacing w:after="0"/>
              <w:rPr>
                <w:sz w:val="1"/>
                <w:szCs w:val="1"/>
                <w:color w:val="auto"/>
              </w:rPr>
            </w:pPr>
          </w:p>
        </w:tc>
      </w:tr>
      <w:tr>
        <w:trPr>
          <w:trHeight w:val="216"/>
        </w:trPr>
        <w:tc>
          <w:tcPr>
            <w:tcW w:w="3080" w:type="dxa"/>
            <w:vAlign w:val="bottom"/>
            <w:shd w:val="clear" w:color="auto" w:fill="ABD8EA"/>
          </w:tcPr>
          <w:p>
            <w:pPr>
              <w:spacing w:after="0"/>
              <w:rPr>
                <w:sz w:val="18"/>
                <w:szCs w:val="18"/>
                <w:color w:val="auto"/>
              </w:rPr>
            </w:pPr>
          </w:p>
        </w:tc>
        <w:tc>
          <w:tcPr>
            <w:tcW w:w="3500" w:type="dxa"/>
            <w:vAlign w:val="bottom"/>
            <w:shd w:val="clear" w:color="auto" w:fill="ABD8EA"/>
          </w:tcPr>
          <w:p>
            <w:pPr>
              <w:ind w:left="10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20" w:type="dxa"/>
            <w:vAlign w:val="bottom"/>
            <w:shd w:val="clear" w:color="auto" w:fill="ABD8EA"/>
          </w:tcPr>
          <w:p>
            <w:pPr>
              <w:spacing w:after="0"/>
              <w:rPr>
                <w:sz w:val="18"/>
                <w:szCs w:val="18"/>
                <w:color w:val="auto"/>
              </w:rPr>
            </w:pPr>
          </w:p>
        </w:tc>
        <w:tc>
          <w:tcPr>
            <w:tcW w:w="40" w:type="dxa"/>
            <w:vAlign w:val="bottom"/>
            <w:shd w:val="clear" w:color="auto" w:fill="ABD8EA"/>
          </w:tcPr>
          <w:p>
            <w:pPr>
              <w:spacing w:after="0"/>
              <w:rPr>
                <w:sz w:val="18"/>
                <w:szCs w:val="18"/>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ABD8EA"/>
          </w:tcPr>
          <w:p>
            <w:pPr>
              <w:spacing w:after="0"/>
              <w:rPr>
                <w:sz w:val="18"/>
                <w:szCs w:val="18"/>
                <w:color w:val="auto"/>
              </w:rPr>
            </w:pP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20" w:type="dxa"/>
            <w:vAlign w:val="bottom"/>
            <w:shd w:val="clear" w:color="auto" w:fill="ABD8EA"/>
          </w:tcPr>
          <w:p>
            <w:pPr>
              <w:spacing w:after="0"/>
              <w:rPr>
                <w:sz w:val="18"/>
                <w:szCs w:val="18"/>
                <w:color w:val="auto"/>
              </w:rPr>
            </w:pPr>
          </w:p>
        </w:tc>
        <w:tc>
          <w:tcPr>
            <w:tcW w:w="40" w:type="dxa"/>
            <w:vAlign w:val="bottom"/>
            <w:shd w:val="clear" w:color="auto" w:fill="ABD8EA"/>
          </w:tcPr>
          <w:p>
            <w:pPr>
              <w:spacing w:after="0"/>
              <w:rPr>
                <w:sz w:val="18"/>
                <w:szCs w:val="18"/>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21,687</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43,374</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shd w:val="clear" w:color="auto" w:fill="ABD8EA"/>
          </w:tcPr>
          <w:p>
            <w:pPr>
              <w:spacing w:after="0"/>
              <w:rPr>
                <w:sz w:val="21"/>
                <w:szCs w:val="21"/>
                <w:color w:val="auto"/>
              </w:rPr>
            </w:pPr>
          </w:p>
        </w:tc>
        <w:tc>
          <w:tcPr>
            <w:tcW w:w="3500" w:type="dxa"/>
            <w:vAlign w:val="bottom"/>
            <w:shd w:val="clear" w:color="auto" w:fill="ABD8EA"/>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ABD8EA"/>
          </w:tcPr>
          <w:p>
            <w:pPr>
              <w:spacing w:after="0"/>
              <w:rPr>
                <w:sz w:val="21"/>
                <w:szCs w:val="21"/>
                <w:color w:val="auto"/>
              </w:rPr>
            </w:pPr>
          </w:p>
        </w:tc>
        <w:tc>
          <w:tcPr>
            <w:tcW w:w="40" w:type="dxa"/>
            <w:vAlign w:val="bottom"/>
            <w:shd w:val="clear" w:color="auto" w:fill="ABD8EA"/>
          </w:tcPr>
          <w:p>
            <w:pPr>
              <w:spacing w:after="0"/>
              <w:rPr>
                <w:sz w:val="21"/>
                <w:szCs w:val="21"/>
                <w:color w:val="auto"/>
              </w:rPr>
            </w:pPr>
          </w:p>
        </w:tc>
        <w:tc>
          <w:tcPr>
            <w:tcW w:w="98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652,982</w:t>
            </w:r>
          </w:p>
        </w:tc>
        <w:tc>
          <w:tcPr>
            <w:tcW w:w="10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1,776,628</w:t>
            </w:r>
          </w:p>
        </w:tc>
        <w:tc>
          <w:tcPr>
            <w:tcW w:w="108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663,754</w:t>
            </w:r>
          </w:p>
        </w:tc>
        <w:tc>
          <w:tcPr>
            <w:tcW w:w="0" w:type="dxa"/>
            <w:vAlign w:val="bottom"/>
          </w:tcPr>
          <w:p>
            <w:pPr>
              <w:spacing w:after="0"/>
              <w:rPr>
                <w:sz w:val="1"/>
                <w:szCs w:val="1"/>
                <w:color w:val="auto"/>
              </w:rPr>
            </w:pPr>
          </w:p>
        </w:tc>
      </w:tr>
      <w:tr>
        <w:trPr>
          <w:trHeight w:val="22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(Salary and Bonus)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534,750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1,069,500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5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423,783</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423,783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5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15,072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542,286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1,508,355</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423,783</w:t>
            </w:r>
          </w:p>
        </w:tc>
        <w:tc>
          <w:tcPr>
            <w:tcW w:w="0" w:type="dxa"/>
            <w:vAlign w:val="bottom"/>
          </w:tcPr>
          <w:p>
            <w:pPr>
              <w:spacing w:after="0"/>
              <w:rPr>
                <w:sz w:val="1"/>
                <w:szCs w:val="1"/>
                <w:color w:val="auto"/>
              </w:rPr>
            </w:pPr>
          </w:p>
        </w:tc>
      </w:tr>
      <w:tr>
        <w:trPr>
          <w:trHeight w:val="392"/>
        </w:trPr>
        <w:tc>
          <w:tcPr>
            <w:tcW w:w="3080" w:type="dxa"/>
            <w:vAlign w:val="bottom"/>
          </w:tcPr>
          <w:p>
            <w:pPr>
              <w:spacing w:after="0"/>
              <w:rPr>
                <w:sz w:val="24"/>
                <w:szCs w:val="24"/>
                <w:color w:val="auto"/>
              </w:rPr>
            </w:pPr>
          </w:p>
        </w:tc>
        <w:tc>
          <w:tcPr>
            <w:tcW w:w="35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line="255"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Post RSU and option awards were valued at the closing price of Post’s common stock on September 30, 2022 of $81.91. All unvested Company RSU and option awards were valued at the closing price of our common stock on September 30, 2022 of $20.61. All unvested Company PRSU awards were value at target performance at the closing price of our common stock on September 30, 2022 of $20.61. Stock options are valued at the difference between the exercise price of the stock option and the applicable closing price on September 30, 2022.</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to be paid in lump sum unless otherwise specified.</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accelerated pro rata vesting of PRSUs at target for Mr. Vitale and at 112% of target for all other named executive officers, in each case based on actual performance as of September 30, 2022, and vested stock options for all named executive officers other than Mr. Vitale.</w:t>
      </w:r>
    </w:p>
    <w:p>
      <w:pPr>
        <w:ind w:left="540" w:right="380" w:hanging="424"/>
        <w:spacing w:after="0" w:line="26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accelerated vesting of PRSUs at 112% of target based on actual performance as of September 30, 2022 and accelerated vesting of all RSUs for all named executive officers and vested stock options for all named executive officers other than Mr. Vitale.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under the Severance and Change in Control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separate Severance and Change in Control Agreements with each of our named executive officers other than Mr. Vitale (the “Severance and CIC Agreements”). Under the Severance and CIC Agreements, all of our NEOs, other than Mr. Vitale, are eligible for severance benefits in the event his or her employment is terminated involuntarily other than for “cause.” Severance benefits relating to a termination other than for “cause” and not in connection with a “change in control” or resulting from an executive’s death or disability consist of the following:</w:t>
      </w:r>
    </w:p>
    <w:p>
      <w:pPr>
        <w:spacing w:after="0" w:line="85" w:lineRule="exact"/>
        <w:rPr>
          <w:sz w:val="20"/>
          <w:szCs w:val="20"/>
          <w:color w:val="auto"/>
        </w:rPr>
      </w:pPr>
    </w:p>
    <w:p>
      <w:pPr>
        <w:ind w:left="108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equal to one times, or 1.0x (or two times, or 2.0x, in the case of Ms. Davenport), the sum of (a) executive’s base salary, plus (b) executive’s target bonus for the year in which the termination occurs (the “Standard Severance Benefits”), payable in substantially equal installments in accordance with the Company’s regular payroll practices over 12 months (or 24 months in the case of Ms. Davenport) commencing 60 days after the date of termination (each, the applicable “Standard Severance Period”);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COBRA healthcare continuation coverage for up to 12 months (24 months for Ms. Davenport).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Severance benefits relating to a termination other than for “cause” that occurs within six months before or 24 months after a “change in control” consist of:</w:t>
      </w:r>
    </w:p>
    <w:p>
      <w:pPr>
        <w:spacing w:after="0" w:line="67" w:lineRule="exact"/>
        <w:rPr>
          <w:sz w:val="20"/>
          <w:szCs w:val="20"/>
          <w:color w:val="auto"/>
        </w:rPr>
      </w:pPr>
    </w:p>
    <w:p>
      <w:pPr>
        <w:ind w:left="1080" w:right="20" w:hanging="424"/>
        <w:spacing w:after="0" w:line="25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cash payment equal to two times, or 2.0x (or three times, or 3.0x, in the case of Ms. Davenport), the sum of (a) executive’s base salary, plus (b) executive’s target bonus for the year in which the termination occurs, payable within 60 days after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change in control does not constitute a change in control within the meaning of Section 409A of the Internal Revenue Code of 1986, as amended (the “Code”), then the portion of such severance up to the amount of the Standard Severance Benefits shall be payable in equal installments in accordance with the Company’s regular payroll practices over the Standard Severance Period; and</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COBRA healthcare continuation coverage for up to 24 months (36 months for Ms. Davenport).</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payment of the foregoing severance benefits to an executive under a Severance and CIC Agreement is in each case subject to the executive entering into a customary release of claims with the Company. The Severance and CIC Agreements also provide for customary non-competition and non-solicitation restrictive covenants for the duration of the applicable Standard Severance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Severance and CIC Agreements, the following definitions apply:</w:t>
      </w:r>
    </w:p>
    <w:p>
      <w:pPr>
        <w:spacing w:after="0" w:line="131" w:lineRule="exact"/>
        <w:rPr>
          <w:sz w:val="20"/>
          <w:szCs w:val="20"/>
          <w:color w:val="auto"/>
        </w:rPr>
      </w:pPr>
    </w:p>
    <w:p>
      <w:pPr>
        <w:ind w:left="1080" w:hanging="424"/>
        <w:spacing w:after="0" w:line="253"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(i) the continued failure by executive to devote reasonable time and effort to the performance of Executive’s duties (other than any such failure resulting from executive’s incapacity due to physical or mental illness) after written demand therefor has been delivered to executive by the Company that specifically identifies how Executive has not devoted reasonable time and effort to the performance of executive’s duties; or (ii) the willful engaging by executive in misconduct which is materially injurious to the Company, monetarily or otherwise; or (iii) executive’s conviction of, or plea of guilty or nolo contendere to, a felony or a crime involving moral turpitude; in any case as determined by the Board upon the good faith vote of not less than a majority of the Board, after reasonable notice to executive specifying in writing the basis or bases for the proposed termination for Cause and after executive has been provided an opportunity to be heard before a meeting of the Board held upon reasonable notice to all directors; provided, however, that a termination for Cause shall not include a termination attributable to: (1) bad judgment or negligence on the part of executive other than habitual negligence; (2) an act or omission believed by executive in good faith to have been in or not opposed to the best interests of the Company and reasonably believed by executive to be lawful; or (3) the good faith conduct of executive in connection with a Change in Control (including executive’s opposition to or support thereof).</w:t>
      </w:r>
    </w:p>
    <w:p>
      <w:pPr>
        <w:spacing w:after="0" w:line="95"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same definition as under the 2019 LTIP, and means, except as otherwise provided in a separate written agreement, any of the following:</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constitute the Board cease for any reason to constitute at least a majority of the Board.</w:t>
      </w:r>
    </w:p>
    <w:p>
      <w:pPr>
        <w:spacing w:after="0" w:line="130" w:lineRule="exact"/>
        <w:rPr>
          <w:rFonts w:ascii="Times New Roman" w:cs="Times New Roman" w:eastAsia="Times New Roman" w:hAnsi="Times New Roman"/>
          <w:sz w:val="18"/>
          <w:szCs w:val="18"/>
          <w:color w:val="auto"/>
        </w:rPr>
      </w:pPr>
    </w:p>
    <w:p>
      <w:pPr>
        <w:ind w:left="1540" w:hanging="439"/>
        <w:spacing w:after="0" w:line="256"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w:t>
      </w:r>
    </w:p>
    <w:p>
      <w:pPr>
        <w:spacing w:after="0" w:line="92"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beneficial ownership by the Company or any of its Subsidiaries,</w:t>
      </w:r>
    </w:p>
    <w:p>
      <w:pPr>
        <w:spacing w:after="0" w:line="130" w:lineRule="exact"/>
        <w:rPr>
          <w:rFonts w:ascii="Times New Roman" w:cs="Times New Roman" w:eastAsia="Times New Roman" w:hAnsi="Times New Roman"/>
          <w:sz w:val="18"/>
          <w:szCs w:val="18"/>
          <w:color w:val="auto"/>
        </w:rPr>
      </w:pPr>
    </w:p>
    <w:p>
      <w:pPr>
        <w:ind w:left="2080" w:hanging="533"/>
        <w:spacing w:after="0" w:line="266" w:lineRule="auto"/>
        <w:tabs>
          <w:tab w:leader="none" w:pos="20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81" w:lineRule="exact"/>
        <w:rPr>
          <w:rFonts w:ascii="Times New Roman" w:cs="Times New Roman" w:eastAsia="Times New Roman" w:hAnsi="Times New Roman"/>
          <w:sz w:val="18"/>
          <w:szCs w:val="18"/>
          <w:color w:val="auto"/>
        </w:rPr>
      </w:pPr>
    </w:p>
    <w:p>
      <w:pPr>
        <w:ind w:left="2080" w:right="420" w:hanging="533"/>
        <w:spacing w:after="0" w:line="282" w:lineRule="auto"/>
        <w:tabs>
          <w:tab w:leader="none" w:pos="20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employee benefit plan (or related trust) sponsored or maintained by the Company or one of more of its Subsidiaries.</w:t>
      </w:r>
    </w:p>
    <w:p>
      <w:pPr>
        <w:spacing w:after="0" w:line="67" w:lineRule="exact"/>
        <w:rPr>
          <w:rFonts w:ascii="Times New Roman" w:cs="Times New Roman" w:eastAsia="Times New Roman" w:hAnsi="Times New Roman"/>
          <w:sz w:val="18"/>
          <w:szCs w:val="18"/>
          <w:color w:val="auto"/>
        </w:rPr>
      </w:pPr>
    </w:p>
    <w:p>
      <w:pPr>
        <w:ind w:left="1540" w:right="480" w:hanging="439"/>
        <w:spacing w:after="0" w:line="282"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share exchange or consolidation (a “Business Combination”), unless in each case following such Business Combination:</w:t>
      </w:r>
    </w:p>
    <w:p>
      <w:pPr>
        <w:spacing w:after="0" w:line="67" w:lineRule="exact"/>
        <w:rPr>
          <w:rFonts w:ascii="Times New Roman" w:cs="Times New Roman" w:eastAsia="Times New Roman" w:hAnsi="Times New Roman"/>
          <w:sz w:val="18"/>
          <w:szCs w:val="18"/>
          <w:color w:val="auto"/>
        </w:rPr>
      </w:pPr>
    </w:p>
    <w:p>
      <w:pPr>
        <w:ind w:left="2080" w:right="100" w:hanging="533"/>
        <w:spacing w:after="0" w:line="258" w:lineRule="auto"/>
        <w:tabs>
          <w:tab w:leader="none" w:pos="20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88" w:lineRule="exact"/>
        <w:rPr>
          <w:rFonts w:ascii="Times New Roman" w:cs="Times New Roman" w:eastAsia="Times New Roman" w:hAnsi="Times New Roman"/>
          <w:sz w:val="18"/>
          <w:szCs w:val="18"/>
          <w:color w:val="auto"/>
        </w:rPr>
      </w:pPr>
    </w:p>
    <w:p>
      <w:pPr>
        <w:ind w:left="2080" w:right="220" w:hanging="533"/>
        <w:spacing w:after="0" w:line="282" w:lineRule="auto"/>
        <w:tabs>
          <w:tab w:leader="none" w:pos="20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entity or group (excluding any employee benefit plan (or related trust) of the Company or such corporation resulting from such Business Combination) beneficially owns,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40"/>
          </w:cols>
          <w:pgMar w:left="320" w:top="455"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080" w:right="180"/>
        <w:spacing w:after="0" w:line="261" w:lineRule="auto"/>
        <w:rPr>
          <w:sz w:val="20"/>
          <w:szCs w:val="20"/>
          <w:color w:val="auto"/>
        </w:rPr>
      </w:pPr>
      <w:r>
        <w:rPr>
          <w:rFonts w:ascii="Times New Roman" w:cs="Times New Roman" w:eastAsia="Times New Roman" w:hAnsi="Times New Roman"/>
          <w:sz w:val="18"/>
          <w:szCs w:val="18"/>
          <w:color w:val="auto"/>
        </w:rPr>
        <w:t>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85" w:lineRule="exact"/>
        <w:rPr>
          <w:sz w:val="20"/>
          <w:szCs w:val="20"/>
          <w:color w:val="auto"/>
        </w:rPr>
      </w:pPr>
    </w:p>
    <w:p>
      <w:pPr>
        <w:ind w:left="2080" w:right="20" w:hanging="533"/>
        <w:spacing w:after="0" w:line="266" w:lineRule="auto"/>
        <w:tabs>
          <w:tab w:leader="none" w:pos="20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or other governing body of the entity resulting from such Business Combination were members of the Board at the time of the execution of the initial agreement, or of the action of the Board, approving such Business Combination.</w:t>
      </w:r>
    </w:p>
    <w:p>
      <w:pPr>
        <w:spacing w:after="0" w:line="81"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sell or otherwise dispose of all or substantially all of the assets of the Company (in one transaction or a series of transactions).</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shall approve a plan to liquidate or dissolve the Company and the Company shall commence such liquidation or dissolution of the Company.</w:t>
      </w:r>
    </w:p>
    <w:p>
      <w:pPr>
        <w:spacing w:after="0" w:line="54" w:lineRule="exact"/>
        <w:rPr>
          <w:sz w:val="20"/>
          <w:szCs w:val="20"/>
          <w:color w:val="auto"/>
        </w:rPr>
      </w:pPr>
    </w:p>
    <w:p>
      <w:pPr>
        <w:ind w:left="880" w:right="2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Grant Agreements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Equity awards granted to officers under the BellRing Brands, Inc. 2019 Long-Term Incentive Plan (the “2019 LTIP”) are subject to special provisions in the event of certain involuntary terminations and/or a change in control (as defined in the 2019 LTIP) as described herein. Equity awards granted under the 2019 LTIP fully vest if the grantee experiences a qualifying termination “in connection with” a change in control, with the specific timeframes surrounding the change in control during which the termination must occur set forth in the applicable award agreement. The 2019 LTIP further provides that the award agreement will specify, with respect to performance-based targets, all performance goals or other vesting criteria will be either deemed achieved at 100% target levels and adjusted pro rata based on the applicable portion of the performance period which has passed,</w:t>
      </w:r>
    </w:p>
    <w:p>
      <w:pPr>
        <w:spacing w:after="0" w:line="5" w:lineRule="exact"/>
        <w:rPr>
          <w:sz w:val="20"/>
          <w:szCs w:val="20"/>
          <w:color w:val="auto"/>
        </w:rPr>
      </w:pPr>
    </w:p>
    <w:p>
      <w:pPr>
        <w:ind w:left="120" w:hanging="4"/>
        <w:spacing w:after="0" w:line="253" w:lineRule="auto"/>
        <w:tabs>
          <w:tab w:leader="none" w:pos="3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based upon actual performance levels or (c) the greater of (a) or (b). Additionally, all other terms and conditions of the equity award will be deemed to be met. With respect to stock options and RSUs granted to our NEOs pursuant to the 2019 LTIP, the termination of employment is deemed to be in connection with a change in control if it occurs during the three-month period prior to, or the twenty-four-month period beginning upon, the date of the change in control.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vesting rules for equity awards are as follows:</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issued to officers under the 2019 LTIP vest in whole upon a termination because of death or disability.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agreements issued under the 2019 LTIP provide that if the officer’s employment with a Company affiliate terminates as a result of the sale of his or her employing business or that Company affiliate, and the acquirer does not agree to assume the award on substantially the same terms, then the award fully vests.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granted under the 2019 LTIP will remain exercisable until the expiration of the award under its terms.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our named executive officers has an employment agreement with the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for the Fiscal Year Ended September 30, 2022</w:t>
      </w:r>
    </w:p>
    <w:p>
      <w:pPr>
        <w:spacing w:after="0" w:line="121" w:lineRule="exact"/>
        <w:rPr>
          <w:sz w:val="20"/>
          <w:szCs w:val="20"/>
          <w:color w:val="auto"/>
        </w:rPr>
      </w:pPr>
    </w:p>
    <w:p>
      <w:pPr>
        <w:jc w:val="both"/>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All non-management directors received an annual retainer of $60,000. The chairperson of our Audit Committee receives an additional annual retainer of $15,000 and all other members of the Audit Committee receive an additional annual retainer of $7,500. The chairperson of our Corporate Governance and Compensation Committee receives an additional annual retainer of $10,000 and all other members of the Corporate Governance and Compensation Committee receives an additional annual retainer of $5,000. The independent lead director of our Board receives an additional annual retainer of $20,000.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cash compensation, all non-management directors received an annual grant in the form of RSUs with a grant date fair value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$100,000 calculated in accordance with FASB ASC Topic 718. All awards fully vest on the first anniversary of the date of grant. Also,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2021, the members of the Special Committee received a special grant in the form of RSUs with a grant date fair value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$35,000 for the chairperson and $30,000 for all other members of the Special Committee. The RSUs granted to the members of the Special Committee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vest in three equal, annual installments on the first, second and third anniversaries of the grant date. All RSU awards fully vest at the director’s disability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death, but RSUs shall be forfeited and cancelled upon a director’s earlier resignation or removal. Directors may elect to defer settlement of RSUs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until separation from service.</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162"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Under our Deferred Compensation Plan for Directors, any non-management director may elect to defer, with certain limitations, his or her cash retainer, in whole or in part. Deferred compensation may be notionally invested in BellRing common stock equivalents or in a number of mutual funds operated by The Vanguard Group Inc. with a variety of investment strategies and objectives. Deferrals in our common stock equivalents receive a</w:t>
      </w:r>
    </w:p>
    <w:p>
      <w:pPr>
        <w:spacing w:after="0" w:line="2" w:lineRule="exact"/>
        <w:rPr>
          <w:sz w:val="20"/>
          <w:szCs w:val="20"/>
          <w:color w:val="auto"/>
        </w:rPr>
      </w:pPr>
    </w:p>
    <w:p>
      <w:pPr>
        <w:ind w:left="120" w:right="180"/>
        <w:spacing w:after="0" w:line="214"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/3% Company matching contribution, also credited in BellRing common stock equivalents. Balances are paid upon leaving the Board of Directors, generally in cash, in one of three ways at the election of each director: (1) lump sum payout; (2) five-year installments or (3) ten-year installments.</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Directors who also are full-time officers or employees of the Company or Post receive no additional compensation for serving as directors.</w:t>
      </w:r>
    </w:p>
    <w:p>
      <w:pPr>
        <w:spacing w:after="0" w:line="223"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maintain stock ownership guidelines applicable to all non-management directors. See </w:t>
      </w:r>
      <w:r>
        <w:rPr>
          <w:rFonts w:ascii="Times New Roman" w:cs="Times New Roman" w:eastAsia="Times New Roman" w:hAnsi="Times New Roman"/>
          <w:sz w:val="18"/>
          <w:szCs w:val="18"/>
          <w:i w:val="1"/>
          <w:iCs w:val="1"/>
          <w:color w:val="auto"/>
        </w:rPr>
        <w:t>Other Compensation Policies - Stock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Guidelines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Compensation Discussion </w:t>
      </w:r>
      <w:r>
        <w:rPr>
          <w:rFonts w:ascii="Times New Roman" w:cs="Times New Roman" w:eastAsia="Times New Roman" w:hAnsi="Times New Roman"/>
          <w:sz w:val="18"/>
          <w:szCs w:val="18"/>
          <w:color w:val="auto"/>
        </w:rPr>
        <w:t>for more details.</w:t>
      </w:r>
    </w:p>
    <w:p>
      <w:pPr>
        <w:spacing w:after="0" w:line="16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paid to non-management directors for fiscal year 2022, other than reimbursement for travel expenses.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0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8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r>
              <w:rPr>
                <w:rFonts w:ascii="Times New Roman" w:cs="Times New Roman" w:eastAsia="Times New Roman" w:hAnsi="Times New Roman"/>
                <w:sz w:val="10"/>
                <w:szCs w:val="10"/>
                <w:b w:val="1"/>
                <w:bCs w:val="1"/>
                <w:color w:val="auto"/>
              </w:rPr>
              <w:t>(3)</w:t>
            </w:r>
          </w:p>
        </w:tc>
        <w:tc>
          <w:tcPr>
            <w:tcW w:w="13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(4)</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BD8EA"/>
            </w:tcBorders>
          </w:tcPr>
          <w:p>
            <w:pPr>
              <w:spacing w:after="0"/>
              <w:rPr>
                <w:sz w:val="15"/>
                <w:szCs w:val="15"/>
                <w:color w:val="auto"/>
              </w:rPr>
            </w:pPr>
          </w:p>
        </w:tc>
        <w:tc>
          <w:tcPr>
            <w:tcW w:w="5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BD8EA"/>
            </w:tcBorders>
          </w:tcPr>
          <w:p>
            <w:pPr>
              <w:spacing w:after="0"/>
              <w:rPr>
                <w:sz w:val="15"/>
                <w:szCs w:val="15"/>
                <w:color w:val="auto"/>
              </w:rPr>
            </w:pPr>
          </w:p>
        </w:tc>
        <w:tc>
          <w:tcPr>
            <w:tcW w:w="64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(1)(2)</w:t>
            </w:r>
          </w:p>
        </w:tc>
        <w:tc>
          <w:tcPr>
            <w:tcW w:w="360" w:type="dxa"/>
            <w:vAlign w:val="bottom"/>
            <w:tcBorders>
              <w:bottom w:val="single" w:sz="8" w:color="ABD8EA"/>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Borders>
              <w:bottom w:val="single" w:sz="8" w:color="ABD8EA"/>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BD8EA"/>
            </w:tcBorders>
          </w:tcPr>
          <w:p>
            <w:pPr>
              <w:spacing w:after="0"/>
              <w:rPr>
                <w:sz w:val="15"/>
                <w:szCs w:val="15"/>
                <w:color w:val="auto"/>
              </w:rPr>
            </w:pPr>
          </w:p>
        </w:tc>
        <w:tc>
          <w:tcPr>
            <w:tcW w:w="10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BD8EA"/>
            </w:tcBorders>
          </w:tcPr>
          <w:p>
            <w:pPr>
              <w:spacing w:after="0"/>
              <w:rPr>
                <w:sz w:val="15"/>
                <w:szCs w:val="15"/>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BD8EA"/>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1240" w:type="dxa"/>
            <w:vAlign w:val="bottom"/>
            <w:tcBorders>
              <w:bottom w:val="single" w:sz="8" w:color="ABD8EA"/>
            </w:tcBorders>
            <w:gridSpan w:val="3"/>
            <w:shd w:val="clear" w:color="auto" w:fill="ABD8EA"/>
          </w:tcPr>
          <w:p>
            <w:pPr>
              <w:ind w:left="380"/>
              <w:spacing w:after="0"/>
              <w:rPr>
                <w:sz w:val="20"/>
                <w:szCs w:val="20"/>
                <w:color w:val="auto"/>
              </w:rPr>
            </w:pPr>
            <w:r>
              <w:rPr>
                <w:rFonts w:ascii="Times New Roman" w:cs="Times New Roman" w:eastAsia="Times New Roman" w:hAnsi="Times New Roman"/>
                <w:sz w:val="18"/>
                <w:szCs w:val="18"/>
                <w:color w:val="auto"/>
              </w:rPr>
              <w:t>80,000</w:t>
            </w:r>
          </w:p>
        </w:tc>
        <w:tc>
          <w:tcPr>
            <w:tcW w:w="1000" w:type="dxa"/>
            <w:vAlign w:val="bottom"/>
            <w:tcBorders>
              <w:bottom w:val="single" w:sz="8" w:color="ABD8EA"/>
            </w:tcBorders>
            <w:gridSpan w:val="2"/>
            <w:shd w:val="clear" w:color="auto" w:fill="ABD8EA"/>
          </w:tcPr>
          <w:p>
            <w:pPr>
              <w:jc w:val="right"/>
              <w:ind w:right="360"/>
              <w:spacing w:after="0"/>
              <w:rPr>
                <w:sz w:val="20"/>
                <w:szCs w:val="20"/>
                <w:color w:val="auto"/>
              </w:rPr>
            </w:pPr>
            <w:r>
              <w:rPr>
                <w:rFonts w:ascii="Times New Roman" w:cs="Times New Roman" w:eastAsia="Times New Roman" w:hAnsi="Times New Roman"/>
                <w:sz w:val="18"/>
                <w:szCs w:val="18"/>
                <w:color w:val="auto"/>
              </w:rPr>
              <w:t>129,976</w:t>
            </w:r>
          </w:p>
        </w:tc>
        <w:tc>
          <w:tcPr>
            <w:tcW w:w="840" w:type="dxa"/>
            <w:vAlign w:val="bottom"/>
            <w:tcBorders>
              <w:bottom w:val="single" w:sz="8" w:color="ABD8EA"/>
            </w:tcBorders>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BD8EA"/>
            </w:tcBorders>
            <w:gridSpan w:val="2"/>
            <w:shd w:val="clear" w:color="auto" w:fill="ABD8EA"/>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BD8EA"/>
            </w:tcBorders>
            <w:gridSpan w:val="2"/>
            <w:shd w:val="clear" w:color="auto" w:fill="ABD8EA"/>
          </w:tcPr>
          <w:p>
            <w:pPr>
              <w:jc w:val="right"/>
              <w:ind w:right="360"/>
              <w:spacing w:after="0"/>
              <w:rPr>
                <w:sz w:val="20"/>
                <w:szCs w:val="20"/>
                <w:color w:val="auto"/>
              </w:rPr>
            </w:pPr>
            <w:r>
              <w:rPr>
                <w:rFonts w:ascii="Times New Roman" w:cs="Times New Roman" w:eastAsia="Times New Roman" w:hAnsi="Times New Roman"/>
                <w:sz w:val="18"/>
                <w:szCs w:val="18"/>
                <w:color w:val="auto"/>
              </w:rPr>
              <w:t>27,916</w:t>
            </w:r>
          </w:p>
        </w:tc>
        <w:tc>
          <w:tcPr>
            <w:tcW w:w="72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237,892</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Jennifer Kuperman</w:t>
            </w: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83,750</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100,000</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21,666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186,666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240" w:type="dxa"/>
            <w:vAlign w:val="bottom"/>
            <w:tcBorders>
              <w:bottom w:val="single" w:sz="8" w:color="ABD8EA"/>
            </w:tcBorders>
            <w:gridSpan w:val="3"/>
            <w:shd w:val="clear" w:color="auto" w:fill="ABD8EA"/>
          </w:tcPr>
          <w:p>
            <w:pPr>
              <w:ind w:left="380"/>
              <w:spacing w:after="0"/>
              <w:rPr>
                <w:sz w:val="20"/>
                <w:szCs w:val="20"/>
                <w:color w:val="auto"/>
              </w:rPr>
            </w:pPr>
            <w:r>
              <w:rPr>
                <w:rFonts w:ascii="Times New Roman" w:cs="Times New Roman" w:eastAsia="Times New Roman" w:hAnsi="Times New Roman"/>
                <w:sz w:val="18"/>
                <w:szCs w:val="18"/>
                <w:color w:val="auto"/>
              </w:rPr>
              <w:t>67,500</w:t>
            </w:r>
          </w:p>
        </w:tc>
        <w:tc>
          <w:tcPr>
            <w:tcW w:w="1000" w:type="dxa"/>
            <w:vAlign w:val="bottom"/>
            <w:tcBorders>
              <w:bottom w:val="single" w:sz="8" w:color="ABD8EA"/>
            </w:tcBorders>
            <w:gridSpan w:val="2"/>
            <w:shd w:val="clear" w:color="auto" w:fill="ABD8EA"/>
          </w:tcPr>
          <w:p>
            <w:pPr>
              <w:jc w:val="right"/>
              <w:ind w:right="360"/>
              <w:spacing w:after="0"/>
              <w:rPr>
                <w:sz w:val="20"/>
                <w:szCs w:val="20"/>
                <w:color w:val="auto"/>
              </w:rPr>
            </w:pPr>
            <w:r>
              <w:rPr>
                <w:rFonts w:ascii="Times New Roman" w:cs="Times New Roman" w:eastAsia="Times New Roman" w:hAnsi="Times New Roman"/>
                <w:sz w:val="18"/>
                <w:szCs w:val="18"/>
                <w:color w:val="auto"/>
              </w:rPr>
              <w:t>129,976</w:t>
            </w:r>
          </w:p>
        </w:tc>
        <w:tc>
          <w:tcPr>
            <w:tcW w:w="840" w:type="dxa"/>
            <w:vAlign w:val="bottom"/>
            <w:tcBorders>
              <w:bottom w:val="single" w:sz="8" w:color="ABD8EA"/>
            </w:tcBorders>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BD8EA"/>
            </w:tcBorders>
            <w:gridSpan w:val="2"/>
            <w:shd w:val="clear" w:color="auto" w:fill="ABD8EA"/>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BD8EA"/>
            </w:tcBorders>
            <w:gridSpan w:val="2"/>
            <w:shd w:val="clear" w:color="auto" w:fill="ABD8EA"/>
          </w:tcPr>
          <w:p>
            <w:pPr>
              <w:jc w:val="right"/>
              <w:ind w:right="360"/>
              <w:spacing w:after="0"/>
              <w:rPr>
                <w:sz w:val="20"/>
                <w:szCs w:val="20"/>
                <w:color w:val="auto"/>
              </w:rPr>
            </w:pPr>
            <w:r>
              <w:rPr>
                <w:rFonts w:ascii="Times New Roman" w:cs="Times New Roman" w:eastAsia="Times New Roman" w:hAnsi="Times New Roman"/>
                <w:sz w:val="18"/>
                <w:szCs w:val="18"/>
                <w:color w:val="auto"/>
              </w:rPr>
              <w:t>11,250</w:t>
            </w:r>
          </w:p>
        </w:tc>
        <w:tc>
          <w:tcPr>
            <w:tcW w:w="72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208,726</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97,500</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134,976</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540" w:right="80" w:hanging="424"/>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grant date fair value of 4,158 RSUs granted on February 2, 2022 to each of Ms. Kuperman, Ms. Nwamu and Messrs. Erickson and Stein, and the grant date fair value of 1,308, 1,121 and 1,121 RSUs granted on November 11, 2021 to Mr. Stein, Ms. Nwamu and Mr. Erickson as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compensation for services on the Special Committee. The grant date fair values are computed in accordance with FASB ASC Topic 718, and do not correspond to the actual values that will be realized by the non-management directors. See Note 17 to the Company’s fiscal year 2022 financial statements in the Company’s Annual Report on Form 10-K for a discussion of the determination of these amounts under FASB ASC Topic 718. The awards granted on November 11, 2021 to each of Ms. Nwamu and Messrs. Erickson and Stein vest in three equal, annual installments on the first, second and third anniversaries of the grant date, and the awards granted on February 2, 2022 to each of Ms. Kuperman, Ms. Nwamu and Messrs. Erickson and Stein fully vest on the first anniversary of the date of grant. The common stock issued pursuant to all such awards must be held until the director has met the ownership requirements under our Stock Ownership Guidelines; however, shares are permitted to be sold to the extent necessary to satisfy any tax obligations relating to the vesting and delivery of such shares. In addition, all awards fully vest at the director’s disability or death.</w:t>
      </w:r>
    </w:p>
    <w:p>
      <w:pPr>
        <w:spacing w:after="0" w:line="6" w:lineRule="exact"/>
        <w:rPr>
          <w:sz w:val="20"/>
          <w:szCs w:val="20"/>
          <w:color w:val="auto"/>
        </w:rPr>
      </w:pPr>
    </w:p>
    <w:p>
      <w:pPr>
        <w:ind w:left="540" w:right="38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unvested RSUs held by each non-management director as of September 30, 2022 was: Ms. Kuperman, 4,158 RSUs; Mr. Stein, 5,466 RSUs; and Mr. Erickson and Ms. Nwamu, 5,279 RSUs.</w:t>
      </w:r>
    </w:p>
    <w:p>
      <w:pPr>
        <w:ind w:left="540" w:right="12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that there were no earnings on the respective non-management director’s account under our Deferred Compensation Plan for Directors for all non-management directors who elected to participate in the plan. In fiscal year 2022, Mr. Erickson, Ms. Kuperman and Ms. Nwamu realized losses of $64,000, $53,341 and $8,368 on their respective accounts under our Deferred Compensation Plan for Directors.</w:t>
      </w:r>
    </w:p>
    <w:p>
      <w:pPr>
        <w:spacing w:after="0" w:line="1" w:lineRule="exact"/>
        <w:rPr>
          <w:rFonts w:ascii="Times New Roman" w:cs="Times New Roman" w:eastAsia="Times New Roman" w:hAnsi="Times New Roman"/>
          <w:sz w:val="18"/>
          <w:szCs w:val="18"/>
          <w:color w:val="auto"/>
        </w:rPr>
      </w:pPr>
    </w:p>
    <w:p>
      <w:pPr>
        <w:ind w:left="540" w:right="140" w:hanging="424"/>
        <w:spacing w:after="0" w:line="26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33 1/3% match on deferrals into common stock equivalents under the Deferred Compensation Plan for Directors for all non-management directors who elected to participate in the plan.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Pursuant to Item 402(u) of Regulation S-K, the Company is required to disclose the ratio of the annual total compensation of our Chief Executive Officer to the annual total compensation of the median employee of the Company for fiscal year 2022. The annual total compensation of our median employee was $118,926. The annual total compensation of our Chief Executive Officer was $5,046,013. The ratio of our Chief Executive Officer’s annual total compensation to the median employee’s annual total compensation was 42:1.</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annual total compensation of our median employee and our Chief Executive Officer as set forth in the paragraph above includes the value of employer-provided health and welfare benefits in the amount of $5,004 and $14,179, respectively, that are not included in the Chief Executive Officer’s total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fiscal year 2022, we concluded that there have been no significant changes in our employee population or employee compensation arrangements that we reasonably believe would impact our pay ratio disclosure. We therefore used the same median employee from fiscal year 2021. We used the following methodology and material assumptions to identify our median employee in fiscal year 2021:</w:t>
      </w:r>
    </w:p>
    <w:p>
      <w:pPr>
        <w:spacing w:after="0" w:line="81" w:lineRule="exact"/>
        <w:rPr>
          <w:sz w:val="20"/>
          <w:szCs w:val="20"/>
          <w:color w:val="auto"/>
        </w:rPr>
      </w:pPr>
    </w:p>
    <w:p>
      <w:pPr>
        <w:ind w:left="1080" w:right="90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employee was identified using employee information as of July 1, 2021, excluding our Chief Executive Officer, of approximately 340 employees.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base pay as the consistently applied compensation measure to identify our new median employee. From our employee population, we used statistical sampling to collect additional compensation data for a group of employees who were paid within a relatively narrow range around our estimated median consistently applied compensation measure. From this group, we selected an employee who was reasonably representative of our workforce to be our new median employee.</w:t>
      </w:r>
    </w:p>
    <w:p>
      <w:pPr>
        <w:spacing w:after="0" w:line="180"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ratio presented above is a reasonable estimate calculated in a manner consistent with SEC rules and regulations, based upon the Company’s payroll and employment records and the methodology described above. The ratio may not be comparable to those reported by other companies due to differences in industry, business models, scope of international operations and scale, as well as the different estimates, assumptions and methodologies applied by other companies in calculating their ratios.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SECURITY OWNERSHIP OF CERTAIN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table below indicates the persons or entities known to us to be the beneficial holders of more than 5% of our common stock, each par value $0.01 per share, as of December 5, 2022. Other than the ownership information pertaining to Post, the information set forth in the table below is based solely upon information included in Schedule 13D, Schedule 13F and Schedule 13G filings as of the most recent practicable date. We have no reason to believe that such information is not complete or accurate or that a statement or amendment to any Schedule 13D, Schedule 13F or Schedule 13G filing should have been filed and was not.</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480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of Class</w:t>
            </w: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6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r>
              <w:rPr>
                <w:rFonts w:ascii="Times New Roman" w:cs="Times New Roman" w:eastAsia="Times New Roman" w:hAnsi="Times New Roman"/>
                <w:sz w:val="10"/>
                <w:szCs w:val="10"/>
                <w:b w:val="1"/>
                <w:bCs w:val="1"/>
                <w:color w:val="auto"/>
              </w:rPr>
              <w:t>(4)</w:t>
            </w:r>
          </w:p>
        </w:tc>
      </w:tr>
      <w:tr>
        <w:trPr>
          <w:trHeight w:val="20"/>
        </w:trPr>
        <w:tc>
          <w:tcPr>
            <w:tcW w:w="4800" w:type="dxa"/>
            <w:vAlign w:val="bottom"/>
            <w:shd w:val="clear" w:color="auto" w:fill="000000"/>
          </w:tcPr>
          <w:p>
            <w:pPr>
              <w:spacing w:after="0" w:line="20" w:lineRule="exact"/>
              <w:rPr>
                <w:sz w:val="1"/>
                <w:szCs w:val="1"/>
                <w:color w:val="auto"/>
              </w:rPr>
            </w:pPr>
          </w:p>
        </w:tc>
        <w:tc>
          <w:tcPr>
            <w:tcW w:w="680" w:type="dxa"/>
            <w:vAlign w:val="bottom"/>
            <w:shd w:val="clear" w:color="auto" w:fill="ABD8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shd w:val="clear" w:color="auto" w:fill="ABD8EA"/>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ABD8EA"/>
          </w:tcPr>
          <w:p>
            <w:pPr>
              <w:spacing w:after="0" w:line="20" w:lineRule="exact"/>
              <w:rPr>
                <w:sz w:val="1"/>
                <w:szCs w:val="1"/>
                <w:color w:val="auto"/>
              </w:rPr>
            </w:pPr>
          </w:p>
        </w:tc>
      </w:tr>
      <w:tr>
        <w:trPr>
          <w:trHeight w:val="205"/>
        </w:trPr>
        <w:tc>
          <w:tcPr>
            <w:tcW w:w="4800" w:type="dxa"/>
            <w:vAlign w:val="bottom"/>
            <w:shd w:val="clear" w:color="auto" w:fill="ABD8EA"/>
          </w:tcPr>
          <w:p>
            <w:pPr>
              <w:spacing w:after="0" w:line="204"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3"/>
                <w:szCs w:val="23"/>
                <w:color w:val="auto"/>
                <w:vertAlign w:val="superscript"/>
              </w:rPr>
              <w:t>(1)</w:t>
            </w:r>
          </w:p>
        </w:tc>
        <w:tc>
          <w:tcPr>
            <w:tcW w:w="680" w:type="dxa"/>
            <w:vAlign w:val="bottom"/>
            <w:shd w:val="clear" w:color="auto" w:fill="ABD8EA"/>
          </w:tcPr>
          <w:p>
            <w:pPr>
              <w:spacing w:after="0"/>
              <w:rPr>
                <w:sz w:val="17"/>
                <w:szCs w:val="17"/>
                <w:color w:val="auto"/>
              </w:rPr>
            </w:pPr>
          </w:p>
        </w:tc>
        <w:tc>
          <w:tcPr>
            <w:tcW w:w="1880" w:type="dxa"/>
            <w:vAlign w:val="bottom"/>
            <w:gridSpan w:val="2"/>
            <w:shd w:val="clear" w:color="auto" w:fill="ABD8EA"/>
          </w:tcPr>
          <w:p>
            <w:pPr>
              <w:jc w:val="right"/>
              <w:ind w:right="760"/>
              <w:spacing w:after="0" w:line="205" w:lineRule="exact"/>
              <w:rPr>
                <w:sz w:val="20"/>
                <w:szCs w:val="20"/>
                <w:color w:val="auto"/>
              </w:rPr>
            </w:pPr>
            <w:r>
              <w:rPr>
                <w:rFonts w:ascii="Times New Roman" w:cs="Times New Roman" w:eastAsia="Times New Roman" w:hAnsi="Times New Roman"/>
                <w:sz w:val="18"/>
                <w:szCs w:val="18"/>
                <w:color w:val="auto"/>
              </w:rPr>
              <w:t>15,144,769</w:t>
            </w:r>
          </w:p>
        </w:tc>
        <w:tc>
          <w:tcPr>
            <w:tcW w:w="1000" w:type="dxa"/>
            <w:vAlign w:val="bottom"/>
            <w:gridSpan w:val="2"/>
            <w:shd w:val="clear" w:color="auto" w:fill="ABD8EA"/>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11.2%</w:t>
            </w:r>
          </w:p>
        </w:tc>
      </w:tr>
      <w:tr>
        <w:trPr>
          <w:trHeight w:val="216"/>
        </w:trPr>
        <w:tc>
          <w:tcPr>
            <w:tcW w:w="48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55 East 52nd Street</w:t>
            </w:r>
          </w:p>
        </w:tc>
        <w:tc>
          <w:tcPr>
            <w:tcW w:w="680" w:type="dxa"/>
            <w:vAlign w:val="bottom"/>
            <w:shd w:val="clear" w:color="auto" w:fill="ABD8EA"/>
          </w:tcPr>
          <w:p>
            <w:pPr>
              <w:spacing w:after="0"/>
              <w:rPr>
                <w:sz w:val="18"/>
                <w:szCs w:val="18"/>
                <w:color w:val="auto"/>
              </w:rPr>
            </w:pPr>
          </w:p>
        </w:tc>
        <w:tc>
          <w:tcPr>
            <w:tcW w:w="1120" w:type="dxa"/>
            <w:vAlign w:val="bottom"/>
            <w:shd w:val="clear" w:color="auto" w:fill="ABD8EA"/>
          </w:tcPr>
          <w:p>
            <w:pPr>
              <w:spacing w:after="0"/>
              <w:rPr>
                <w:sz w:val="18"/>
                <w:szCs w:val="18"/>
                <w:color w:val="auto"/>
              </w:rPr>
            </w:pPr>
          </w:p>
        </w:tc>
        <w:tc>
          <w:tcPr>
            <w:tcW w:w="760" w:type="dxa"/>
            <w:vAlign w:val="bottom"/>
            <w:shd w:val="clear" w:color="auto" w:fill="ABD8EA"/>
          </w:tcPr>
          <w:p>
            <w:pPr>
              <w:spacing w:after="0"/>
              <w:rPr>
                <w:sz w:val="18"/>
                <w:szCs w:val="18"/>
                <w:color w:val="auto"/>
              </w:rPr>
            </w:pPr>
          </w:p>
        </w:tc>
        <w:tc>
          <w:tcPr>
            <w:tcW w:w="800" w:type="dxa"/>
            <w:vAlign w:val="bottom"/>
            <w:shd w:val="clear" w:color="auto" w:fill="ABD8EA"/>
          </w:tcPr>
          <w:p>
            <w:pPr>
              <w:spacing w:after="0"/>
              <w:rPr>
                <w:sz w:val="18"/>
                <w:szCs w:val="18"/>
                <w:color w:val="auto"/>
              </w:rPr>
            </w:pPr>
          </w:p>
        </w:tc>
        <w:tc>
          <w:tcPr>
            <w:tcW w:w="200" w:type="dxa"/>
            <w:vAlign w:val="bottom"/>
            <w:shd w:val="clear" w:color="auto" w:fill="ABD8EA"/>
          </w:tcPr>
          <w:p>
            <w:pPr>
              <w:spacing w:after="0"/>
              <w:rPr>
                <w:sz w:val="18"/>
                <w:szCs w:val="18"/>
                <w:color w:val="auto"/>
              </w:rPr>
            </w:pPr>
          </w:p>
        </w:tc>
      </w:tr>
      <w:tr>
        <w:trPr>
          <w:trHeight w:val="255"/>
        </w:trPr>
        <w:tc>
          <w:tcPr>
            <w:tcW w:w="480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680" w:type="dxa"/>
            <w:vAlign w:val="bottom"/>
            <w:tcBorders>
              <w:bottom w:val="single" w:sz="8" w:color="ABD8EA"/>
            </w:tcBorders>
            <w:shd w:val="clear" w:color="auto" w:fill="ABD8EA"/>
          </w:tcPr>
          <w:p>
            <w:pPr>
              <w:spacing w:after="0"/>
              <w:rPr>
                <w:sz w:val="22"/>
                <w:szCs w:val="22"/>
                <w:color w:val="auto"/>
              </w:rPr>
            </w:pPr>
          </w:p>
        </w:tc>
        <w:tc>
          <w:tcPr>
            <w:tcW w:w="1120" w:type="dxa"/>
            <w:vAlign w:val="bottom"/>
            <w:tcBorders>
              <w:bottom w:val="single" w:sz="8" w:color="ABD8EA"/>
            </w:tcBorders>
            <w:shd w:val="clear" w:color="auto" w:fill="ABD8EA"/>
          </w:tcPr>
          <w:p>
            <w:pPr>
              <w:spacing w:after="0"/>
              <w:rPr>
                <w:sz w:val="22"/>
                <w:szCs w:val="22"/>
                <w:color w:val="auto"/>
              </w:rPr>
            </w:pPr>
          </w:p>
        </w:tc>
        <w:tc>
          <w:tcPr>
            <w:tcW w:w="760" w:type="dxa"/>
            <w:vAlign w:val="bottom"/>
            <w:tcBorders>
              <w:bottom w:val="single" w:sz="8" w:color="ABD8EA"/>
            </w:tcBorders>
            <w:shd w:val="clear" w:color="auto" w:fill="ABD8EA"/>
          </w:tcPr>
          <w:p>
            <w:pPr>
              <w:spacing w:after="0"/>
              <w:rPr>
                <w:sz w:val="22"/>
                <w:szCs w:val="22"/>
                <w:color w:val="auto"/>
              </w:rPr>
            </w:pPr>
          </w:p>
        </w:tc>
        <w:tc>
          <w:tcPr>
            <w:tcW w:w="800" w:type="dxa"/>
            <w:vAlign w:val="bottom"/>
            <w:tcBorders>
              <w:bottom w:val="single" w:sz="8" w:color="ABD8EA"/>
            </w:tcBorders>
            <w:shd w:val="clear" w:color="auto" w:fill="ABD8EA"/>
          </w:tcPr>
          <w:p>
            <w:pPr>
              <w:spacing w:after="0"/>
              <w:rPr>
                <w:sz w:val="22"/>
                <w:szCs w:val="22"/>
                <w:color w:val="auto"/>
              </w:rPr>
            </w:pPr>
          </w:p>
        </w:tc>
        <w:tc>
          <w:tcPr>
            <w:tcW w:w="200" w:type="dxa"/>
            <w:vAlign w:val="bottom"/>
            <w:tcBorders>
              <w:bottom w:val="single" w:sz="8" w:color="ABD8EA"/>
            </w:tcBorders>
            <w:shd w:val="clear" w:color="auto" w:fill="ABD8EA"/>
          </w:tcPr>
          <w:p>
            <w:pPr>
              <w:spacing w:after="0"/>
              <w:rPr>
                <w:sz w:val="22"/>
                <w:szCs w:val="22"/>
                <w:color w:val="auto"/>
              </w:rPr>
            </w:pPr>
          </w:p>
        </w:tc>
      </w:tr>
      <w:tr>
        <w:trPr>
          <w:trHeight w:val="225"/>
        </w:trPr>
        <w:tc>
          <w:tcPr>
            <w:tcW w:w="480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Route One Investment Company, L.P.</w:t>
            </w:r>
            <w:r>
              <w:rPr>
                <w:rFonts w:ascii="Times New Roman" w:cs="Times New Roman" w:eastAsia="Times New Roman" w:hAnsi="Times New Roman"/>
                <w:sz w:val="26"/>
                <w:szCs w:val="26"/>
                <w:color w:val="auto"/>
                <w:vertAlign w:val="superscript"/>
              </w:rPr>
              <w:t>(2)</w:t>
            </w:r>
          </w:p>
        </w:tc>
        <w:tc>
          <w:tcPr>
            <w:tcW w:w="25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13,656,803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One Letterman Drive</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Bldg D-Main, Suite DM200</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94129</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
        </w:trPr>
        <w:tc>
          <w:tcPr>
            <w:tcW w:w="4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25"/>
        </w:trPr>
        <w:tc>
          <w:tcPr>
            <w:tcW w:w="4800" w:type="dxa"/>
            <w:vAlign w:val="bottom"/>
            <w:shd w:val="clear" w:color="auto" w:fill="ABD8EA"/>
          </w:tcPr>
          <w:p>
            <w:pPr>
              <w:spacing w:after="0" w:line="225" w:lineRule="exact"/>
              <w:rPr>
                <w:sz w:val="20"/>
                <w:szCs w:val="20"/>
                <w:color w:val="auto"/>
              </w:rPr>
            </w:pPr>
            <w:r>
              <w:rPr>
                <w:rFonts w:ascii="Times New Roman" w:cs="Times New Roman" w:eastAsia="Times New Roman" w:hAnsi="Times New Roman"/>
                <w:sz w:val="18"/>
                <w:szCs w:val="18"/>
                <w:color w:val="auto"/>
              </w:rPr>
              <w:t>Vanguard Group, Inc.</w:t>
            </w:r>
            <w:r>
              <w:rPr>
                <w:rFonts w:ascii="Times New Roman" w:cs="Times New Roman" w:eastAsia="Times New Roman" w:hAnsi="Times New Roman"/>
                <w:sz w:val="26"/>
                <w:szCs w:val="26"/>
                <w:color w:val="auto"/>
                <w:vertAlign w:val="superscript"/>
              </w:rPr>
              <w:t>(3)</w:t>
            </w:r>
          </w:p>
        </w:tc>
        <w:tc>
          <w:tcPr>
            <w:tcW w:w="2560" w:type="dxa"/>
            <w:vAlign w:val="bottom"/>
            <w:gridSpan w:val="3"/>
            <w:shd w:val="clear" w:color="auto" w:fill="ABD8EA"/>
          </w:tcPr>
          <w:p>
            <w:pPr>
              <w:jc w:val="right"/>
              <w:ind w:right="760"/>
              <w:spacing w:after="0"/>
              <w:rPr>
                <w:sz w:val="20"/>
                <w:szCs w:val="20"/>
                <w:color w:val="auto"/>
              </w:rPr>
            </w:pPr>
            <w:r>
              <w:rPr>
                <w:rFonts w:ascii="Times New Roman" w:cs="Times New Roman" w:eastAsia="Times New Roman" w:hAnsi="Times New Roman"/>
                <w:sz w:val="18"/>
                <w:szCs w:val="18"/>
                <w:color w:val="auto"/>
              </w:rPr>
              <w:t>13,007,535</w:t>
            </w:r>
          </w:p>
        </w:tc>
        <w:tc>
          <w:tcPr>
            <w:tcW w:w="1000" w:type="dxa"/>
            <w:vAlign w:val="bottom"/>
            <w:gridSpan w:val="2"/>
            <w:shd w:val="clear" w:color="auto" w:fill="ABD8EA"/>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8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P.O. Box 2600 V26</w:t>
            </w:r>
          </w:p>
        </w:tc>
        <w:tc>
          <w:tcPr>
            <w:tcW w:w="680" w:type="dxa"/>
            <w:vAlign w:val="bottom"/>
            <w:shd w:val="clear" w:color="auto" w:fill="ABD8EA"/>
          </w:tcPr>
          <w:p>
            <w:pPr>
              <w:spacing w:after="0"/>
              <w:rPr>
                <w:sz w:val="18"/>
                <w:szCs w:val="18"/>
                <w:color w:val="auto"/>
              </w:rPr>
            </w:pPr>
          </w:p>
        </w:tc>
        <w:tc>
          <w:tcPr>
            <w:tcW w:w="1120" w:type="dxa"/>
            <w:vAlign w:val="bottom"/>
            <w:shd w:val="clear" w:color="auto" w:fill="ABD8EA"/>
          </w:tcPr>
          <w:p>
            <w:pPr>
              <w:spacing w:after="0"/>
              <w:rPr>
                <w:sz w:val="18"/>
                <w:szCs w:val="18"/>
                <w:color w:val="auto"/>
              </w:rPr>
            </w:pPr>
          </w:p>
        </w:tc>
        <w:tc>
          <w:tcPr>
            <w:tcW w:w="760" w:type="dxa"/>
            <w:vAlign w:val="bottom"/>
            <w:shd w:val="clear" w:color="auto" w:fill="ABD8EA"/>
          </w:tcPr>
          <w:p>
            <w:pPr>
              <w:spacing w:after="0"/>
              <w:rPr>
                <w:sz w:val="18"/>
                <w:szCs w:val="18"/>
                <w:color w:val="auto"/>
              </w:rPr>
            </w:pPr>
          </w:p>
        </w:tc>
        <w:tc>
          <w:tcPr>
            <w:tcW w:w="800" w:type="dxa"/>
            <w:vAlign w:val="bottom"/>
            <w:shd w:val="clear" w:color="auto" w:fill="ABD8EA"/>
          </w:tcPr>
          <w:p>
            <w:pPr>
              <w:spacing w:after="0"/>
              <w:rPr>
                <w:sz w:val="18"/>
                <w:szCs w:val="18"/>
                <w:color w:val="auto"/>
              </w:rPr>
            </w:pPr>
          </w:p>
        </w:tc>
        <w:tc>
          <w:tcPr>
            <w:tcW w:w="200" w:type="dxa"/>
            <w:vAlign w:val="bottom"/>
            <w:shd w:val="clear" w:color="auto" w:fill="ABD8EA"/>
          </w:tcPr>
          <w:p>
            <w:pPr>
              <w:spacing w:after="0"/>
              <w:rPr>
                <w:sz w:val="18"/>
                <w:szCs w:val="18"/>
                <w:color w:val="auto"/>
              </w:rPr>
            </w:pPr>
          </w:p>
        </w:tc>
      </w:tr>
      <w:tr>
        <w:trPr>
          <w:trHeight w:val="234"/>
        </w:trPr>
        <w:tc>
          <w:tcPr>
            <w:tcW w:w="48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Valley Forge, Pennsylvania 19482</w:t>
            </w:r>
          </w:p>
        </w:tc>
        <w:tc>
          <w:tcPr>
            <w:tcW w:w="680" w:type="dxa"/>
            <w:vAlign w:val="bottom"/>
            <w:shd w:val="clear" w:color="auto" w:fill="ABD8EA"/>
          </w:tcPr>
          <w:p>
            <w:pPr>
              <w:spacing w:after="0"/>
              <w:rPr>
                <w:sz w:val="20"/>
                <w:szCs w:val="20"/>
                <w:color w:val="auto"/>
              </w:rPr>
            </w:pPr>
          </w:p>
        </w:tc>
        <w:tc>
          <w:tcPr>
            <w:tcW w:w="1120" w:type="dxa"/>
            <w:vAlign w:val="bottom"/>
            <w:shd w:val="clear" w:color="auto" w:fill="ABD8EA"/>
          </w:tcPr>
          <w:p>
            <w:pPr>
              <w:spacing w:after="0"/>
              <w:rPr>
                <w:sz w:val="20"/>
                <w:szCs w:val="20"/>
                <w:color w:val="auto"/>
              </w:rPr>
            </w:pPr>
          </w:p>
        </w:tc>
        <w:tc>
          <w:tcPr>
            <w:tcW w:w="760" w:type="dxa"/>
            <w:vAlign w:val="bottom"/>
            <w:shd w:val="clear" w:color="auto" w:fill="ABD8EA"/>
          </w:tcPr>
          <w:p>
            <w:pPr>
              <w:spacing w:after="0"/>
              <w:rPr>
                <w:sz w:val="20"/>
                <w:szCs w:val="20"/>
                <w:color w:val="auto"/>
              </w:rPr>
            </w:pPr>
          </w:p>
        </w:tc>
        <w:tc>
          <w:tcPr>
            <w:tcW w:w="800" w:type="dxa"/>
            <w:vAlign w:val="bottom"/>
            <w:shd w:val="clear" w:color="auto" w:fill="ABD8EA"/>
          </w:tcPr>
          <w:p>
            <w:pPr>
              <w:spacing w:after="0"/>
              <w:rPr>
                <w:sz w:val="20"/>
                <w:szCs w:val="20"/>
                <w:color w:val="auto"/>
              </w:rPr>
            </w:pPr>
          </w:p>
        </w:tc>
        <w:tc>
          <w:tcPr>
            <w:tcW w:w="200" w:type="dxa"/>
            <w:vAlign w:val="bottom"/>
            <w:shd w:val="clear" w:color="auto" w:fill="ABD8EA"/>
          </w:tcPr>
          <w:p>
            <w:pPr>
              <w:spacing w:after="0"/>
              <w:rPr>
                <w:sz w:val="20"/>
                <w:szCs w:val="20"/>
                <w:color w:val="auto"/>
              </w:rPr>
            </w:pPr>
          </w:p>
        </w:tc>
      </w:tr>
      <w:tr>
        <w:trPr>
          <w:trHeight w:val="40"/>
        </w:trPr>
        <w:tc>
          <w:tcPr>
            <w:tcW w:w="4800" w:type="dxa"/>
            <w:vAlign w:val="bottom"/>
            <w:shd w:val="clear" w:color="auto" w:fill="ABD8EA"/>
          </w:tcPr>
          <w:p>
            <w:pPr>
              <w:spacing w:after="0"/>
              <w:rPr>
                <w:sz w:val="3"/>
                <w:szCs w:val="3"/>
                <w:color w:val="auto"/>
              </w:rPr>
            </w:pPr>
          </w:p>
        </w:tc>
        <w:tc>
          <w:tcPr>
            <w:tcW w:w="680" w:type="dxa"/>
            <w:vAlign w:val="bottom"/>
            <w:shd w:val="clear" w:color="auto" w:fill="ABD8EA"/>
          </w:tcPr>
          <w:p>
            <w:pPr>
              <w:spacing w:after="0"/>
              <w:rPr>
                <w:sz w:val="3"/>
                <w:szCs w:val="3"/>
                <w:color w:val="auto"/>
              </w:rPr>
            </w:pPr>
          </w:p>
        </w:tc>
        <w:tc>
          <w:tcPr>
            <w:tcW w:w="1120" w:type="dxa"/>
            <w:vAlign w:val="bottom"/>
            <w:shd w:val="clear" w:color="auto" w:fill="ABD8EA"/>
          </w:tcPr>
          <w:p>
            <w:pPr>
              <w:spacing w:after="0"/>
              <w:rPr>
                <w:sz w:val="3"/>
                <w:szCs w:val="3"/>
                <w:color w:val="auto"/>
              </w:rPr>
            </w:pPr>
          </w:p>
        </w:tc>
        <w:tc>
          <w:tcPr>
            <w:tcW w:w="760" w:type="dxa"/>
            <w:vAlign w:val="bottom"/>
            <w:shd w:val="clear" w:color="auto" w:fill="ABD8EA"/>
          </w:tcPr>
          <w:p>
            <w:pPr>
              <w:spacing w:after="0"/>
              <w:rPr>
                <w:sz w:val="3"/>
                <w:szCs w:val="3"/>
                <w:color w:val="auto"/>
              </w:rPr>
            </w:pPr>
          </w:p>
        </w:tc>
        <w:tc>
          <w:tcPr>
            <w:tcW w:w="800" w:type="dxa"/>
            <w:vAlign w:val="bottom"/>
            <w:shd w:val="clear" w:color="auto" w:fill="ABD8EA"/>
          </w:tcPr>
          <w:p>
            <w:pPr>
              <w:spacing w:after="0"/>
              <w:rPr>
                <w:sz w:val="3"/>
                <w:szCs w:val="3"/>
                <w:color w:val="auto"/>
              </w:rPr>
            </w:pPr>
          </w:p>
        </w:tc>
        <w:tc>
          <w:tcPr>
            <w:tcW w:w="200" w:type="dxa"/>
            <w:vAlign w:val="bottom"/>
            <w:shd w:val="clear" w:color="auto" w:fill="ABD8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57"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2022, based on a Form 13F-HR dated November 14, 2022, filed by BlackRock, Inc. According to the Form 13F-HR, BlackRock, Inc. exercises sole investment power with respect to all shares and has sole voting power with respect to all shares.</w:t>
      </w:r>
    </w:p>
    <w:p>
      <w:pPr>
        <w:spacing w:after="0" w:line="1" w:lineRule="exact"/>
        <w:rPr>
          <w:rFonts w:ascii="Times New Roman" w:cs="Times New Roman" w:eastAsia="Times New Roman" w:hAnsi="Times New Roman"/>
          <w:sz w:val="18"/>
          <w:szCs w:val="18"/>
          <w:color w:val="auto"/>
        </w:rPr>
      </w:pPr>
    </w:p>
    <w:p>
      <w:pPr>
        <w:jc w:val="both"/>
        <w:ind w:left="540" w:right="6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2022, based on a Form 13F-HR dated November 14, 2022, filed by Route One Investment Company, L.P. According to the Form 13F-HR, Route One Investment Company, L.P. exercises sole investment power with respect to all shares and has sole voting power with respect to all shares.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2022, based on a Form 13F-HR dated November 14, 2022, filed by Vanguard Group, Inc. According to the Form 13F-HR, Vanguard Group, Inc. exercises sole investment power with respect to 12,653,638 shares, shared-defined investment power with respect to 353,897 shares, shared voting power with respect to 223,006 shares and no voting power with respect to 12,784,529 shares.</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common stock beneficially owned was calculated based upon 134,526,308 shares of common stock issued and outstanding as of December 5, 2022, plus the number of RSUs that vest within 60 days of that date (18,572 shares), plus the number of vested RSUs deferred by certain directors until retirement from the BellRing Board of Directors (32,391 shares), plus the number of common shares which could be acquired upon the exercise of vested options, or options that vest within 60 days of that date (198,608 shares), by all directors, director nominees and executive officers.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shows the shares of our common stock beneficially owned, as of December 5, 2022, by each of our directors, director nominees and named executive officers and by our directors, director nominees and executive officers as a group. Except as noted, all such persons possess sole voting and dispositive power with respect to the shares listed. In general, “beneficial ownership” includes those shares an individual has the power to vote or transfer, and options or other equity awards that are vested and exercisable or that become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vested and/or exercisable within 60 days. An asterisk in the column listing the percentage of shares outstanding indicates that the person owns less than 1% of the common stock outstanding.</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Stock-</w:t>
            </w:r>
          </w:p>
        </w:tc>
        <w:tc>
          <w:tcPr>
            <w:tcW w:w="0" w:type="dxa"/>
            <w:vAlign w:val="bottom"/>
          </w:tcPr>
          <w:p>
            <w:pPr>
              <w:spacing w:after="0"/>
              <w:rPr>
                <w:sz w:val="1"/>
                <w:szCs w:val="1"/>
                <w:color w:val="auto"/>
              </w:rPr>
            </w:pPr>
          </w:p>
        </w:tc>
      </w:tr>
      <w:tr>
        <w:trPr>
          <w:trHeight w:val="148"/>
        </w:trPr>
        <w:tc>
          <w:tcPr>
            <w:tcW w:w="404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Within</w:t>
            </w:r>
          </w:p>
        </w:tc>
        <w:tc>
          <w:tcPr>
            <w:tcW w:w="960" w:type="dxa"/>
            <w:vAlign w:val="bottom"/>
            <w:gridSpan w:val="2"/>
            <w:vMerge w:val="continue"/>
          </w:tcPr>
          <w:p>
            <w:pPr>
              <w:spacing w:after="0"/>
              <w:rPr>
                <w:sz w:val="12"/>
                <w:szCs w:val="12"/>
                <w:color w:val="auto"/>
              </w:rPr>
            </w:pPr>
          </w:p>
        </w:tc>
        <w:tc>
          <w:tcPr>
            <w:tcW w:w="7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vMerge w:val="restart"/>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148"/>
        </w:trPr>
        <w:tc>
          <w:tcPr>
            <w:tcW w:w="40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BD8EA"/>
            </w:tcBorders>
          </w:tcPr>
          <w:p>
            <w:pPr>
              <w:spacing w:after="0"/>
              <w:rPr>
                <w:sz w:val="12"/>
                <w:szCs w:val="12"/>
                <w:color w:val="auto"/>
              </w:rPr>
            </w:pPr>
          </w:p>
        </w:tc>
        <w:tc>
          <w:tcPr>
            <w:tcW w:w="7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420" w:type="dxa"/>
            <w:vAlign w:val="bottom"/>
            <w:tcBorders>
              <w:bottom w:val="single" w:sz="8" w:color="ABD8EA"/>
            </w:tcBorders>
          </w:tcPr>
          <w:p>
            <w:pPr>
              <w:spacing w:after="0"/>
              <w:rPr>
                <w:sz w:val="12"/>
                <w:szCs w:val="12"/>
                <w:color w:val="auto"/>
              </w:rPr>
            </w:pPr>
          </w:p>
        </w:tc>
        <w:tc>
          <w:tcPr>
            <w:tcW w:w="5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60 Days</w:t>
            </w:r>
          </w:p>
        </w:tc>
        <w:tc>
          <w:tcPr>
            <w:tcW w:w="260" w:type="dxa"/>
            <w:vAlign w:val="bottom"/>
            <w:tcBorders>
              <w:bottom w:val="single" w:sz="8" w:color="ABD8EA"/>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0"/>
                <w:szCs w:val="10"/>
                <w:b w:val="1"/>
                <w:bCs w:val="1"/>
                <w:color w:val="auto"/>
              </w:rPr>
              <w:t>(1)</w:t>
            </w:r>
          </w:p>
        </w:tc>
        <w:tc>
          <w:tcPr>
            <w:tcW w:w="260" w:type="dxa"/>
            <w:vAlign w:val="bottom"/>
            <w:tcBorders>
              <w:bottom w:val="single" w:sz="8" w:color="ABD8EA"/>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BD8EA"/>
            </w:tcBorders>
            <w:vMerge w:val="continue"/>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(2) (3)</w:t>
            </w:r>
          </w:p>
        </w:tc>
        <w:tc>
          <w:tcPr>
            <w:tcW w:w="400" w:type="dxa"/>
            <w:vAlign w:val="bottom"/>
            <w:tcBorders>
              <w:bottom w:val="single" w:sz="8" w:color="ABD8EA"/>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Items</w:t>
            </w:r>
            <w:r>
              <w:rPr>
                <w:rFonts w:ascii="Times New Roman" w:cs="Times New Roman" w:eastAsia="Times New Roman" w:hAnsi="Times New Roman"/>
                <w:sz w:val="10"/>
                <w:szCs w:val="10"/>
                <w:b w:val="1"/>
                <w:bCs w:val="1"/>
                <w:color w:val="auto"/>
              </w:rPr>
              <w:t>(4)</w:t>
            </w:r>
          </w:p>
        </w:tc>
        <w:tc>
          <w:tcPr>
            <w:tcW w:w="260" w:type="dxa"/>
            <w:vAlign w:val="bottom"/>
            <w:tcBorders>
              <w:bottom w:val="single" w:sz="8" w:color="ABD8EA"/>
            </w:tcBorders>
          </w:tcPr>
          <w:p>
            <w:pPr>
              <w:spacing w:after="0"/>
              <w:rPr>
                <w:sz w:val="12"/>
                <w:szCs w:val="12"/>
                <w:color w:val="auto"/>
              </w:rPr>
            </w:pPr>
          </w:p>
        </w:tc>
        <w:tc>
          <w:tcPr>
            <w:tcW w:w="7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60" w:type="dxa"/>
            <w:vAlign w:val="bottom"/>
            <w:tcBorders>
              <w:bottom w:val="single" w:sz="8" w:color="ABD8EA"/>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340" w:type="dxa"/>
            <w:vAlign w:val="bottom"/>
            <w:gridSpan w:val="3"/>
            <w:shd w:val="clear" w:color="auto" w:fill="ABD8EA"/>
          </w:tcPr>
          <w:p>
            <w:pPr>
              <w:jc w:val="right"/>
              <w:ind w:right="260"/>
              <w:spacing w:after="0" w:line="250" w:lineRule="exact"/>
              <w:rPr>
                <w:sz w:val="20"/>
                <w:szCs w:val="20"/>
                <w:color w:val="auto"/>
              </w:rPr>
            </w:pPr>
            <w:r>
              <w:rPr>
                <w:rFonts w:ascii="Times New Roman" w:cs="Times New Roman" w:eastAsia="Times New Roman" w:hAnsi="Times New Roman"/>
                <w:sz w:val="18"/>
                <w:szCs w:val="18"/>
                <w:color w:val="auto"/>
              </w:rPr>
              <w:t>677,519</w:t>
            </w:r>
            <w:r>
              <w:rPr>
                <w:rFonts w:ascii="Times New Roman" w:cs="Times New Roman" w:eastAsia="Times New Roman" w:hAnsi="Times New Roman"/>
                <w:sz w:val="26"/>
                <w:szCs w:val="26"/>
                <w:color w:val="auto"/>
                <w:vertAlign w:val="superscript"/>
              </w:rPr>
              <w:t>(5)</w:t>
            </w:r>
          </w:p>
        </w:tc>
        <w:tc>
          <w:tcPr>
            <w:tcW w:w="820" w:type="dxa"/>
            <w:vAlign w:val="bottom"/>
            <w:gridSpan w:val="2"/>
            <w:shd w:val="clear" w:color="auto" w:fill="ABD8EA"/>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677,519</w:t>
            </w:r>
          </w:p>
        </w:tc>
        <w:tc>
          <w:tcPr>
            <w:tcW w:w="1160" w:type="dxa"/>
            <w:vAlign w:val="bottom"/>
            <w:gridSpan w:val="2"/>
            <w:shd w:val="clear" w:color="auto" w:fill="ABD8EA"/>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ABD8EA"/>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677,519</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89,975</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164,676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254,651</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254,651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1340" w:type="dxa"/>
            <w:vAlign w:val="bottom"/>
            <w:gridSpan w:val="3"/>
            <w:shd w:val="clear" w:color="auto" w:fill="ABD8EA"/>
          </w:tcPr>
          <w:p>
            <w:pPr>
              <w:jc w:val="right"/>
              <w:ind w:right="260"/>
              <w:spacing w:after="0" w:line="270" w:lineRule="exact"/>
              <w:rPr>
                <w:sz w:val="20"/>
                <w:szCs w:val="20"/>
                <w:color w:val="auto"/>
              </w:rPr>
            </w:pPr>
            <w:r>
              <w:rPr>
                <w:rFonts w:ascii="Times New Roman" w:cs="Times New Roman" w:eastAsia="Times New Roman" w:hAnsi="Times New Roman"/>
                <w:sz w:val="18"/>
                <w:szCs w:val="18"/>
                <w:color w:val="auto"/>
              </w:rPr>
              <w:t>9,899</w:t>
            </w:r>
            <w:r>
              <w:rPr>
                <w:rFonts w:ascii="Times New Roman" w:cs="Times New Roman" w:eastAsia="Times New Roman" w:hAnsi="Times New Roman"/>
                <w:sz w:val="26"/>
                <w:szCs w:val="26"/>
                <w:color w:val="auto"/>
                <w:vertAlign w:val="superscript"/>
              </w:rPr>
              <w:t>(6)</w:t>
            </w:r>
          </w:p>
        </w:tc>
        <w:tc>
          <w:tcPr>
            <w:tcW w:w="82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4,643</w:t>
            </w:r>
          </w:p>
        </w:tc>
        <w:tc>
          <w:tcPr>
            <w:tcW w:w="96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14,542</w:t>
            </w:r>
          </w:p>
        </w:tc>
        <w:tc>
          <w:tcPr>
            <w:tcW w:w="1160" w:type="dxa"/>
            <w:vAlign w:val="bottom"/>
            <w:gridSpan w:val="2"/>
            <w:shd w:val="clear" w:color="auto" w:fill="ABD8EA"/>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12,139</w:t>
            </w:r>
          </w:p>
        </w:tc>
        <w:tc>
          <w:tcPr>
            <w:tcW w:w="84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26,681</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Jennifer Kuperman</w:t>
            </w:r>
          </w:p>
        </w:tc>
        <w:tc>
          <w:tcPr>
            <w:tcW w:w="1340" w:type="dxa"/>
            <w:vAlign w:val="bottom"/>
            <w:gridSpan w:val="3"/>
          </w:tcPr>
          <w:p>
            <w:pPr>
              <w:jc w:val="right"/>
              <w:ind w:right="260"/>
              <w:spacing w:after="0" w:line="270" w:lineRule="exact"/>
              <w:rPr>
                <w:sz w:val="20"/>
                <w:szCs w:val="20"/>
                <w:color w:val="auto"/>
              </w:rPr>
            </w:pPr>
            <w:r>
              <w:rPr>
                <w:rFonts w:ascii="Times New Roman" w:cs="Times New Roman" w:eastAsia="Times New Roman" w:hAnsi="Times New Roman"/>
                <w:sz w:val="18"/>
                <w:szCs w:val="18"/>
                <w:color w:val="auto"/>
              </w:rPr>
              <w:t>9,479</w:t>
            </w:r>
            <w:r>
              <w:rPr>
                <w:rFonts w:ascii="Times New Roman" w:cs="Times New Roman" w:eastAsia="Times New Roman" w:hAnsi="Times New Roman"/>
                <w:sz w:val="26"/>
                <w:szCs w:val="26"/>
                <w:color w:val="auto"/>
                <w:vertAlign w:val="superscript"/>
              </w:rPr>
              <w:t>(6)</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4,643</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14,122</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9,932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24,054</w:t>
            </w:r>
          </w:p>
        </w:tc>
        <w:tc>
          <w:tcPr>
            <w:tcW w:w="0" w:type="dxa"/>
            <w:vAlign w:val="bottom"/>
          </w:tcPr>
          <w:p>
            <w:pPr>
              <w:spacing w:after="0"/>
              <w:rPr>
                <w:sz w:val="1"/>
                <w:szCs w:val="1"/>
                <w:color w:val="auto"/>
              </w:rPr>
            </w:pPr>
          </w:p>
        </w:tc>
      </w:tr>
      <w:tr>
        <w:trPr>
          <w:trHeight w:val="270"/>
        </w:trPr>
        <w:tc>
          <w:tcPr>
            <w:tcW w:w="404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340" w:type="dxa"/>
            <w:vAlign w:val="bottom"/>
            <w:gridSpan w:val="3"/>
            <w:shd w:val="clear" w:color="auto" w:fill="ABD8EA"/>
          </w:tcPr>
          <w:p>
            <w:pPr>
              <w:jc w:val="right"/>
              <w:ind w:right="260"/>
              <w:spacing w:after="0" w:line="270" w:lineRule="exact"/>
              <w:rPr>
                <w:sz w:val="20"/>
                <w:szCs w:val="20"/>
                <w:color w:val="auto"/>
              </w:rPr>
            </w:pPr>
            <w:r>
              <w:rPr>
                <w:rFonts w:ascii="Times New Roman" w:cs="Times New Roman" w:eastAsia="Times New Roman" w:hAnsi="Times New Roman"/>
                <w:sz w:val="18"/>
                <w:szCs w:val="18"/>
                <w:color w:val="auto"/>
              </w:rPr>
              <w:t>3,044</w:t>
            </w:r>
            <w:r>
              <w:rPr>
                <w:rFonts w:ascii="Times New Roman" w:cs="Times New Roman" w:eastAsia="Times New Roman" w:hAnsi="Times New Roman"/>
                <w:sz w:val="26"/>
                <w:szCs w:val="26"/>
                <w:color w:val="auto"/>
                <w:vertAlign w:val="superscript"/>
              </w:rPr>
              <w:t>(6)</w:t>
            </w:r>
          </w:p>
        </w:tc>
        <w:tc>
          <w:tcPr>
            <w:tcW w:w="82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4,643</w:t>
            </w:r>
          </w:p>
        </w:tc>
        <w:tc>
          <w:tcPr>
            <w:tcW w:w="960" w:type="dxa"/>
            <w:vAlign w:val="bottom"/>
            <w:gridSpan w:val="2"/>
            <w:shd w:val="clear" w:color="auto" w:fill="ABD8EA"/>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7,687</w:t>
            </w:r>
          </w:p>
        </w:tc>
        <w:tc>
          <w:tcPr>
            <w:tcW w:w="1160" w:type="dxa"/>
            <w:vAlign w:val="bottom"/>
            <w:gridSpan w:val="2"/>
            <w:shd w:val="clear" w:color="auto" w:fill="ABD8EA"/>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2,363</w:t>
            </w:r>
          </w:p>
        </w:tc>
        <w:tc>
          <w:tcPr>
            <w:tcW w:w="84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10,050</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1340" w:type="dxa"/>
            <w:vAlign w:val="bottom"/>
            <w:gridSpan w:val="3"/>
          </w:tcPr>
          <w:p>
            <w:pPr>
              <w:jc w:val="right"/>
              <w:ind w:right="260"/>
              <w:spacing w:after="0" w:line="270" w:lineRule="exact"/>
              <w:rPr>
                <w:sz w:val="20"/>
                <w:szCs w:val="20"/>
                <w:color w:val="auto"/>
              </w:rPr>
            </w:pPr>
            <w:r>
              <w:rPr>
                <w:rFonts w:ascii="Times New Roman" w:cs="Times New Roman" w:eastAsia="Times New Roman" w:hAnsi="Times New Roman"/>
                <w:sz w:val="18"/>
                <w:szCs w:val="18"/>
                <w:color w:val="auto"/>
              </w:rPr>
              <w:t>13,969</w:t>
            </w:r>
            <w:r>
              <w:rPr>
                <w:rFonts w:ascii="Times New Roman" w:cs="Times New Roman" w:eastAsia="Times New Roman" w:hAnsi="Times New Roman"/>
                <w:sz w:val="26"/>
                <w:szCs w:val="26"/>
                <w:color w:val="auto"/>
                <w:vertAlign w:val="superscript"/>
              </w:rPr>
              <w:t>(7)</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4,643</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18,612</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18,612</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340" w:type="dxa"/>
            <w:vAlign w:val="bottom"/>
            <w:tcBorders>
              <w:bottom w:val="single" w:sz="8" w:color="ABD8EA"/>
            </w:tcBorders>
            <w:gridSpan w:val="3"/>
            <w:shd w:val="clear" w:color="auto" w:fill="ABD8EA"/>
          </w:tcPr>
          <w:p>
            <w:pPr>
              <w:jc w:val="right"/>
              <w:ind w:right="420"/>
              <w:spacing w:after="0"/>
              <w:rPr>
                <w:sz w:val="20"/>
                <w:szCs w:val="20"/>
                <w:color w:val="auto"/>
              </w:rPr>
            </w:pPr>
            <w:r>
              <w:rPr>
                <w:rFonts w:ascii="Times New Roman" w:cs="Times New Roman" w:eastAsia="Times New Roman" w:hAnsi="Times New Roman"/>
                <w:sz w:val="18"/>
                <w:szCs w:val="18"/>
                <w:color w:val="auto"/>
              </w:rPr>
              <w:t>43,561</w:t>
            </w:r>
          </w:p>
        </w:tc>
        <w:tc>
          <w:tcPr>
            <w:tcW w:w="820" w:type="dxa"/>
            <w:vAlign w:val="bottom"/>
            <w:tcBorders>
              <w:bottom w:val="single" w:sz="8" w:color="ABD8EA"/>
            </w:tcBorders>
            <w:gridSpan w:val="2"/>
            <w:shd w:val="clear" w:color="auto" w:fill="ABD8EA"/>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BD8EA"/>
            </w:tcBorders>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25,777</w:t>
            </w:r>
          </w:p>
        </w:tc>
        <w:tc>
          <w:tcPr>
            <w:tcW w:w="1040" w:type="dxa"/>
            <w:vAlign w:val="bottom"/>
            <w:tcBorders>
              <w:bottom w:val="single" w:sz="8" w:color="ABD8EA"/>
            </w:tcBorders>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69,338</w:t>
            </w:r>
          </w:p>
        </w:tc>
        <w:tc>
          <w:tcPr>
            <w:tcW w:w="1160" w:type="dxa"/>
            <w:vAlign w:val="bottom"/>
            <w:tcBorders>
              <w:bottom w:val="single" w:sz="8" w:color="ABD8EA"/>
            </w:tcBorders>
            <w:gridSpan w:val="2"/>
            <w:shd w:val="clear" w:color="auto" w:fill="ABD8EA"/>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BD8EA"/>
            </w:tcBorders>
            <w:gridSpan w:val="2"/>
            <w:shd w:val="clear" w:color="auto" w:fill="ABD8EA"/>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69,338</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26,153</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26,153</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26,153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340" w:type="dxa"/>
            <w:vAlign w:val="bottom"/>
            <w:tcBorders>
              <w:bottom w:val="single" w:sz="8" w:color="ABD8EA"/>
            </w:tcBorders>
            <w:gridSpan w:val="3"/>
            <w:shd w:val="clear" w:color="auto" w:fill="ABD8EA"/>
          </w:tcPr>
          <w:p>
            <w:pPr>
              <w:jc w:val="right"/>
              <w:ind w:right="420"/>
              <w:spacing w:after="0"/>
              <w:rPr>
                <w:sz w:val="20"/>
                <w:szCs w:val="20"/>
                <w:color w:val="auto"/>
              </w:rPr>
            </w:pPr>
            <w:r>
              <w:rPr>
                <w:rFonts w:ascii="Times New Roman" w:cs="Times New Roman" w:eastAsia="Times New Roman" w:hAnsi="Times New Roman"/>
                <w:sz w:val="18"/>
                <w:szCs w:val="18"/>
                <w:color w:val="auto"/>
              </w:rPr>
              <w:t>32,492</w:t>
            </w:r>
          </w:p>
        </w:tc>
        <w:tc>
          <w:tcPr>
            <w:tcW w:w="820" w:type="dxa"/>
            <w:vAlign w:val="bottom"/>
            <w:tcBorders>
              <w:bottom w:val="single" w:sz="8" w:color="ABD8EA"/>
            </w:tcBorders>
            <w:gridSpan w:val="2"/>
            <w:shd w:val="clear" w:color="auto" w:fill="ABD8EA"/>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BD8EA"/>
            </w:tcBorders>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8,155</w:t>
            </w:r>
          </w:p>
        </w:tc>
        <w:tc>
          <w:tcPr>
            <w:tcW w:w="1040" w:type="dxa"/>
            <w:vAlign w:val="bottom"/>
            <w:tcBorders>
              <w:bottom w:val="single" w:sz="8" w:color="ABD8EA"/>
            </w:tcBorders>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40,647</w:t>
            </w:r>
          </w:p>
        </w:tc>
        <w:tc>
          <w:tcPr>
            <w:tcW w:w="1160" w:type="dxa"/>
            <w:vAlign w:val="bottom"/>
            <w:tcBorders>
              <w:bottom w:val="single" w:sz="8" w:color="ABD8EA"/>
            </w:tcBorders>
            <w:gridSpan w:val="2"/>
            <w:shd w:val="clear" w:color="auto" w:fill="ABD8EA"/>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BD8EA"/>
            </w:tcBorders>
            <w:gridSpan w:val="2"/>
            <w:shd w:val="clear" w:color="auto" w:fill="ABD8EA"/>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40,647</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12,839</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12,839</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12,839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(10</w:t>
            </w:r>
          </w:p>
        </w:tc>
        <w:tc>
          <w:tcPr>
            <w:tcW w:w="200" w:type="dxa"/>
            <w:vAlign w:val="bottom"/>
            <w:shd w:val="clear" w:color="auto" w:fill="ABD8EA"/>
          </w:tcPr>
          <w:p>
            <w:pPr>
              <w:spacing w:after="0"/>
              <w:rPr>
                <w:sz w:val="19"/>
                <w:szCs w:val="19"/>
                <w:color w:val="auto"/>
              </w:rPr>
            </w:pPr>
          </w:p>
        </w:tc>
        <w:tc>
          <w:tcPr>
            <w:tcW w:w="720" w:type="dxa"/>
            <w:vAlign w:val="bottom"/>
            <w:shd w:val="clear" w:color="auto" w:fill="ABD8EA"/>
          </w:tcPr>
          <w:p>
            <w:pPr>
              <w:spacing w:after="0"/>
              <w:rPr>
                <w:sz w:val="19"/>
                <w:szCs w:val="19"/>
                <w:color w:val="auto"/>
              </w:rPr>
            </w:pPr>
          </w:p>
        </w:tc>
        <w:tc>
          <w:tcPr>
            <w:tcW w:w="420" w:type="dxa"/>
            <w:vAlign w:val="bottom"/>
            <w:shd w:val="clear" w:color="auto" w:fill="ABD8EA"/>
          </w:tcPr>
          <w:p>
            <w:pPr>
              <w:spacing w:after="0"/>
              <w:rPr>
                <w:sz w:val="19"/>
                <w:szCs w:val="19"/>
                <w:color w:val="auto"/>
              </w:rPr>
            </w:pPr>
          </w:p>
        </w:tc>
        <w:tc>
          <w:tcPr>
            <w:tcW w:w="560" w:type="dxa"/>
            <w:vAlign w:val="bottom"/>
            <w:shd w:val="clear" w:color="auto" w:fill="ABD8EA"/>
          </w:tcPr>
          <w:p>
            <w:pPr>
              <w:spacing w:after="0"/>
              <w:rPr>
                <w:sz w:val="19"/>
                <w:szCs w:val="19"/>
                <w:color w:val="auto"/>
              </w:rPr>
            </w:pPr>
          </w:p>
        </w:tc>
        <w:tc>
          <w:tcPr>
            <w:tcW w:w="260" w:type="dxa"/>
            <w:vAlign w:val="bottom"/>
            <w:shd w:val="clear" w:color="auto" w:fill="ABD8EA"/>
          </w:tcPr>
          <w:p>
            <w:pPr>
              <w:spacing w:after="0"/>
              <w:rPr>
                <w:sz w:val="19"/>
                <w:szCs w:val="19"/>
                <w:color w:val="auto"/>
              </w:rPr>
            </w:pPr>
          </w:p>
        </w:tc>
        <w:tc>
          <w:tcPr>
            <w:tcW w:w="700" w:type="dxa"/>
            <w:vAlign w:val="bottom"/>
            <w:shd w:val="clear" w:color="auto" w:fill="ABD8EA"/>
          </w:tcPr>
          <w:p>
            <w:pPr>
              <w:spacing w:after="0"/>
              <w:rPr>
                <w:sz w:val="19"/>
                <w:szCs w:val="19"/>
                <w:color w:val="auto"/>
              </w:rPr>
            </w:pPr>
          </w:p>
        </w:tc>
        <w:tc>
          <w:tcPr>
            <w:tcW w:w="260" w:type="dxa"/>
            <w:vAlign w:val="bottom"/>
            <w:shd w:val="clear" w:color="auto" w:fill="ABD8EA"/>
          </w:tcPr>
          <w:p>
            <w:pPr>
              <w:spacing w:after="0"/>
              <w:rPr>
                <w:sz w:val="19"/>
                <w:szCs w:val="19"/>
                <w:color w:val="auto"/>
              </w:rPr>
            </w:pPr>
          </w:p>
        </w:tc>
        <w:tc>
          <w:tcPr>
            <w:tcW w:w="780" w:type="dxa"/>
            <w:vAlign w:val="bottom"/>
            <w:shd w:val="clear" w:color="auto" w:fill="ABD8EA"/>
          </w:tcPr>
          <w:p>
            <w:pPr>
              <w:spacing w:after="0"/>
              <w:rPr>
                <w:sz w:val="19"/>
                <w:szCs w:val="19"/>
                <w:color w:val="auto"/>
              </w:rPr>
            </w:pPr>
          </w:p>
        </w:tc>
        <w:tc>
          <w:tcPr>
            <w:tcW w:w="260" w:type="dxa"/>
            <w:vAlign w:val="bottom"/>
            <w:shd w:val="clear" w:color="auto" w:fill="ABD8EA"/>
          </w:tcPr>
          <w:p>
            <w:pPr>
              <w:spacing w:after="0"/>
              <w:rPr>
                <w:sz w:val="19"/>
                <w:szCs w:val="19"/>
                <w:color w:val="auto"/>
              </w:rPr>
            </w:pPr>
          </w:p>
        </w:tc>
        <w:tc>
          <w:tcPr>
            <w:tcW w:w="760" w:type="dxa"/>
            <w:vAlign w:val="bottom"/>
            <w:shd w:val="clear" w:color="auto" w:fill="ABD8EA"/>
          </w:tcPr>
          <w:p>
            <w:pPr>
              <w:spacing w:after="0"/>
              <w:rPr>
                <w:sz w:val="19"/>
                <w:szCs w:val="19"/>
                <w:color w:val="auto"/>
              </w:rPr>
            </w:pPr>
          </w:p>
        </w:tc>
        <w:tc>
          <w:tcPr>
            <w:tcW w:w="400" w:type="dxa"/>
            <w:vAlign w:val="bottom"/>
            <w:shd w:val="clear" w:color="auto" w:fill="ABD8EA"/>
          </w:tcPr>
          <w:p>
            <w:pPr>
              <w:spacing w:after="0"/>
              <w:rPr>
                <w:sz w:val="19"/>
                <w:szCs w:val="19"/>
                <w:color w:val="auto"/>
              </w:rPr>
            </w:pPr>
          </w:p>
        </w:tc>
        <w:tc>
          <w:tcPr>
            <w:tcW w:w="560" w:type="dxa"/>
            <w:vAlign w:val="bottom"/>
            <w:shd w:val="clear" w:color="auto" w:fill="ABD8EA"/>
          </w:tcPr>
          <w:p>
            <w:pPr>
              <w:spacing w:after="0"/>
              <w:rPr>
                <w:sz w:val="19"/>
                <w:szCs w:val="19"/>
                <w:color w:val="auto"/>
              </w:rPr>
            </w:pPr>
          </w:p>
        </w:tc>
        <w:tc>
          <w:tcPr>
            <w:tcW w:w="260" w:type="dxa"/>
            <w:vAlign w:val="bottom"/>
            <w:shd w:val="clear" w:color="auto" w:fill="ABD8EA"/>
          </w:tcPr>
          <w:p>
            <w:pPr>
              <w:spacing w:after="0"/>
              <w:rPr>
                <w:sz w:val="19"/>
                <w:szCs w:val="19"/>
                <w:color w:val="auto"/>
              </w:rPr>
            </w:pPr>
          </w:p>
        </w:tc>
        <w:tc>
          <w:tcPr>
            <w:tcW w:w="780" w:type="dxa"/>
            <w:vAlign w:val="bottom"/>
            <w:shd w:val="clear" w:color="auto" w:fill="ABD8EA"/>
          </w:tcPr>
          <w:p>
            <w:pPr>
              <w:spacing w:after="0"/>
              <w:rPr>
                <w:sz w:val="19"/>
                <w:szCs w:val="19"/>
                <w:color w:val="auto"/>
              </w:rPr>
            </w:pPr>
          </w:p>
        </w:tc>
        <w:tc>
          <w:tcPr>
            <w:tcW w:w="60" w:type="dxa"/>
            <w:vAlign w:val="bottom"/>
            <w:shd w:val="clear" w:color="auto" w:fill="ABD8EA"/>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ABD8EA"/>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1340" w:type="dxa"/>
            <w:vAlign w:val="bottom"/>
            <w:gridSpan w:val="3"/>
            <w:shd w:val="clear" w:color="auto" w:fill="ABD8EA"/>
          </w:tcPr>
          <w:p>
            <w:pPr>
              <w:jc w:val="right"/>
              <w:ind w:right="420"/>
              <w:spacing w:after="0"/>
              <w:rPr>
                <w:sz w:val="20"/>
                <w:szCs w:val="20"/>
                <w:color w:val="auto"/>
              </w:rPr>
            </w:pPr>
            <w:r>
              <w:rPr>
                <w:rFonts w:ascii="Times New Roman" w:cs="Times New Roman" w:eastAsia="Times New Roman" w:hAnsi="Times New Roman"/>
                <w:sz w:val="18"/>
                <w:szCs w:val="18"/>
                <w:color w:val="auto"/>
              </w:rPr>
              <w:t>918,930</w:t>
            </w:r>
          </w:p>
        </w:tc>
        <w:tc>
          <w:tcPr>
            <w:tcW w:w="82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18,572</w:t>
            </w:r>
          </w:p>
        </w:tc>
        <w:tc>
          <w:tcPr>
            <w:tcW w:w="96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198,608</w:t>
            </w:r>
          </w:p>
        </w:tc>
        <w:tc>
          <w:tcPr>
            <w:tcW w:w="104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1,136,110</w:t>
            </w:r>
          </w:p>
        </w:tc>
        <w:tc>
          <w:tcPr>
            <w:tcW w:w="11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820" w:type="dxa"/>
            <w:vAlign w:val="bottom"/>
            <w:gridSpan w:val="2"/>
            <w:shd w:val="clear" w:color="auto" w:fill="ABD8EA"/>
          </w:tcPr>
          <w:p>
            <w:pPr>
              <w:jc w:val="right"/>
              <w:ind w:right="260"/>
              <w:spacing w:after="0"/>
              <w:rPr>
                <w:sz w:val="20"/>
                <w:szCs w:val="20"/>
                <w:color w:val="auto"/>
              </w:rPr>
            </w:pPr>
            <w:r>
              <w:rPr>
                <w:rFonts w:ascii="Times New Roman" w:cs="Times New Roman" w:eastAsia="Times New Roman" w:hAnsi="Times New Roman"/>
                <w:sz w:val="18"/>
                <w:szCs w:val="18"/>
                <w:color w:val="auto"/>
              </w:rPr>
              <w:t>24,434</w:t>
            </w:r>
          </w:p>
        </w:tc>
        <w:tc>
          <w:tcPr>
            <w:tcW w:w="84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1,160,544</w:t>
            </w:r>
          </w:p>
        </w:tc>
        <w:tc>
          <w:tcPr>
            <w:tcW w:w="0" w:type="dxa"/>
            <w:vAlign w:val="bottom"/>
          </w:tcPr>
          <w:p>
            <w:pPr>
              <w:spacing w:after="0"/>
              <w:rPr>
                <w:sz w:val="1"/>
                <w:szCs w:val="1"/>
                <w:color w:val="auto"/>
              </w:rPr>
            </w:pPr>
          </w:p>
        </w:tc>
      </w:tr>
      <w:tr>
        <w:trPr>
          <w:trHeight w:val="27"/>
        </w:trPr>
        <w:tc>
          <w:tcPr>
            <w:tcW w:w="4040" w:type="dxa"/>
            <w:vAlign w:val="bottom"/>
            <w:shd w:val="clear" w:color="auto" w:fill="ABD8EA"/>
          </w:tcPr>
          <w:p>
            <w:pPr>
              <w:spacing w:after="0"/>
              <w:rPr>
                <w:sz w:val="2"/>
                <w:szCs w:val="2"/>
                <w:color w:val="auto"/>
              </w:rPr>
            </w:pPr>
          </w:p>
        </w:tc>
        <w:tc>
          <w:tcPr>
            <w:tcW w:w="200" w:type="dxa"/>
            <w:vAlign w:val="bottom"/>
            <w:shd w:val="clear" w:color="auto" w:fill="ABD8EA"/>
          </w:tcPr>
          <w:p>
            <w:pPr>
              <w:spacing w:after="0"/>
              <w:rPr>
                <w:sz w:val="2"/>
                <w:szCs w:val="2"/>
                <w:color w:val="auto"/>
              </w:rPr>
            </w:pPr>
          </w:p>
        </w:tc>
        <w:tc>
          <w:tcPr>
            <w:tcW w:w="720" w:type="dxa"/>
            <w:vAlign w:val="bottom"/>
            <w:shd w:val="clear" w:color="auto" w:fill="ABD8EA"/>
          </w:tcPr>
          <w:p>
            <w:pPr>
              <w:spacing w:after="0"/>
              <w:rPr>
                <w:sz w:val="2"/>
                <w:szCs w:val="2"/>
                <w:color w:val="auto"/>
              </w:rPr>
            </w:pPr>
          </w:p>
        </w:tc>
        <w:tc>
          <w:tcPr>
            <w:tcW w:w="420" w:type="dxa"/>
            <w:vAlign w:val="bottom"/>
            <w:shd w:val="clear" w:color="auto" w:fill="ABD8EA"/>
          </w:tcPr>
          <w:p>
            <w:pPr>
              <w:spacing w:after="0"/>
              <w:rPr>
                <w:sz w:val="2"/>
                <w:szCs w:val="2"/>
                <w:color w:val="auto"/>
              </w:rPr>
            </w:pPr>
          </w:p>
        </w:tc>
        <w:tc>
          <w:tcPr>
            <w:tcW w:w="560" w:type="dxa"/>
            <w:vAlign w:val="bottom"/>
            <w:shd w:val="clear" w:color="auto" w:fill="ABD8EA"/>
          </w:tcPr>
          <w:p>
            <w:pPr>
              <w:spacing w:after="0"/>
              <w:rPr>
                <w:sz w:val="2"/>
                <w:szCs w:val="2"/>
                <w:color w:val="auto"/>
              </w:rPr>
            </w:pPr>
          </w:p>
        </w:tc>
        <w:tc>
          <w:tcPr>
            <w:tcW w:w="260" w:type="dxa"/>
            <w:vAlign w:val="bottom"/>
            <w:shd w:val="clear" w:color="auto" w:fill="ABD8EA"/>
          </w:tcPr>
          <w:p>
            <w:pPr>
              <w:spacing w:after="0"/>
              <w:rPr>
                <w:sz w:val="2"/>
                <w:szCs w:val="2"/>
                <w:color w:val="auto"/>
              </w:rPr>
            </w:pPr>
          </w:p>
        </w:tc>
        <w:tc>
          <w:tcPr>
            <w:tcW w:w="700" w:type="dxa"/>
            <w:vAlign w:val="bottom"/>
            <w:shd w:val="clear" w:color="auto" w:fill="ABD8EA"/>
          </w:tcPr>
          <w:p>
            <w:pPr>
              <w:spacing w:after="0"/>
              <w:rPr>
                <w:sz w:val="2"/>
                <w:szCs w:val="2"/>
                <w:color w:val="auto"/>
              </w:rPr>
            </w:pPr>
          </w:p>
        </w:tc>
        <w:tc>
          <w:tcPr>
            <w:tcW w:w="260" w:type="dxa"/>
            <w:vAlign w:val="bottom"/>
            <w:shd w:val="clear" w:color="auto" w:fill="ABD8EA"/>
          </w:tcPr>
          <w:p>
            <w:pPr>
              <w:spacing w:after="0"/>
              <w:rPr>
                <w:sz w:val="2"/>
                <w:szCs w:val="2"/>
                <w:color w:val="auto"/>
              </w:rPr>
            </w:pPr>
          </w:p>
        </w:tc>
        <w:tc>
          <w:tcPr>
            <w:tcW w:w="780" w:type="dxa"/>
            <w:vAlign w:val="bottom"/>
            <w:shd w:val="clear" w:color="auto" w:fill="ABD8EA"/>
          </w:tcPr>
          <w:p>
            <w:pPr>
              <w:spacing w:after="0"/>
              <w:rPr>
                <w:sz w:val="2"/>
                <w:szCs w:val="2"/>
                <w:color w:val="auto"/>
              </w:rPr>
            </w:pPr>
          </w:p>
        </w:tc>
        <w:tc>
          <w:tcPr>
            <w:tcW w:w="260" w:type="dxa"/>
            <w:vAlign w:val="bottom"/>
            <w:shd w:val="clear" w:color="auto" w:fill="ABD8EA"/>
          </w:tcPr>
          <w:p>
            <w:pPr>
              <w:spacing w:after="0"/>
              <w:rPr>
                <w:sz w:val="2"/>
                <w:szCs w:val="2"/>
                <w:color w:val="auto"/>
              </w:rPr>
            </w:pPr>
          </w:p>
        </w:tc>
        <w:tc>
          <w:tcPr>
            <w:tcW w:w="760" w:type="dxa"/>
            <w:vAlign w:val="bottom"/>
            <w:shd w:val="clear" w:color="auto" w:fill="ABD8EA"/>
          </w:tcPr>
          <w:p>
            <w:pPr>
              <w:spacing w:after="0"/>
              <w:rPr>
                <w:sz w:val="2"/>
                <w:szCs w:val="2"/>
                <w:color w:val="auto"/>
              </w:rPr>
            </w:pPr>
          </w:p>
        </w:tc>
        <w:tc>
          <w:tcPr>
            <w:tcW w:w="400" w:type="dxa"/>
            <w:vAlign w:val="bottom"/>
            <w:shd w:val="clear" w:color="auto" w:fill="ABD8EA"/>
          </w:tcPr>
          <w:p>
            <w:pPr>
              <w:spacing w:after="0"/>
              <w:rPr>
                <w:sz w:val="2"/>
                <w:szCs w:val="2"/>
                <w:color w:val="auto"/>
              </w:rPr>
            </w:pPr>
          </w:p>
        </w:tc>
        <w:tc>
          <w:tcPr>
            <w:tcW w:w="560" w:type="dxa"/>
            <w:vAlign w:val="bottom"/>
            <w:shd w:val="clear" w:color="auto" w:fill="ABD8EA"/>
          </w:tcPr>
          <w:p>
            <w:pPr>
              <w:spacing w:after="0"/>
              <w:rPr>
                <w:sz w:val="2"/>
                <w:szCs w:val="2"/>
                <w:color w:val="auto"/>
              </w:rPr>
            </w:pPr>
          </w:p>
        </w:tc>
        <w:tc>
          <w:tcPr>
            <w:tcW w:w="260" w:type="dxa"/>
            <w:vAlign w:val="bottom"/>
            <w:shd w:val="clear" w:color="auto" w:fill="ABD8EA"/>
          </w:tcPr>
          <w:p>
            <w:pPr>
              <w:spacing w:after="0"/>
              <w:rPr>
                <w:sz w:val="2"/>
                <w:szCs w:val="2"/>
                <w:color w:val="auto"/>
              </w:rPr>
            </w:pPr>
          </w:p>
        </w:tc>
        <w:tc>
          <w:tcPr>
            <w:tcW w:w="780" w:type="dxa"/>
            <w:vAlign w:val="bottom"/>
            <w:shd w:val="clear" w:color="auto" w:fill="ABD8EA"/>
          </w:tcPr>
          <w:p>
            <w:pPr>
              <w:spacing w:after="0"/>
              <w:rPr>
                <w:sz w:val="2"/>
                <w:szCs w:val="2"/>
                <w:color w:val="auto"/>
              </w:rPr>
            </w:pPr>
          </w:p>
        </w:tc>
        <w:tc>
          <w:tcPr>
            <w:tcW w:w="60" w:type="dxa"/>
            <w:vAlign w:val="bottom"/>
            <w:shd w:val="clear" w:color="auto" w:fill="ABD8EA"/>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320" w:hanging="424"/>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number of shares which could be acquired upon the exercise of vested options, or options that vest within 60 days of December 5, 2022, by all directors, director nominees and executive officers.</w:t>
      </w:r>
    </w:p>
    <w:p>
      <w:pPr>
        <w:jc w:val="both"/>
        <w:ind w:left="540" w:right="32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for purposes of this calculation for each individual was the number of shares outstanding as of December 5, 2022 (134,526,308 shares), plus the number of RSUs that vest within 60 days of that date for such individual, plus the number of shares which could be acquired upon the exercise of vested options, or options that vest within 60 days of that date, by such individual.</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for purposes of this calculation for all directors, director nominees and executive officers as a group was the number of shares outstanding as of December 5, 2022 (134,526,308 shares), plus the number of RSUs that vest within 60 days of that date (18,572 shares), plus the number of vested RSUs deferred by certain directors until retirement from the Board of Directors (32,391 shares), plus the number of shares which could be acquired upon the exercise of vested options, or options that vest within 60 days of that date (198,608 shares), by all directors, director nominees and executive officers.</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indirect interests in shares of our common stock held under our Deferred Compensation Plan for Directors. Although indirect interests in shares of our common stock under deferred compensation plans may not be voted or transferred, they have been included in the table above as they represent an economic interest in our common stock that is subject to the same market risk as ownership of actual shares of our common stock.</w:t>
      </w:r>
    </w:p>
    <w:p>
      <w:pPr>
        <w:spacing w:after="0" w:line="1" w:lineRule="exact"/>
        <w:rPr>
          <w:rFonts w:ascii="Times New Roman" w:cs="Times New Roman" w:eastAsia="Times New Roman" w:hAnsi="Times New Roman"/>
          <w:sz w:val="18"/>
          <w:szCs w:val="18"/>
          <w:color w:val="auto"/>
        </w:rPr>
      </w:pPr>
    </w:p>
    <w:p>
      <w:pPr>
        <w:jc w:val="both"/>
        <w:ind w:left="540" w:right="36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368,478 shares held in trusts for the benefit of Mr. Vitale, 16,432 shares held in a trust for the benefit of his spouse and 33,454 shares held in trusts for the benefit of his children. Mr. Vitale also has shared voting and investment power with respect to 114,101 shares held by his spouse.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vested RSUs that the director has elected to defer until retirement from the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9,969 vested RSUs that the director has elected to defer until retirement from the Board of Directors.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Section 16 officers and directors are required under the Exchange Act to file reports of ownership and changes in ownership of our common stock with the SEC and the NYSE. Copies of those reports also must be furnished to us.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Based solely upon a review of copies of those reports, other documents furnished to us and written representations that no other reports were required, we believe that all filing requirements applicable to officers and directors with respect to the Company have been complied with during fiscal year 2022.</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September 30, 2022, relating to equity compensation plans of the Company (including individual compensation arrangements) pursuant to which equity securities of the Company are authorized for issuance.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3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000" w:type="dxa"/>
            <w:vAlign w:val="bottom"/>
            <w:gridSpan w:val="3"/>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9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20" w:type="dxa"/>
            <w:vAlign w:val="bottom"/>
          </w:tcPr>
          <w:p>
            <w:pPr>
              <w:spacing w:after="0"/>
              <w:rPr>
                <w:sz w:val="12"/>
                <w:szCs w:val="12"/>
                <w:color w:val="auto"/>
              </w:rPr>
            </w:pPr>
          </w:p>
        </w:tc>
        <w:tc>
          <w:tcPr>
            <w:tcW w:w="160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348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3"/>
        </w:trPr>
        <w:tc>
          <w:tcPr>
            <w:tcW w:w="34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2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column(a))</w:t>
            </w:r>
          </w:p>
        </w:tc>
        <w:tc>
          <w:tcPr>
            <w:tcW w:w="0" w:type="dxa"/>
            <w:vAlign w:val="bottom"/>
          </w:tcPr>
          <w:p>
            <w:pPr>
              <w:spacing w:after="0"/>
              <w:rPr>
                <w:sz w:val="1"/>
                <w:szCs w:val="1"/>
                <w:color w:val="auto"/>
              </w:rPr>
            </w:pPr>
          </w:p>
        </w:tc>
      </w:tr>
      <w:tr>
        <w:trPr>
          <w:trHeight w:val="205"/>
        </w:trPr>
        <w:tc>
          <w:tcPr>
            <w:tcW w:w="3480" w:type="dxa"/>
            <w:vAlign w:val="bottom"/>
            <w:tcBorders>
              <w:top w:val="single" w:sz="8" w:color="auto"/>
            </w:tcBorders>
            <w:shd w:val="clear" w:color="auto" w:fill="ABD8EA"/>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580" w:type="dxa"/>
            <w:vAlign w:val="bottom"/>
            <w:tcBorders>
              <w:top w:val="single" w:sz="8" w:color="ABD8EA"/>
            </w:tcBorders>
            <w:shd w:val="clear" w:color="auto" w:fill="ABD8EA"/>
          </w:tcPr>
          <w:p>
            <w:pPr>
              <w:spacing w:after="0"/>
              <w:rPr>
                <w:sz w:val="17"/>
                <w:szCs w:val="17"/>
                <w:color w:val="auto"/>
              </w:rPr>
            </w:pPr>
          </w:p>
        </w:tc>
        <w:tc>
          <w:tcPr>
            <w:tcW w:w="940" w:type="dxa"/>
            <w:vAlign w:val="bottom"/>
            <w:tcBorders>
              <w:top w:val="single" w:sz="8" w:color="auto"/>
            </w:tcBorders>
            <w:shd w:val="clear" w:color="auto" w:fill="ABD8EA"/>
          </w:tcPr>
          <w:p>
            <w:pPr>
              <w:spacing w:after="0"/>
              <w:rPr>
                <w:sz w:val="17"/>
                <w:szCs w:val="17"/>
                <w:color w:val="auto"/>
              </w:rPr>
            </w:pPr>
          </w:p>
        </w:tc>
        <w:tc>
          <w:tcPr>
            <w:tcW w:w="480" w:type="dxa"/>
            <w:vAlign w:val="bottom"/>
            <w:tcBorders>
              <w:top w:val="single" w:sz="8" w:color="ABD8EA"/>
            </w:tcBorders>
            <w:shd w:val="clear" w:color="auto" w:fill="ABD8EA"/>
          </w:tcPr>
          <w:p>
            <w:pPr>
              <w:spacing w:after="0"/>
              <w:rPr>
                <w:sz w:val="17"/>
                <w:szCs w:val="17"/>
                <w:color w:val="auto"/>
              </w:rPr>
            </w:pPr>
          </w:p>
        </w:tc>
        <w:tc>
          <w:tcPr>
            <w:tcW w:w="320" w:type="dxa"/>
            <w:vAlign w:val="bottom"/>
            <w:tcBorders>
              <w:top w:val="single" w:sz="8" w:color="ABD8EA"/>
            </w:tcBorders>
            <w:shd w:val="clear" w:color="auto" w:fill="ABD8EA"/>
          </w:tcPr>
          <w:p>
            <w:pPr>
              <w:spacing w:after="0"/>
              <w:rPr>
                <w:sz w:val="17"/>
                <w:szCs w:val="17"/>
                <w:color w:val="auto"/>
              </w:rPr>
            </w:pPr>
          </w:p>
        </w:tc>
        <w:tc>
          <w:tcPr>
            <w:tcW w:w="120" w:type="dxa"/>
            <w:vAlign w:val="bottom"/>
            <w:tcBorders>
              <w:top w:val="single" w:sz="8" w:color="auto"/>
            </w:tcBorders>
            <w:shd w:val="clear" w:color="auto" w:fill="ABD8EA"/>
          </w:tcPr>
          <w:p>
            <w:pPr>
              <w:spacing w:after="0"/>
              <w:rPr>
                <w:sz w:val="17"/>
                <w:szCs w:val="17"/>
                <w:color w:val="auto"/>
              </w:rPr>
            </w:pPr>
          </w:p>
        </w:tc>
        <w:tc>
          <w:tcPr>
            <w:tcW w:w="1020" w:type="dxa"/>
            <w:vAlign w:val="bottom"/>
            <w:tcBorders>
              <w:top w:val="single" w:sz="8" w:color="auto"/>
            </w:tcBorders>
            <w:shd w:val="clear" w:color="auto" w:fill="ABD8EA"/>
          </w:tcPr>
          <w:p>
            <w:pPr>
              <w:spacing w:after="0"/>
              <w:rPr>
                <w:sz w:val="17"/>
                <w:szCs w:val="17"/>
                <w:color w:val="auto"/>
              </w:rPr>
            </w:pPr>
          </w:p>
        </w:tc>
        <w:tc>
          <w:tcPr>
            <w:tcW w:w="460" w:type="dxa"/>
            <w:vAlign w:val="bottom"/>
            <w:tcBorders>
              <w:top w:val="single" w:sz="8" w:color="ABD8EA"/>
            </w:tcBorders>
            <w:shd w:val="clear" w:color="auto" w:fill="ABD8EA"/>
          </w:tcPr>
          <w:p>
            <w:pPr>
              <w:spacing w:after="0"/>
              <w:rPr>
                <w:sz w:val="17"/>
                <w:szCs w:val="17"/>
                <w:color w:val="auto"/>
              </w:rPr>
            </w:pPr>
          </w:p>
        </w:tc>
        <w:tc>
          <w:tcPr>
            <w:tcW w:w="320" w:type="dxa"/>
            <w:vAlign w:val="bottom"/>
            <w:tcBorders>
              <w:top w:val="single" w:sz="8" w:color="ABD8EA"/>
            </w:tcBorders>
            <w:shd w:val="clear" w:color="auto" w:fill="ABD8EA"/>
          </w:tcPr>
          <w:p>
            <w:pPr>
              <w:spacing w:after="0"/>
              <w:rPr>
                <w:sz w:val="17"/>
                <w:szCs w:val="17"/>
                <w:color w:val="auto"/>
              </w:rPr>
            </w:pPr>
          </w:p>
        </w:tc>
        <w:tc>
          <w:tcPr>
            <w:tcW w:w="1320" w:type="dxa"/>
            <w:vAlign w:val="bottom"/>
            <w:tcBorders>
              <w:top w:val="single" w:sz="8" w:color="auto"/>
            </w:tcBorders>
            <w:shd w:val="clear" w:color="auto" w:fill="ABD8EA"/>
          </w:tcPr>
          <w:p>
            <w:pPr>
              <w:spacing w:after="0"/>
              <w:rPr>
                <w:sz w:val="17"/>
                <w:szCs w:val="17"/>
                <w:color w:val="auto"/>
              </w:rPr>
            </w:pPr>
          </w:p>
        </w:tc>
        <w:tc>
          <w:tcPr>
            <w:tcW w:w="220" w:type="dxa"/>
            <w:vAlign w:val="bottom"/>
            <w:tcBorders>
              <w:top w:val="single" w:sz="8" w:color="ABD8EA"/>
            </w:tcBorders>
            <w:shd w:val="clear" w:color="auto" w:fill="ABD8EA"/>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ABD8EA"/>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000" w:type="dxa"/>
            <w:vAlign w:val="bottom"/>
            <w:gridSpan w:val="3"/>
            <w:shd w:val="clear" w:color="auto" w:fill="ABD8EA"/>
          </w:tcPr>
          <w:p>
            <w:pPr>
              <w:jc w:val="right"/>
              <w:ind w:right="320"/>
              <w:spacing w:after="0" w:line="261" w:lineRule="exact"/>
              <w:rPr>
                <w:sz w:val="20"/>
                <w:szCs w:val="20"/>
                <w:color w:val="auto"/>
              </w:rPr>
            </w:pPr>
            <w:r>
              <w:rPr>
                <w:rFonts w:ascii="Times New Roman" w:cs="Times New Roman" w:eastAsia="Times New Roman" w:hAnsi="Times New Roman"/>
                <w:sz w:val="18"/>
                <w:szCs w:val="18"/>
                <w:color w:val="auto"/>
              </w:rPr>
              <w:t>1,238,609</w:t>
            </w:r>
            <w:r>
              <w:rPr>
                <w:rFonts w:ascii="Times New Roman" w:cs="Times New Roman" w:eastAsia="Times New Roman" w:hAnsi="Times New Roman"/>
                <w:sz w:val="26"/>
                <w:szCs w:val="26"/>
                <w:color w:val="auto"/>
                <w:vertAlign w:val="superscript"/>
              </w:rPr>
              <w:t>(1)</w:t>
            </w:r>
          </w:p>
        </w:tc>
        <w:tc>
          <w:tcPr>
            <w:tcW w:w="440" w:type="dxa"/>
            <w:vAlign w:val="bottom"/>
            <w:gridSpan w:val="2"/>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ABD8EA"/>
          </w:tcPr>
          <w:p>
            <w:pPr>
              <w:jc w:val="right"/>
              <w:ind w:right="320"/>
              <w:spacing w:after="0" w:line="261" w:lineRule="exact"/>
              <w:rPr>
                <w:sz w:val="20"/>
                <w:szCs w:val="20"/>
                <w:color w:val="auto"/>
              </w:rPr>
            </w:pPr>
            <w:r>
              <w:rPr>
                <w:rFonts w:ascii="Times New Roman" w:cs="Times New Roman" w:eastAsia="Times New Roman" w:hAnsi="Times New Roman"/>
                <w:sz w:val="18"/>
                <w:szCs w:val="18"/>
                <w:color w:val="auto"/>
              </w:rPr>
              <w:t>17.74</w:t>
            </w:r>
            <w:r>
              <w:rPr>
                <w:rFonts w:ascii="Times New Roman" w:cs="Times New Roman" w:eastAsia="Times New Roman" w:hAnsi="Times New Roman"/>
                <w:sz w:val="26"/>
                <w:szCs w:val="26"/>
                <w:color w:val="auto"/>
                <w:vertAlign w:val="superscript"/>
              </w:rPr>
              <w:t>(2)</w:t>
            </w:r>
          </w:p>
        </w:tc>
        <w:tc>
          <w:tcPr>
            <w:tcW w:w="1860" w:type="dxa"/>
            <w:vAlign w:val="bottom"/>
            <w:gridSpan w:val="3"/>
            <w:shd w:val="clear" w:color="auto" w:fill="ABD8EA"/>
          </w:tcPr>
          <w:p>
            <w:pPr>
              <w:jc w:val="right"/>
              <w:ind w:right="80"/>
              <w:spacing w:after="0" w:line="261" w:lineRule="exact"/>
              <w:rPr>
                <w:sz w:val="20"/>
                <w:szCs w:val="20"/>
                <w:color w:val="auto"/>
              </w:rPr>
            </w:pPr>
            <w:r>
              <w:rPr>
                <w:rFonts w:ascii="Times New Roman" w:cs="Times New Roman" w:eastAsia="Times New Roman" w:hAnsi="Times New Roman"/>
                <w:sz w:val="18"/>
                <w:szCs w:val="18"/>
                <w:color w:val="auto"/>
              </w:rPr>
              <w:t>790,043</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2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58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3"/>
            <w:shd w:val="clear" w:color="auto" w:fill="ABD8EA"/>
          </w:tcPr>
          <w:p>
            <w:pPr>
              <w:jc w:val="right"/>
              <w:ind w:right="320"/>
              <w:spacing w:after="0" w:line="270" w:lineRule="exact"/>
              <w:rPr>
                <w:sz w:val="20"/>
                <w:szCs w:val="20"/>
                <w:color w:val="auto"/>
              </w:rPr>
            </w:pPr>
            <w:r>
              <w:rPr>
                <w:rFonts w:ascii="Times New Roman" w:cs="Times New Roman" w:eastAsia="Times New Roman" w:hAnsi="Times New Roman"/>
                <w:sz w:val="18"/>
                <w:szCs w:val="18"/>
                <w:color w:val="auto"/>
              </w:rPr>
              <w:t>1,238,609</w:t>
            </w:r>
            <w:r>
              <w:rPr>
                <w:rFonts w:ascii="Times New Roman" w:cs="Times New Roman" w:eastAsia="Times New Roman" w:hAnsi="Times New Roman"/>
                <w:sz w:val="26"/>
                <w:szCs w:val="26"/>
                <w:color w:val="auto"/>
                <w:vertAlign w:val="superscript"/>
              </w:rPr>
              <w:t>(1)</w:t>
            </w:r>
          </w:p>
        </w:tc>
        <w:tc>
          <w:tcPr>
            <w:tcW w:w="440" w:type="dxa"/>
            <w:vAlign w:val="bottom"/>
            <w:gridSpan w:val="2"/>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ABD8EA"/>
          </w:tcPr>
          <w:p>
            <w:pPr>
              <w:jc w:val="right"/>
              <w:ind w:right="320"/>
              <w:spacing w:after="0" w:line="270" w:lineRule="exact"/>
              <w:rPr>
                <w:sz w:val="20"/>
                <w:szCs w:val="20"/>
                <w:color w:val="auto"/>
              </w:rPr>
            </w:pPr>
            <w:r>
              <w:rPr>
                <w:rFonts w:ascii="Times New Roman" w:cs="Times New Roman" w:eastAsia="Times New Roman" w:hAnsi="Times New Roman"/>
                <w:sz w:val="18"/>
                <w:szCs w:val="18"/>
                <w:color w:val="auto"/>
              </w:rPr>
              <w:t>17.74</w:t>
            </w:r>
            <w:r>
              <w:rPr>
                <w:rFonts w:ascii="Times New Roman" w:cs="Times New Roman" w:eastAsia="Times New Roman" w:hAnsi="Times New Roman"/>
                <w:sz w:val="26"/>
                <w:szCs w:val="26"/>
                <w:color w:val="auto"/>
                <w:vertAlign w:val="superscript"/>
              </w:rPr>
              <w:t>(2)</w:t>
            </w:r>
          </w:p>
        </w:tc>
        <w:tc>
          <w:tcPr>
            <w:tcW w:w="1860" w:type="dxa"/>
            <w:vAlign w:val="bottom"/>
            <w:gridSpan w:val="3"/>
            <w:shd w:val="clear" w:color="auto" w:fill="ABD8EA"/>
          </w:tcPr>
          <w:p>
            <w:pPr>
              <w:jc w:val="right"/>
              <w:ind w:right="80"/>
              <w:spacing w:after="0" w:line="270" w:lineRule="exact"/>
              <w:rPr>
                <w:sz w:val="20"/>
                <w:szCs w:val="20"/>
                <w:color w:val="auto"/>
              </w:rPr>
            </w:pPr>
            <w:r>
              <w:rPr>
                <w:rFonts w:ascii="Times New Roman" w:cs="Times New Roman" w:eastAsia="Times New Roman" w:hAnsi="Times New Roman"/>
                <w:sz w:val="18"/>
                <w:szCs w:val="18"/>
                <w:color w:val="auto"/>
              </w:rPr>
              <w:t>790,043</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80" w:hanging="424"/>
        <w:spacing w:after="0" w:line="261"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955,188 outstanding RSUs, 258,987 outstanding stock options and 24,434 vested units under our deferred compensation plan for directors.</w:t>
      </w: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of outstanding options; excludes RSUs.</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514,477 shares available under our 2019 Long-Term Incentive plan and 275,566 shares available under our deferred compensation plan for directors.</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320" w:top="455" w:right="6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Governing Related Party Transactions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written code of conduct for directors, officers and employees contains written conflict of interest policies that are designed to prevent each director and executive officer from engaging in any transaction that could be deemed a conflict of interest.</w:t>
      </w:r>
    </w:p>
    <w:p>
      <w:pPr>
        <w:spacing w:after="0" w:line="16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Our related person transactions policy provides that any related person transaction covered by the policy must be reviewed and approved or ratified by our Audit Committee (or an independent and disinterested sub-committee thereof). Our related party transactions policy applies to any transaction that would be required by the SEC to be disclosed in our proxy statement, as well as certain transactions with Post.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will not approve or ratify any related person transaction unless, after considering all relevant information, it has determined that the transaction is in, or is not inconsistent with, the best interests of us and our stockholders and complies with applicable law. In considering a related party transaction, the Committee will take into account relevant facts and circumstances, including the following:</w:t>
      </w:r>
    </w:p>
    <w:p>
      <w:pPr>
        <w:spacing w:after="0" w:line="81" w:lineRule="exact"/>
        <w:rPr>
          <w:sz w:val="20"/>
          <w:szCs w:val="20"/>
          <w:color w:val="auto"/>
        </w:rPr>
      </w:pPr>
    </w:p>
    <w:p>
      <w:pPr>
        <w:ind w:left="1080" w:right="2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generally available to an unaffiliated third party under similar circumstances;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materiality of the director’s or officer’s interest in the transaction, including any actual or perceived conflicts of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and the benefit (or lack thereof) of such transaction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director and executive officer compensation arrangements discussed above under </w:t>
      </w:r>
      <w:r>
        <w:rPr>
          <w:rFonts w:ascii="Times New Roman" w:cs="Times New Roman" w:eastAsia="Times New Roman" w:hAnsi="Times New Roman"/>
          <w:sz w:val="18"/>
          <w:szCs w:val="18"/>
          <w:i w:val="1"/>
          <w:iCs w:val="1"/>
          <w:color w:val="auto"/>
        </w:rPr>
        <w:t>Compensation of Officers and Directors</w:t>
      </w:r>
      <w:r>
        <w:rPr>
          <w:rFonts w:ascii="Times New Roman" w:cs="Times New Roman" w:eastAsia="Times New Roman" w:hAnsi="Times New Roman"/>
          <w:sz w:val="18"/>
          <w:szCs w:val="18"/>
          <w:color w:val="auto"/>
        </w:rPr>
        <w:t>, the following is a description of each transaction since the beginning of our last fiscal year and each currently proposed transaction in which:</w:t>
      </w:r>
    </w:p>
    <w:p>
      <w:pPr>
        <w:spacing w:after="0" w:line="66"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Reorganization Transactions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March 10, 2022, we and Post completed a series of transactions resulting in the spin-off of approximately 80.1% of Post’s ownership interests in us to its stockholders and our reorganization, as more fully disclosed in our Current Report on Form 8-K as filed with the SEC on March 10, 2022 (the “Reorganization Transactions”). In connection with the Reorganization Transactions, on March 10, 2022, we and Post and certain of our predecessor affiliates agreed to amend and restate the below-described employee matters agreement and master services agreement, and entered into a new tax matters agreement and registration rights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Employee Matters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amended and restated employee matters agreement covers a wide range of compensation and benefit matters, including:</w:t>
      </w:r>
    </w:p>
    <w:p>
      <w:pPr>
        <w:spacing w:after="0" w:line="131" w:lineRule="exact"/>
        <w:rPr>
          <w:sz w:val="20"/>
          <w:szCs w:val="20"/>
          <w:color w:val="auto"/>
        </w:rPr>
      </w:pPr>
    </w:p>
    <w:p>
      <w:pPr>
        <w:ind w:left="1080" w:right="1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issued to employees of us or our subsidiaries (or our or their predecessors) under certain Post equity incentive plans, which remain unsettled or outstanding as of March 10, 2022, will either: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60"/>
          </w:cols>
          <w:pgMar w:left="320" w:top="455"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firstLine="1"/>
        <w:spacing w:after="0" w:line="272" w:lineRule="auto"/>
        <w:tabs>
          <w:tab w:leader="none" w:pos="1315"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at the time that Post and we are no longer affiliated, or (ii) vest or be forfeited, in each case, based on their original terms. With respect to nonqualified stock option awards held by Ms. Davenport under certain Post equity incentive plans, such non-qualified stock option awards may be amended to extend their exercise period to 10 years from the date of grant of such options. We will reimburse Post for the accounting cost related to the monthly expense and any accounting charges or costs resultant from any accounting modification of an equity award including, but not limited to, any extension of any exercise period or any acceleration or change in vesting provision. In addition, we will reimburse Post for the employer-related payroll expense, and any other financial obligations relating to any such outstanding awards while outstanding. Any RSUs denominated in Post common stock and options to purchase Post common stock will be adjusted in a manner and at a time consistent with other equity awards issued by Post under its equity incentive plans.</w:t>
      </w:r>
    </w:p>
    <w:p>
      <w:pPr>
        <w:spacing w:after="0" w:line="77" w:lineRule="exact"/>
        <w:rPr>
          <w:rFonts w:ascii="Times New Roman" w:cs="Times New Roman" w:eastAsia="Times New Roman" w:hAnsi="Times New Roman"/>
          <w:sz w:val="17"/>
          <w:szCs w:val="17"/>
          <w:color w:val="auto"/>
        </w:rPr>
      </w:pPr>
    </w:p>
    <w:p>
      <w:pPr>
        <w:ind w:left="1080" w:right="60" w:hanging="424"/>
        <w:spacing w:after="0" w:line="261"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Post will, and will cause our respective subsidiaries to, take such commercially reasonable actions with regard to benefit and payroll carriers and vendors, and contracts regarding the same, as may be reasonably necessary or appropriate in order to transition relevant contracts, to fulfill their respective obligations under the amended and restated master services agreement and to ensure continuity of employee benefits for employees of us or our subsidiaries.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Benefits Trustees Committee will determine the future treatment of the Post common stock fund held in our 401(k) Plan.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Post will work in good faith to administer the notional accounts held by certain employees of us or our subsidiaries under the Post Holdings, Inc. Deferred Compensation Plan for Key Employees and the Post Holdings, Inc. Executive Savings Investment Plan (collectively, the “Post nonqualified plans”) for so long as such notional accounts remain under the Post nonqualified plans.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amended and restated employee matters agreement, we will, or will cause our subsidiaries to, assume or retain, pay, perform, fulfill and discharge: (i) all liabilities under all employee benefit plans and arrangements sponsored or maintained or contributed to by us, and all employee benefit plans and arrangements assumed or adopted by us and (ii) all liabilities, whenever incurred, with respect to the employment or termination of employment of our employees and former employees of us and their dependents and beneficiaries.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amended and restated employee matters agreement, we will use commercially reasonable efforts to maintain effective registration statements with the SEC with respect to the 2019 LTIP or any successor plan, and any equity awards issued thereunder.</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We and Post may terminate the amended and restated employee matters agreement by mutual consent, and Post may terminate the employee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matters agreement in the event of a change of control of Post, or a change of control of us or the sale of all or substantially all of our consolidated assets.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tax matters agreement governs our and Post’s respective rights, responsibilities and obligations with respect to taxes, including taxes arising in the ordinary course of business and taxes, if any, incurred as a result of the failure of the Reorganization Transactions to qualify for their intended tax treatment. The tax matters agreement addresses U.S. federal, state, local and non-U.S. tax matters, and sets forth the respective obligations of the parties with respect to the filing of tax returns, the administration of tax contests and assistance and cooperation on tax matters.</w:t>
      </w:r>
    </w:p>
    <w:p>
      <w:pPr>
        <w:spacing w:after="0" w:line="18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Under the tax matters agreement, Post is generally responsible for pre-distribution taxes relating to both its retained business and certain of our pre-distribution taxes. We are generally responsible for post-distribution taxes attributable to our nutrition business. In addition, in certain circumstances and subject to certain conditions, each party will be responsible for taxes imposed on Post that arise from the failure of the distribution, the merger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and certain related transactions to qualify as tax-free transactions to the extent such failure to qualify is attributable to certain actions taken by such party (or, in certain circumstances, is attributable to actions taken by other persons) as described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tax matters agreement, we are expected to indemnify Post for (i) all taxes for which we are responsible, as described above, and</w:t>
      </w:r>
    </w:p>
    <w:p>
      <w:pPr>
        <w:spacing w:after="0" w:line="27" w:lineRule="exact"/>
        <w:rPr>
          <w:sz w:val="20"/>
          <w:szCs w:val="20"/>
          <w:color w:val="auto"/>
        </w:rPr>
      </w:pPr>
    </w:p>
    <w:p>
      <w:pPr>
        <w:ind w:left="120" w:right="340" w:hanging="4"/>
        <w:spacing w:after="0" w:line="290" w:lineRule="auto"/>
        <w:tabs>
          <w:tab w:leader="none" w:pos="38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taxes incurred by reason of certain actions or events, or by reason of any breach by us or any of our subsidiaries of any of our respective representations, warranties or covenants under the tax matters agreement that, in each case, affect the intended tax-free treatment of the transactions.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tax matters agreement, Post is expected to indemnify us for (i) the taxes for which Post is responsible, as described above, and</w:t>
      </w:r>
    </w:p>
    <w:p>
      <w:pPr>
        <w:spacing w:after="0" w:line="27" w:lineRule="exact"/>
        <w:rPr>
          <w:sz w:val="20"/>
          <w:szCs w:val="20"/>
          <w:color w:val="auto"/>
        </w:rPr>
      </w:pPr>
    </w:p>
    <w:p>
      <w:pPr>
        <w:ind w:left="120" w:right="380" w:hanging="4"/>
        <w:spacing w:after="0" w:line="260" w:lineRule="auto"/>
        <w:tabs>
          <w:tab w:leader="none" w:pos="3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a failure of the transactions to qualify as tax free, to the extent incurred by any action or failure to take any action within the control of Post.</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tax matters agreement prohibits Post and us from taking actions (or refraining from taking actions) that could reasonably be expected to cause the Reorganization Transactions to fail to qualify for their intended tax treatment. In particular, for two years after March 10, 2022, we in general may not:</w:t>
      </w:r>
    </w:p>
    <w:p>
      <w:pPr>
        <w:spacing w:after="0" w:line="81" w:lineRule="exact"/>
        <w:rPr>
          <w:sz w:val="20"/>
          <w:szCs w:val="20"/>
          <w:color w:val="auto"/>
        </w:rPr>
      </w:pPr>
    </w:p>
    <w:p>
      <w:pPr>
        <w:jc w:val="both"/>
        <w:ind w:left="1080" w:right="6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equity securities or securities that could be converted into our equity securities, including as acquisition currency for a merger or acquisition (but excluding certain equity compensation for our employees), redeem or repurchase our equity securities or our debt, or enter into any transaction pursuant to which our stock would be acquired, whether by merger or otherwise;</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or permit certain of our wholly owned subsidiaries to cease, the active conduct of the nutrition business or from holding certain assets held at the time of the distribution;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liquidate or take any action that is a liquidation for U.S. federal income tax purposes (other than pursuant to the Reorganization Transactions);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allow an extraordinary contribution to us by our stockholders in exchange for stock, redeem or otherwise repurchase (directly or indirectly) any of our common stock or amend our certificate of incorporation or other organizational documents if such amendment or other action would affect the relative voting rights of our capital stock, or redeem or otherwise repurchase (directly or indirectly) any of the debt obligations issued by us to Post (and subsequently exchanged by Post for Post debt securities) in connection with the Reorganization Transactions; or</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30% or more of the gross assets of our nutrition business, other than pursuant to sales or transfers of assets in the ordinary course of business, cash acquisitions of assets from unrelated persons in arm’s-length transactions, transfers to a person that is disregarded as an entity separate from the transferor for U.S. federal income tax purposes, mandatory or optional repayment (or pre-payment) of any indebtedness of us or our subsidiaries or a sale or transfer among us and our subsidiaries.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Nevertheless, we may be permitted to take any of the actions described above during the two-year period following the distribution if Post obtains an IRS private letter ruling or, in certain circumstances, our tax counsel delivers an unqualified “will”-level tax opinion in form and substance reasonably satisfactory to Post) to the effect that the action will not affect the tax-free status of the transactions. Notwithstanding the above, under the tax matters agreement, we may make certain stock issuances that meet certain safe harbors provided in Section 1.355-7(d) of the Treasury Regulations so long as such issuances are not inconsistent with any applicable formal or informal written guidance provided by the IRS in connection with any IRS ruling request or any applicable assumptions, representations and warranties, covenants or certificates relied upon in any unqualified “will”-level tax opinion.</w:t>
      </w:r>
    </w:p>
    <w:p>
      <w:pPr>
        <w:spacing w:after="0" w:line="18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tax matters agreement will be binding on and inure to the benefit of any permitted assignees and any successor to any of the parties of the tax matters agreement. The tax matters agreement may be amended only by a written instrument signed by each of the parties, and any right may be waived only in a written instrument signed by the party against whom the waiver is to be effective. No failure or delay by any party to the tax matters agreement to exercise a right operates as a waiver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Master Services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amended and restated master services agreement, Post provides some combination of the following services, among others, to us:</w:t>
      </w:r>
    </w:p>
    <w:p>
      <w:pPr>
        <w:spacing w:after="0" w:line="131" w:lineRule="exact"/>
        <w:rPr>
          <w:sz w:val="20"/>
          <w:szCs w:val="20"/>
          <w:color w:val="auto"/>
        </w:rPr>
      </w:pPr>
    </w:p>
    <w:p>
      <w:pPr>
        <w:ind w:left="1080" w:right="6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certain legal, finance, internal audit, treasury, information technology support, insurance and tax matters, including assistance with certain public company reporting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office and/or data center space;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processing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compliance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services as to which Post and we may agree.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charges for these services (including any services provided under the amended and restated master services agreement prior to the amendment and restatement thereof on March 10, 2022) were $4.6 million, plus certain third party costs, in fiscal 2022. In general, the services provided by Post began on the date of the completion of the IPO and will continue for the periods specified in the amended and restated master services agreement, but not to exceed three years from March 10, 2022, subject to any subsequent extension or truncation agreed to by us and Post. In addition, Post may terminate (i) the amended and restated master services agreement or any services provided thereunder in the event of a change of control of Post, or a change of control of us or the sale of all or substantially all of the consolidated assets of Post or us, (ii) the amended and restated master services agreement or any services provided thereunder upon six months’ notice, or, if Post stops providing a service for its own operations, upon 60 days’ notice, (iii) any services provided to a subsidiary of us in the event of a change of control of the subsidiary or the sale of all or substantially all of its assets, (iv) any services provided to a business line or operating division of us or our subsidiaries in the event of a sale of such business line or operating division and (v) any services provided by Post’s Canadian subsidiary, Post Foods Canada Inc., in the event of a change in control of Post Foods Canada Inc. We may terminate the amended and restated master services agreement with respect to one or more particular services being received upon such notice as provided for in the amended and restated master services agreement.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registration rights agreement provides Post with certain demand, shelf and piggyback registration rights with respect to its shares of our common stock, including the following:</w:t>
      </w:r>
    </w:p>
    <w:p>
      <w:pPr>
        <w:spacing w:after="0" w:line="67" w:lineRule="exact"/>
        <w:rPr>
          <w:sz w:val="20"/>
          <w:szCs w:val="20"/>
          <w:color w:val="auto"/>
        </w:rPr>
      </w:pPr>
    </w:p>
    <w:p>
      <w:pPr>
        <w:ind w:left="1080" w:right="4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and its affiliates will have the right to cause us to conduct up to two demand registrations in any twelve-month period, subject to certain customary restrictions, which demand registrations may take the form of a shelf registration;</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and its affiliates will have the right to cause us to use commercially reasonable efforts to file and have declared effective a shelf registration statement on Form S-3 with respect to all of their shares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and its affiliates will have the right to participate in certain registered offerings by us.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registration rights agreement also contains customary provisions relating to cooperation with the registration process, black-out periods and customary securities law indemnity provisions in favor of the selling stockholders. With certain customary exceptions, we are required to bear all registration expenses, other than underwriting discounts and commissions and transfer taxes, associated with any registration of shares pursuant to the registration rights agreement. Registration rights may be transferred by Post and its affiliates, subject to certain restrictions. No predetermined penalties or liquidated damages will be payable by us if we fail to comply with the registration rights agreement.</w:t>
      </w:r>
    </w:p>
    <w:p>
      <w:pPr>
        <w:spacing w:after="0" w:line="183" w:lineRule="exact"/>
        <w:rPr>
          <w:sz w:val="20"/>
          <w:szCs w:val="20"/>
          <w:color w:val="auto"/>
        </w:rPr>
      </w:pPr>
    </w:p>
    <w:p>
      <w:pPr>
        <w:jc w:val="center"/>
        <w:ind w:left="700" w:right="180"/>
        <w:spacing w:after="0" w:line="454" w:lineRule="auto"/>
        <w:rPr>
          <w:sz w:val="20"/>
          <w:szCs w:val="20"/>
          <w:color w:val="auto"/>
        </w:rPr>
      </w:pPr>
      <w:r>
        <w:rPr>
          <w:rFonts w:ascii="Times New Roman" w:cs="Times New Roman" w:eastAsia="Times New Roman" w:hAnsi="Times New Roman"/>
          <w:sz w:val="18"/>
          <w:szCs w:val="18"/>
          <w:color w:val="auto"/>
        </w:rPr>
        <w:t>The registration rights agreement will terminate when Post holds less than 2.5% of the total number of outstanding shares of our common stock. 63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completion of our IPO on October 21, 2019, we entered into a tax receivable agreement with Post. The tax receivable agreement provides for the payment by us to Post of 85% of the amount of cash savings, if any, in U.S. federal income tax, as well as state and local income tax and franchise tax, that we realize (or are deemed to realize) as a result of (a) the increase in the tax basis of the assets of BellRing Brands, LLC attributable to (i) the redemption of BellRing Brands, LLC Units by Post pursuant to the limited liability company agreement, (ii) deemed sales by Post of BellRing Brands, LLC Units or assets to us or BellRing Brands, LLC, (iii) certain actual or deemed distributions from BellRing Brands, LLC to Post and (iv) certain formation transactions, (b) disproportionate allocations of tax benefits to us as a result of Section 704(c) of the Internal Revenue Code and (c) certain tax benefits (e.g., imputed interest, basis adjustments, deductions, etc.) attributable to payments under the tax receivable agreement. Payments under the tax receivable agreement are not conditioned on Post’s continued ownership of BellRing Brands, LLC Units or our common stock after the IPO. The rights of Post under the tax receivable agreement are assignable to transferees of Post’s BellRing Brands, LLC Units. We are expected to benefit from the remaining 15% of tax benefits, if any, that it may realize (or in some cases, be deemed to realize).</w:t>
      </w:r>
    </w:p>
    <w:p>
      <w:pPr>
        <w:spacing w:after="0" w:line="19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actual increase in tax basis and the amount and timing of any payments under the tax receivable agreement will vary depending upon a number of factors, including:</w:t>
      </w:r>
    </w:p>
    <w:p>
      <w:pPr>
        <w:spacing w:after="0" w:line="67" w:lineRule="exact"/>
        <w:rPr>
          <w:sz w:val="20"/>
          <w:szCs w:val="20"/>
          <w:color w:val="auto"/>
        </w:rPr>
      </w:pPr>
    </w:p>
    <w:p>
      <w:pPr>
        <w:ind w:left="1080" w:right="12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common stock in connection with the IPO and at the time of redemptions—the basis adjustments, as well as any related increase in any tax deductions, are directly related to the price of shares of our common stock at the time of the consummation of the IPO and each redemption;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redemptions-for instance, the increase in any tax deductions will vary depending on the fair value, which may fluctuate over time, of the depreciable or amortizable assets of BellRing Brands, LLC at the time of each redemption;</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redemptions are taxable—if a redemption is not taxable for any reason, increased tax deductions will not be available;</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income—the tax receivable agreement generally requires us to pay 85% of the tax benefits as and when those benefits are treated as realized under the terms of the tax receivable agreement. If we do not have taxable income, we generally will not be required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tax laws—if future changes in federal tax laws result in changes in the amount and timing of payments (for example, changes to interest expense limitations);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corporate income tax rates.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Reimbursement Agreement and Co-Packing Agreement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first quarter of fiscal 2022, Premier Nutrition, a subsidiary of the Company, and Michael Foods, Inc. (“MFI”), a subsidiary of Post, entered into a reimbursement agreement relating to MFI’s acquisition and development of property intended to be used as an aseptic processing plant for MFI or another subsidiary of Post to produce RTD shakes for Premier Nutrition (the “Reimbursement Agreement”). Pursuant to the Reimbursement Agreement, prior to the execution of a definitive agreement governing such production of RTD shakes for Premier Nutrition, Premier Nutrition would indemnify MFI for certain costs and expenses incurred in the acquisition and development of property for the processing plant. During the year ended September 30, 2022, Premier Nutrition did not reimburse MFI for any amounts under the Reimbursement Agreement and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Reimbursement Agreement terminated by its terms on September 30, 2022. On September 30, 2022, Premier Nutrition entered into a Co-Packing Agreement with Comet Processing, Inc. (“Comet”), a wholly owned subsidiary of Post. Under the Co-Packing Agreement, Comet Processing will manufacture for Premier Nutrition, and Premier Nutrition will purchase from Comet, certain RTD shakes. In fiscal 2022, Premier Nutrition made no payments to Comet pursuant to the Co-Packing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Agreement—Dymatize Enterprises, LLC and Post Consumer Brands, LLC</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Effective January 1, 2020, Dymatize Enterprises, LLC (“Dymatize”) entered into an Intellectual Property License Agreement with Post Consumer Brands, LLC (“Post Consumer Brands”), a wholly owned subsidiary of Post. Under the intellectual property license agreement, which was negotiated by the parties at arm’s length, Post Consumer Brands provides Dymatize a non-exclusive license to use certain intellectual property on or in association with its manufacture, sale and distribution of certain Dymatize products in exchange for the payment of royalties. In fiscal 2022, royalty payments from Dymatize to Post Consumer Brands were $.9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 – Premier Nutrition Company, LLC and Post Consumer Brands, LLC</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Effective March 1, 2020, Premier Nutrition entered into an Intellectual Property License Agreement with Post Consumer Brands, a wholly owned subsidiary of Post. Under the intellectual property license agreement, which was negotiated by the parties at arm’s length, Premier Nutrition provides Post Consumer Brands a non-exclusive license to use certain intellectual property on or in association with its manufacture, sale and distribution of certain Post Consumer Brands products in exchange for the payment of royalties. In fiscal 2022, royalty payments from Post Consumer Brands to Premier Nutrition were $.4 million.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980"/>
        <w:spacing w:after="0" w:line="412" w:lineRule="auto"/>
        <w:rPr>
          <w:sz w:val="20"/>
          <w:szCs w:val="20"/>
          <w:color w:val="auto"/>
        </w:rPr>
      </w:pPr>
      <w:r>
        <w:rPr>
          <w:rFonts w:ascii="Times New Roman" w:cs="Times New Roman" w:eastAsia="Times New Roman" w:hAnsi="Times New Roman"/>
          <w:sz w:val="18"/>
          <w:szCs w:val="18"/>
          <w:b w:val="1"/>
          <w:bCs w:val="1"/>
          <w:color w:val="auto"/>
        </w:rPr>
        <w:t>INCREASE IN THE AUTHORIZED SHARES UNDER THE COMPANY’S 2019 LONG-TERM INCENTIVE PLAN (Proxy Item No. 3)</w:t>
      </w:r>
    </w:p>
    <w:p>
      <w:pPr>
        <w:spacing w:after="0" w:line="4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adopted on December 5, 2022, subject to stockholder approval, Amendment No. 1 to the Company’s 2019 Long-Term Incentive Plan (as so amended, the “Long-Term Incentive Plan”) to increase the number of authorized shares available for grant under the 2019 LTIP by 6,000,000 shares from 2,000,000 shares to 8,000,000 shares. We believe that the increase in the authorized shares under the 2019 LTIP is necessary in order to allow continued utilization of equity awards to attract, retain and motivate employees and to further align the interests of our employees with those of our stockholders.</w:t>
      </w:r>
    </w:p>
    <w:p>
      <w:pPr>
        <w:spacing w:after="0" w:line="179"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in the Number of Available Shares. </w:t>
      </w:r>
      <w:r>
        <w:rPr>
          <w:rFonts w:ascii="Times New Roman" w:cs="Times New Roman" w:eastAsia="Times New Roman" w:hAnsi="Times New Roman"/>
          <w:sz w:val="18"/>
          <w:szCs w:val="18"/>
          <w:color w:val="auto"/>
        </w:rPr>
        <w:t>We seek to make an additional 6,000,000 shares available for issuance under the 2019 LTIP,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bringing the total number of shares authorized for issuance under the 2019 LTIP to 8,000,000 shares. We anticipate that this increase in available shares will be sufficient to cover all grants made over at least the next four years.</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Burn Rate Information</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table below sets forth the Company’s burn rate for equity awards during the fiscal year ended September 30, 2022, the Company’s first fiscal year end after the completion of the Reorganization Transactions at which the Company was no longer a majority-owned, consolidated subsidiary of Post.</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95"/>
        </w:trPr>
        <w:tc>
          <w:tcPr>
            <w:tcW w:w="584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FY 2022</w:t>
            </w:r>
            <w:r>
              <w:rPr>
                <w:rFonts w:ascii="Times New Roman" w:cs="Times New Roman" w:eastAsia="Times New Roman" w:hAnsi="Times New Roman"/>
                <w:sz w:val="10"/>
                <w:szCs w:val="10"/>
                <w:b w:val="1"/>
                <w:bCs w:val="1"/>
                <w:color w:val="auto"/>
              </w:rPr>
              <w:t>(1)</w:t>
            </w:r>
          </w:p>
        </w:tc>
      </w:tr>
      <w:tr>
        <w:trPr>
          <w:trHeight w:val="255"/>
        </w:trPr>
        <w:tc>
          <w:tcPr>
            <w:tcW w:w="584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40" w:type="dxa"/>
            <w:vAlign w:val="bottom"/>
            <w:tcBorders>
              <w:bottom w:val="single" w:sz="8" w:color="ABD8EA"/>
            </w:tcBorders>
            <w:shd w:val="clear" w:color="auto" w:fill="ABD8EA"/>
          </w:tcPr>
          <w:p>
            <w:pPr>
              <w:jc w:val="right"/>
              <w:ind w:right="212"/>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Time-Based Full-Value Awards Granted</w:t>
            </w:r>
          </w:p>
        </w:tc>
        <w:tc>
          <w:tcPr>
            <w:tcW w:w="16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379,798</w:t>
            </w:r>
          </w:p>
        </w:tc>
      </w:tr>
      <w:tr>
        <w:trPr>
          <w:trHeight w:val="27"/>
        </w:trPr>
        <w:tc>
          <w:tcPr>
            <w:tcW w:w="58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4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Time-Based Full Value Awards Cancelled/Forfeited</w:t>
            </w:r>
          </w:p>
        </w:tc>
        <w:tc>
          <w:tcPr>
            <w:tcW w:w="1640" w:type="dxa"/>
            <w:vAlign w:val="bottom"/>
            <w:tcBorders>
              <w:bottom w:val="single" w:sz="8" w:color="ABD8EA"/>
            </w:tcBorders>
            <w:shd w:val="clear" w:color="auto" w:fill="ABD8EA"/>
          </w:tcPr>
          <w:p>
            <w:pPr>
              <w:jc w:val="right"/>
              <w:ind w:right="152"/>
              <w:spacing w:after="0"/>
              <w:rPr>
                <w:sz w:val="20"/>
                <w:szCs w:val="20"/>
                <w:color w:val="auto"/>
              </w:rPr>
            </w:pPr>
            <w:r>
              <w:rPr>
                <w:rFonts w:ascii="Times New Roman" w:cs="Times New Roman" w:eastAsia="Times New Roman" w:hAnsi="Times New Roman"/>
                <w:sz w:val="18"/>
                <w:szCs w:val="18"/>
                <w:color w:val="auto"/>
              </w:rPr>
              <w:t>(103,727)</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Full Value Awards Earned</w:t>
            </w:r>
          </w:p>
        </w:tc>
        <w:tc>
          <w:tcPr>
            <w:tcW w:w="16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375,219</w:t>
            </w:r>
          </w:p>
        </w:tc>
      </w:tr>
      <w:tr>
        <w:trPr>
          <w:trHeight w:val="27"/>
        </w:trPr>
        <w:tc>
          <w:tcPr>
            <w:tcW w:w="58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4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Total (A)</w:t>
            </w:r>
          </w:p>
        </w:tc>
        <w:tc>
          <w:tcPr>
            <w:tcW w:w="1640" w:type="dxa"/>
            <w:vAlign w:val="bottom"/>
            <w:tcBorders>
              <w:bottom w:val="single" w:sz="8" w:color="ABD8EA"/>
            </w:tcBorders>
            <w:shd w:val="clear" w:color="auto" w:fill="ABD8EA"/>
          </w:tcPr>
          <w:p>
            <w:pPr>
              <w:jc w:val="right"/>
              <w:ind w:right="212"/>
              <w:spacing w:after="0"/>
              <w:rPr>
                <w:sz w:val="20"/>
                <w:szCs w:val="20"/>
                <w:color w:val="auto"/>
              </w:rPr>
            </w:pPr>
            <w:r>
              <w:rPr>
                <w:rFonts w:ascii="Times New Roman" w:cs="Times New Roman" w:eastAsia="Times New Roman" w:hAnsi="Times New Roman"/>
                <w:sz w:val="18"/>
                <w:szCs w:val="18"/>
                <w:color w:val="auto"/>
              </w:rPr>
              <w:t>651,290</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w:t>
            </w:r>
          </w:p>
        </w:tc>
        <w:tc>
          <w:tcPr>
            <w:tcW w:w="16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93,543,000</w:t>
            </w:r>
          </w:p>
        </w:tc>
      </w:tr>
      <w:tr>
        <w:trPr>
          <w:trHeight w:val="27"/>
        </w:trPr>
        <w:tc>
          <w:tcPr>
            <w:tcW w:w="58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84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Burn Rate (A/B)</w:t>
            </w:r>
          </w:p>
        </w:tc>
        <w:tc>
          <w:tcPr>
            <w:tcW w:w="1640" w:type="dxa"/>
            <w:vAlign w:val="bottom"/>
            <w:shd w:val="clear" w:color="auto" w:fill="ABD8EA"/>
          </w:tcPr>
          <w:p>
            <w:pPr>
              <w:jc w:val="right"/>
              <w:ind w:right="52"/>
              <w:spacing w:after="0"/>
              <w:rPr>
                <w:sz w:val="20"/>
                <w:szCs w:val="20"/>
                <w:color w:val="auto"/>
              </w:rPr>
            </w:pPr>
            <w:r>
              <w:rPr>
                <w:rFonts w:ascii="Times New Roman" w:cs="Times New Roman" w:eastAsia="Times New Roman" w:hAnsi="Times New Roman"/>
                <w:sz w:val="18"/>
                <w:szCs w:val="18"/>
                <w:color w:val="auto"/>
              </w:rPr>
              <w:t>0.69%</w:t>
            </w:r>
          </w:p>
        </w:tc>
      </w:tr>
      <w:tr>
        <w:trPr>
          <w:trHeight w:val="27"/>
        </w:trPr>
        <w:tc>
          <w:tcPr>
            <w:tcW w:w="5840" w:type="dxa"/>
            <w:vAlign w:val="bottom"/>
            <w:shd w:val="clear" w:color="auto" w:fill="ABD8EA"/>
          </w:tcPr>
          <w:p>
            <w:pPr>
              <w:spacing w:after="0"/>
              <w:rPr>
                <w:sz w:val="2"/>
                <w:szCs w:val="2"/>
                <w:color w:val="auto"/>
              </w:rPr>
            </w:pPr>
          </w:p>
        </w:tc>
        <w:tc>
          <w:tcPr>
            <w:tcW w:w="1640" w:type="dxa"/>
            <w:vAlign w:val="bottom"/>
            <w:shd w:val="clear" w:color="auto" w:fill="ABD8EA"/>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66"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Full-Value Awards granted in fiscal year 2022 include 300,000 Performance-Based Full Value Awards and 100,000 Time-Based Full Value Awards granted to Mr. Vitale as his sole compensation for serving as Executive Chairman of the Company from March 11, 2022 until the expiration of his term at the Company’s 2025 Annual Stockholder Meeting.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Outstanding Equity Information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the number of shares available for issuance pursuant to outstanding and future equity awards under the 2019 LTIP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70"/>
        </w:trPr>
        <w:tc>
          <w:tcPr>
            <w:tcW w:w="59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580" w:type="dxa"/>
            <w:vAlign w:val="bottom"/>
            <w:shd w:val="clear" w:color="auto" w:fill="ABD8EA"/>
          </w:tcPr>
          <w:p>
            <w:pPr>
              <w:jc w:val="right"/>
              <w:ind w:right="210"/>
              <w:spacing w:after="0"/>
              <w:rPr>
                <w:sz w:val="20"/>
                <w:szCs w:val="20"/>
                <w:color w:val="auto"/>
              </w:rPr>
            </w:pPr>
            <w:r>
              <w:rPr>
                <w:rFonts w:ascii="Times New Roman" w:cs="Times New Roman" w:eastAsia="Times New Roman" w:hAnsi="Times New Roman"/>
                <w:sz w:val="18"/>
                <w:szCs w:val="18"/>
                <w:color w:val="auto"/>
              </w:rPr>
              <w:t>258,987</w:t>
            </w: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$19.81</w:t>
            </w:r>
          </w:p>
        </w:tc>
      </w:tr>
      <w:tr>
        <w:trPr>
          <w:trHeight w:val="27"/>
        </w:trPr>
        <w:tc>
          <w:tcPr>
            <w:tcW w:w="59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1580" w:type="dxa"/>
            <w:vAlign w:val="bottom"/>
            <w:tcBorders>
              <w:bottom w:val="single" w:sz="8" w:color="ABD8EA"/>
            </w:tcBorders>
            <w:shd w:val="clear" w:color="auto" w:fill="ABD8EA"/>
          </w:tcPr>
          <w:p>
            <w:pPr>
              <w:jc w:val="right"/>
              <w:ind w:right="210"/>
              <w:spacing w:after="0"/>
              <w:rPr>
                <w:sz w:val="20"/>
                <w:szCs w:val="20"/>
                <w:color w:val="auto"/>
              </w:rPr>
            </w:pPr>
            <w:r>
              <w:rPr>
                <w:rFonts w:ascii="Times New Roman" w:cs="Times New Roman" w:eastAsia="Times New Roman" w:hAnsi="Times New Roman"/>
                <w:sz w:val="18"/>
                <w:szCs w:val="18"/>
                <w:color w:val="auto"/>
              </w:rPr>
              <w:t>0.46 years</w:t>
            </w:r>
          </w:p>
        </w:tc>
      </w:tr>
      <w:tr>
        <w:trPr>
          <w:trHeight w:val="270"/>
        </w:trPr>
        <w:tc>
          <w:tcPr>
            <w:tcW w:w="59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Unvested Full-Value Awards Outstanding </w:t>
            </w:r>
            <w:r>
              <w:rPr>
                <w:rFonts w:ascii="Times New Roman" w:cs="Times New Roman" w:eastAsia="Times New Roman" w:hAnsi="Times New Roman"/>
                <w:sz w:val="26"/>
                <w:szCs w:val="26"/>
                <w:color w:val="auto"/>
                <w:vertAlign w:val="superscript"/>
              </w:rPr>
              <w:t>(1)</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1,303,100</w:t>
            </w:r>
          </w:p>
        </w:tc>
      </w:tr>
      <w:tr>
        <w:trPr>
          <w:trHeight w:val="250"/>
        </w:trPr>
        <w:tc>
          <w:tcPr>
            <w:tcW w:w="5900" w:type="dxa"/>
            <w:vAlign w:val="bottom"/>
            <w:tcBorders>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Shares Remaining for Future Grant</w:t>
            </w:r>
          </w:p>
        </w:tc>
        <w:tc>
          <w:tcPr>
            <w:tcW w:w="1580" w:type="dxa"/>
            <w:vAlign w:val="bottom"/>
            <w:tcBorders>
              <w:bottom w:val="single" w:sz="8" w:color="ABD8EA"/>
            </w:tcBorders>
            <w:shd w:val="clear" w:color="auto" w:fill="ABD8EA"/>
          </w:tcPr>
          <w:p>
            <w:pPr>
              <w:jc w:val="right"/>
              <w:ind w:right="210"/>
              <w:spacing w:after="0"/>
              <w:rPr>
                <w:sz w:val="20"/>
                <w:szCs w:val="20"/>
                <w:color w:val="auto"/>
              </w:rPr>
            </w:pPr>
            <w:r>
              <w:rPr>
                <w:rFonts w:ascii="Times New Roman" w:cs="Times New Roman" w:eastAsia="Times New Roman" w:hAnsi="Times New Roman"/>
                <w:sz w:val="18"/>
                <w:szCs w:val="18"/>
                <w:color w:val="auto"/>
              </w:rPr>
              <w:t>514,477</w:t>
            </w: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Additional Share Request</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6,000,000</w:t>
            </w:r>
          </w:p>
        </w:tc>
      </w:tr>
      <w:tr>
        <w:trPr>
          <w:trHeight w:val="27"/>
        </w:trPr>
        <w:tc>
          <w:tcPr>
            <w:tcW w:w="59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9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Total Overhang</w:t>
            </w:r>
          </w:p>
        </w:tc>
        <w:tc>
          <w:tcPr>
            <w:tcW w:w="1580" w:type="dxa"/>
            <w:vAlign w:val="bottom"/>
            <w:shd w:val="clear" w:color="auto" w:fill="ABD8EA"/>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5900" w:type="dxa"/>
            <w:vAlign w:val="bottom"/>
            <w:shd w:val="clear" w:color="auto" w:fill="ABD8EA"/>
          </w:tcPr>
          <w:p>
            <w:pPr>
              <w:spacing w:after="0"/>
              <w:rPr>
                <w:sz w:val="2"/>
                <w:szCs w:val="2"/>
                <w:color w:val="auto"/>
              </w:rPr>
            </w:pPr>
          </w:p>
        </w:tc>
        <w:tc>
          <w:tcPr>
            <w:tcW w:w="1580" w:type="dxa"/>
            <w:vAlign w:val="bottom"/>
            <w:shd w:val="clear" w:color="auto" w:fill="ABD8EA"/>
          </w:tcPr>
          <w:p>
            <w:pPr>
              <w:spacing w:after="0"/>
              <w:rPr>
                <w:sz w:val="2"/>
                <w:szCs w:val="2"/>
                <w:color w:val="auto"/>
              </w:rPr>
            </w:pPr>
          </w:p>
        </w:tc>
      </w:tr>
    </w:tbl>
    <w:p>
      <w:pPr>
        <w:spacing w:after="0" w:line="22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Consists of outstanding RSUs and PRSUs.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aggregate shares shown in the table above represent a fully-diluted overhang of approximately 2.2% based on a weighted average of 93,543,000 shares of Common Stock outstanding as of September 30, 2022. If the increase in authorized shares under the 2019 LTIP is approved, the additional 6,000,000 shares available for issuance would increase the overhang to approximately 8.6%. The Company calculates the fully diluted “overhang” as the total of (a) shares underlying outstanding awards plus shares available for issuance under future equity awards, divided by (b) the aggregate number of shares of Common Stock outstanding, shares underlying outstanding awards and shares available for issuance under future equity awards.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When considering the number of additional shares to add to the 2019 LTIP, the Corporate Governance and Compensation Committee and the Board of Directors reviewed, among other things, the potential dilution to the Company’s current stockholders as measured by burn rate and overhang, projected future share usage and projected future forfeitures. The projected future usage of shares for long-term incentive awards under the 2019 LTIP was reviewed under scenarios based on a variety of assumptions. Depending on assumptions, the 6,000,000 shares to be added to the 2019 LTIP, in combination with the remaining authorized shares and shares added back to the 2019 LTIP from forfeitures of awards, are projected to satisfy the Company’s equity compensation needs for at least the next four years. In light of the factors considered by the Board of Directors and Corporate Governance and Compensation Committee, the Board of Directors and Corporate Governance and Compensation Committee believe that this number of shares represents reasonable potential equity dilution and provides a significant incentive for officers, employees and non-employee directors to increase the value of the Company for all stockholders. The Corporate Governance and Compensation Committee is committed to effectively managing the number of shares reserved for issuance under the 2019 LTIP while minimizing stockholder dilution.</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light of the factors described above, and the fact that our ability to continue to grant equity and equity-based compensation is vital to our ability to continue to attract and retain key personnel in the labor markets in which we compete, the Board has determined that the proposed increase in the share reserve under the 2019 LTIP is reasonable and appropriate at this time.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Summary</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summary is qualified in its entirety by reference to the 2019 LTIP and assumes the increase in authorized shares from 2,000,000 to 8,000,000 shares. For purposes of this description of the 2019 LTIP, the term “non-employee director” is defined as provided in Rule 16b-3 of the Exchange Act. A copy of the 2019 LTIP is filed as Exhibit 10.1 to the Company’s Annual Report on Form 10-K for the year ended September 30, 2022 as filed with the SEC on November 17, 2022.</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2019 LTIP is to attract, retain and motivate participants by offering such individuals opportunities to realize stock price appreciation, by facilitating stock ownership and/or by rewarding them for achieving a high level of performance.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Corporate Governance and Compensation Committee of the Board of Directors or another committee designated by our Board of Directors (the “Committee”) will administer the 2019 LTIP and grant awards under the 2019 LTIP. Subject to the terms of the 2019 LTIP, the Committee’s charter and applicable laws, the Committee or its delegate, or the full Board of Directors, will have the authority to interpret and administer the 2019 LTIP, make awards thereunder and prescribe the terms and conditions thereof.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of our service providers, including any of our employees, directors, managers, consultants or advisors, are eligible to participate in the 2019 LTIP at the discretion of the Committee (or the Board of Directors, as the case may be).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121"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The Committee has the discretion to award stock options (both nonqualified and incentive stock options), stock appreciation rights (“SARs”), performance shares, restricted stock, RSUs and other stock-based and cash-based awards. Each award will be evidenced by an agreement, certificate or other instrument or document setting forth the terms and conditions of the award, including any applicable performance criteria and period, service based or other vesting criteria or conditions on the award, and events of forfeiture. The term of the award for participants located in the U.S. will not exceed ten years. All awards will be non-transferable unless the Company permits the recipient to transfer an award not for value. No award may be exercised for a fraction of a share of common stock. The exercise price applicable to stock options and stock appreciation rights will equal or exceed the fair market value of a share of our common stock on the date of grant. The exercise price and/or any applicable withholding taxes with respect to any award, if the Committee so permits and upon such terms as the Committee approves, may be satisfied (a) in cash or certified bank check, (b) through delivery or tender to the Company of shares held, either actually or by attestation, by the recipient, (c) through a net or cashless form of settlement or</w:t>
      </w:r>
    </w:p>
    <w:p>
      <w:pPr>
        <w:spacing w:after="0" w:line="5" w:lineRule="exact"/>
        <w:rPr>
          <w:sz w:val="20"/>
          <w:szCs w:val="20"/>
          <w:color w:val="auto"/>
        </w:rPr>
      </w:pPr>
    </w:p>
    <w:p>
      <w:pPr>
        <w:ind w:left="120" w:right="20" w:hanging="4"/>
        <w:spacing w:after="0" w:line="253" w:lineRule="auto"/>
        <w:tabs>
          <w:tab w:leader="none" w:pos="3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 (b) and/or (c). Further, the Committee may, in its discretion, approve other methods or forms of payment and establish rules and procedures therefor. Recipients holding awards other than shares of restricted stock or RSUs will generally have no dividend or dividend-equivalent rights with respect to the shares of common stock underlying the awards, and except as otherwise determined by the Committee, dividends or dividend equivalents provided for with respect to awards of restricted stock or RSUs will generally be subject to the same restrictions and conditions as the award generally and shall be payable only if and no earlier than at the same time as the underlying restricted stock or RSUs become vested.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Committee may provide, in its discretion, that an award granted to a recipient is subject to the achievement of performance criteria, which shall be established by the Committee relating to one or more business criteria. Performance criteria may be applied to BellRing Brands, Inc., an affiliate, a parent, subsidiary, division, business unit or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 before taxes), net earnings or net earnings per share (profit after tax), compound annual growth in earnings per share, operating income, total shareholder return, compound shareholder return, market share, return on equity, average return on invested capital, pre-tax and pre-interest expense return on average invested capital, which may be expressed on a current value basis, or sales growth, marketing, operating or workplan goals, or any other performance goal established by the Committee in its sole discretion.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incentive stock options, a recipient may not hold incentive stock options with a fair market value in excess of $100,000 in the year in which they are first exercisable, if this limitation is necessary to qualify the option as an incentive stock option. If, upon the grant of an incentive stock option, the recipient possesses more than 10% of the total combined voting power of all of the classes of stock of the Company, the option price for the incentive stock option will be at least 110% of the fair market value of the shares of common stock subject to the option on the grant date, and the option will expire five years after the grant date. Incentive stock options may only be granted to employees of the Company. The Company has no liability to any recipient or other person if an option designated as an incentive stock option fails to qualify as such.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Accelerated Vesting; Change in Control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award will vest in whole or in part on terms provided in the award agreement. The 2019 LTIP provides that an award may permit acceleration of vesting requirements and acceleration of the expiration of the applicable term upon such terms and conditions as shall be set forth in the award. The 2019 LTIP provides for “double trigger” rather than “single trigger” accelerated vesting, meaning awards will be accelerated as the result of a change in control where the participant’s employment is involuntarily terminated or the participant terminates for “good reason” in connection with a change in control, or upon a Committee determination that such acceleration is in the best interests of the Company. With respect to performance-based awards, all performance goals will be either deemed achieved at 100% target levels and adjusted pro-rata based on the applicable performance period, or vested based upon actual performance levels, or the greater of target and pro-rated or actual performance. The Committee also may permit acceleration of vesting of such awards in certain events, including in the event of the participant’s death, disability or retirement.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2019 LTIP, a change in control does not include any direct or indirect spin-off, split-off or similar transaction involving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BellRing Brands, Inc. securities by any stockholder of BellRing Brands, Inc. to such stockholder’s stockholders and is otherwise limited to:</w:t>
      </w:r>
    </w:p>
    <w:p>
      <w:pPr>
        <w:spacing w:after="0" w:line="112"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a majority of the incumbent board;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beneficial ownership of the right to direct the vote with respect to more than 50% of the combined voting power of the then outstanding securities of BellRing Brands, Inc. entitled to vote generally in the election of directors (“Voting Control”), excluding:</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beneficial ownership by BellRing Brands, Inc., Post or any of its or their subsidiaries;</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or beneficial ownership of additional securities of BellRing Brands, Inc. entitled to vote generally in the election of directors or of the right to direct such vote by a person that already beneficially owns Voting Control;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employee benefit plan (or related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share exchange or consolidation (an “LTIP Business Combination”), unless:</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66" w:lineRule="auto"/>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beneficial owners of Voting Control immediately prior to such LTIP Business Combination continue to beneficially own the right to direct the vote with respect to more than 50% of the combined voting power of the then outstanding securities of the entity resulting from the LTIP Business Combination;</w:t>
      </w:r>
    </w:p>
    <w:p>
      <w:pPr>
        <w:spacing w:after="0" w:line="81" w:lineRule="exact"/>
        <w:rPr>
          <w:rFonts w:ascii="Times New Roman" w:cs="Times New Roman" w:eastAsia="Times New Roman" w:hAnsi="Times New Roman"/>
          <w:sz w:val="18"/>
          <w:szCs w:val="18"/>
          <w:color w:val="auto"/>
        </w:rPr>
      </w:pPr>
    </w:p>
    <w:p>
      <w:pPr>
        <w:jc w:val="both"/>
        <w:ind w:left="1540" w:right="160" w:hanging="331"/>
        <w:spacing w:after="0" w:line="266" w:lineRule="auto"/>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LTIP Business Combination, no person beneficially owns the right to direct the vote with respect to more than 50% of the combined voting power of the then outstanding securities of the entity resulting from the LTIP Business Combination, unless such person beneficially owned Voting Control prior to the LTIP Business Combination; and</w:t>
      </w:r>
    </w:p>
    <w:p>
      <w:pPr>
        <w:spacing w:after="0" w:line="81"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resulting from the LTIP Business Combination were incumbent members of the board of directors at the time of the initial agreement or action of the Board of Directors approving such LTIP Business Combination;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or other disposition of all or substantially all of the assets of the Company;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to liquidate or dissolve the Company.</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change in control will not have occurred with respect to any award that is subject to Section 409A of the Code to the extent necessary to avoid adverse tax consequences thereunder, unless the transaction constitutes a “change in control event” under Section 409A of the Code.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Award Limits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2019 LTIP is the Company’s only equity compensation plan with shares available for future award grants. There are 8,000,000 shares of our common stock available for use under the 2019 LTIP. No more than 8,000,000 shares of common stock may be granted as incentive stock options. Shares of common stock issued under the 2019 LTIP may be authorized and unissued shares or treasury shares. The following shares of common stock may not again be made available for issuance as awards: shares not issued as a result of the net settlement of an outstanding SAR or stock option; shares used to pay the exercise price or withholding taxes related to an outstanding award; or shares repurchased on the open market with the proceeds of a stock option exercise price. The following will not be applied to the share limitations above: any shares subject to an award under the 2019 LTIP to the extent the shares are not used because the award is forfeited, canceled, terminated, expired or lapsed for any reason; and shares and any awards that are granted through the settlement, assumption or substitution of outstanding awards previously granted, or through obligations to grant future awards, as a result of a merger, spin-off, consolidation or acquisition of the employing company with or by us. If an award is settled in cash, the number of shares of common stock on which the award is based will not count toward the above share limits.</w:t>
      </w:r>
    </w:p>
    <w:p>
      <w:pPr>
        <w:spacing w:after="0" w:line="194"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No participant will be granted (i) options to purchase shares of common stock and SARs with respect to more than 8,000,000 shares in the aggregate, (ii) any other awards with respect to more than 8,000,000 shares of common stock in the aggregate (or, in the event such award denominated or expressed in terms of number of shares of common stock is paid in cash, the equivalent cash value) or (iii) any cash bonus award not denominated or expressed in terms of number of shares of common stock with a value that exceeds $10,000,000 in the aggregate, in each case, in any twelve-month period under the 2019 LTIP. In addition, for any one non-employee director, the aggregate grant date fair value of awards granted during any calendar year, together with any cash retainers payable to the director and any Company matching contributions credited to the director’s nonqualified deferred compensation account for that calendar year, cannot exceed $500,000 (or $700,000 for a non-employee chairperson of the Board of Directors).</w:t>
      </w:r>
    </w:p>
    <w:p>
      <w:pPr>
        <w:spacing w:after="0" w:line="2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Subject to the terms of the 2019 LTIP, our Board of Directors may at any time amend, modify or suspend the 2019 LTIP, and the Committee may at any time alter or amend any or all awards under the 2019 LTIP to the extent permitted by law. Any alterations or amendments may be made unilaterally by the Committee, subject to the provisions of the 2019 LTIP, unless such amendments are deemed by the Committee to be materially adverse to the participants and are not required as a matter of law. Amendments are subject to approval of the stockholders of the Company only as required by law, or if the amendment increases the total number of shares of common stock available under the 2019 LTIP, except as adjusted for specified changes in capitalization. The 2019 LTIP shall remain in effect for a term of ten years following September 30, 2019, the date on which it became effective, or until all shares of common stock subject to the 2019 LTIP shall have been purchased or acquired according to the 2019 LTIP provisions, whichever occurs first, unless the 2019 LTIP is sooner terminated pursuant to its complete terms.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U.S. federal income tax consequences that generally will arise with respect to awards that may be granted under the 2019 LTIP. This summary is based upon the provisions of the Code and regulations promulgated thereunder, as in effect on the date of this prospectus. Changes in the law may modify this discussion, and in some cases, the changes may be retroactive. Further, this summary is not intended to be a complete discussion of all of the federal income tax consequences associated with the 2019 LTIP. Accordingly, for precise advice as to any specific transaction or set of circumstances, participants should consult with their own tax and legal advisors. Participants also should consult with their own tax and legal advisors regarding the application of any state, local and foreign taxes and any federal gift, estate and inheritance taxes.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Some options may constitute “incentive stock options” within the meaning of Section 422 of the Code. If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an incentive stock option, the recipient will not be required to recognize income upon the grant of the incentive stock option, and the Company will not be allowed to take a deduction.</w:t>
      </w:r>
    </w:p>
    <w:p>
      <w:pPr>
        <w:spacing w:after="0" w:line="17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Similarly, when the recipient exercises any incentive stock options, provided the recipient has not ceased to be an employee for more than three months before the date of exercise, the recipient will not be required to recognize income, and the Company will not be allowed to take a deduction. For purposes of the alternative minimum tax, however, the amount by which the aggregate fair market value of the common stock acquired on exercise of an incentive stock option exceeds the exercise price of that option generally will be an adjustment included in the recipient’s alternative minimum taxable income for the year in which the incentive stock option is exercised. The Code imposes an alternative minimum tax on a taxpayer whose alternative minimum taxable income, as defined in Section 55(b)(2) of the Code, exceeds the taxpayer’s adjusted gross income.</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Additional tax consequences will depend upon how long recipients hold the shares of the common stock received after exercising the incentive stock options. If a recipient holds the shares for more than two years from the date of grant and one year from the date of exercise of the option, upon disposition of the shares, the recipient will not recognize any ordinary income, and the Company will not be allowed to take a deduction. However, the difference between the amount the recipient realizes upon disposition of the shares and the basis (i.e., the amount the recipient paid upon exercise of the incentive stock option) in those shares will be taxed as a long-term capital gain or loss.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the recipient disposes of shares of common stock acquired upon exercise of an incentive stock option which he or she has held for less than two years from the date of grant or one year from the date of exercise, the recipient generally will recognize ordinary income in the year of the disposition. To calculate the amount of ordinary income that must be recognized upon such a disposition, the recipient must make the following determinations and calculations:</w:t>
      </w:r>
    </w:p>
    <w:p>
      <w:pPr>
        <w:spacing w:after="0" w:line="85" w:lineRule="exact"/>
        <w:rPr>
          <w:sz w:val="20"/>
          <w:szCs w:val="20"/>
          <w:color w:val="auto"/>
        </w:rPr>
      </w:pPr>
    </w:p>
    <w:p>
      <w:pPr>
        <w:ind w:left="1080" w:right="16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is smaller: the amount realized on disposition of the shares or the fair market value of the shares on the date of exercise;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subtract the basis in those shares from the smaller amount. This is the amount of ordinary income that the recipient must recognize.</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the recipient recognizes ordinary income, the Company is allowed to take a deduction. In addition, the recipient must recognize as short-term or long-term capital gain, depending on whether the holding period for the shares exceeds one year, any amount that the recipient realizes upon disposition of those shares which exceeds the fair market value of those shares on the date the recipient exercised the option. The recipient will recognize a short-term or long-term capital loss, depending on whether the holding period for the shares exceeds one year, to the extent the basis in the shares exceeds the amount realized upon disposition of those shares.</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noted above, the excess of the fair market value of the shares of common stock at the time the recipient exercises his or her incentive stock option over the exercise price for the shares is a tax adjustment item for the purposes of the alternative minimum tax.</w:t>
      </w:r>
    </w:p>
    <w:p>
      <w:pPr>
        <w:spacing w:after="0" w:line="16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Non-Qualified Stock Options</w:t>
      </w:r>
      <w:r>
        <w:rPr>
          <w:rFonts w:ascii="Times New Roman" w:cs="Times New Roman" w:eastAsia="Times New Roman" w:hAnsi="Times New Roman"/>
          <w:sz w:val="18"/>
          <w:szCs w:val="18"/>
          <w:color w:val="auto"/>
        </w:rPr>
        <w:t>. If the recipient receives a NQSO, the recipient will not recognize income at the time of the grant of the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the recipient will recognize ordinary income upon the exercise of the NQSO. The amount of ordinary income recognized equals the difference between (a) the fair market value of the common stock on the date of exercise and (b) the exercise price. The Company will be entitled to a deduction in the same amount. The ordinary income the recipient recognizes will be subject to applicable tax withholding by the Company. When the recipient sells these shares, any difference between the sales price and the basis (i.e., the exercise price plus the ordinary income recognized by the recipient) will be treated as a capital gain or loss.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Unless a timely Section 83(b) election is made as described in the following paragraph, a recipient generally will not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upon the grant of restricted stock because the restricted stock generally will be nontransferable and subject to a substantial risk of forfeiture. A recipient will recognize ordinary income when the restrictions that impose a substantial risk of forfeiture of the shares of common stock or the transfer restrictions lapse. The amount recognized will be equal to the difference between the fair market value of the shares at this time and the original purchase price paid for the shares, if any. The ordinary income recognized by a recipient with respect to restricted stock awarded under the 2019 LTIP will be subject to applicable tax withholding by the Company. If a timely Section 83(b) election has not been made, any dividends received with respect to common stock subject to such restrictions will be treated as additional compensation income and not as dividend income.</w:t>
      </w:r>
    </w:p>
    <w:p>
      <w:pPr>
        <w:spacing w:after="0" w:line="18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recipient may elect, pursuant to Section 83(b) of the Code, to recognize as ordinary income the fair market value of the restricted stock upon grant, notwithstanding that the restricted stock would otherwise not be includable in gross income at that time. If the election is made within 30 days of the date of grant, then the recipient would include in gross income an amount equal to the difference between the fair market value of the restricted stock on the date of grant and the purchase price paid for the restricted stock, if any. Any change in the value of the shares after the date of grant will be taxed as a capital gain or capital loss only if and when the shares are disposed of by the recipient. If the Section 83(b) election is made, the recipient’s capital gains holding period begins on the date of grant.</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Section 83(b) election is irrevocable. If a Section 83(b) election is made and the recipient then forfeits the restricted stock, the recipient may not deduct as a loss the amount previously included in gross income.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recipient’s tax basis in shares of restricted stock received pursuant to the 2019 LTIP will be equal to the sum of the amount (if any) the recipient paid for the common stock and the amount of ordinary income recognized by the recipient as a result of making a Section 83(b) election or upon the lapse of the restrictions. Unless a Section 83(b) election is made, the recipient’s holding period for the shares for purposes of determining gain or loss on a subsequent sale will begin on the date the restrictions lapse.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general, the Company will be entitled to a deduction at the same time and in an amount equal to the ordinary income recognized by a recipient with respect to shares of restricted stock awarded pursuant to the 2019 LTIP.</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subsequent to the lapse of the restrictions on the shares, the recipient sells the shares, the difference, if any, between the amount realized from the sale and the tax basis of the shares to the recipient will be taxed as a capital gain or capital loss.</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 / Performance Shares / Restricted Stock Units</w:t>
      </w:r>
      <w:r>
        <w:rPr>
          <w:rFonts w:ascii="Times New Roman" w:cs="Times New Roman" w:eastAsia="Times New Roman" w:hAnsi="Times New Roman"/>
          <w:sz w:val="18"/>
          <w:szCs w:val="18"/>
          <w:color w:val="auto"/>
        </w:rPr>
        <w:t>. A recipient generally will not recognize taxable income upon the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SARs, performance shares or RSUs. Instead, a recipient will recognize as ordinary income, and the Company will have a corresponding deduction of, any cash delivered and the fair market value of any common stock delivered in payment of an amount due under the SAR, performance share or RSU award. The ordinary income the recipient recognizes will be subject to applicable tax withholding by the Company.</w:t>
      </w:r>
    </w:p>
    <w:p>
      <w:pPr>
        <w:spacing w:after="0" w:line="182"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Upon selling any common stock received by a recipient in payment of an amount due under a SAR, performance share or RSU award, the recipient generally will recognize a capital gain or loss in an amount equal to the difference between the sale price of the common stock and the recipient’s tax basis in the common stock (i.e., the ordinary income recognized by the recipient).</w:t>
      </w:r>
    </w:p>
    <w:p>
      <w:pPr>
        <w:spacing w:after="0" w:line="174"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Other Stock-Based and Cash-Based Awards</w:t>
      </w:r>
      <w:r>
        <w:rPr>
          <w:rFonts w:ascii="Times New Roman" w:cs="Times New Roman" w:eastAsia="Times New Roman" w:hAnsi="Times New Roman"/>
          <w:sz w:val="18"/>
          <w:szCs w:val="18"/>
          <w:color w:val="auto"/>
        </w:rPr>
        <w:t>. The tax consequences associated with any other stock-based or cash-based award granted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LTIP will vary depending on the specific terms of the award, including whether the award has a readily ascertainable fair market value, whether or not the award is subject to forfeiture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provisions or restrictions on transfer, the nature of the property to be received by the recipient under the award, any applicable holding period and the recipient’s tax basis.</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409A of the Code</w:t>
      </w:r>
      <w:r>
        <w:rPr>
          <w:rFonts w:ascii="Times New Roman" w:cs="Times New Roman" w:eastAsia="Times New Roman" w:hAnsi="Times New Roman"/>
          <w:sz w:val="18"/>
          <w:szCs w:val="18"/>
          <w:color w:val="auto"/>
        </w:rPr>
        <w:t>. Pursuant to Section 409A of the Code, significant restrictions have been imposed on the ability to defer the taxation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including, without limitation, the deferral of income pursuant to some of the arrangements described herein (e.g., performance shares). Violation of Section 409A of the Code triggers immediate inclusion in income and application of income and additional taxes.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280G of the Code and Section 4999 of the Code</w:t>
      </w:r>
      <w:r>
        <w:rPr>
          <w:rFonts w:ascii="Times New Roman" w:cs="Times New Roman" w:eastAsia="Times New Roman" w:hAnsi="Times New Roman"/>
          <w:sz w:val="18"/>
          <w:szCs w:val="18"/>
          <w:color w:val="auto"/>
        </w:rPr>
        <w:t>. Under Section 280G of the Code and Section 4999 of the Code,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prohibited from deducting any “excess parachute payment” to an individual, and the individual must pay a 20% excise tax on any “excess parachute payment.” An individual’s “parachute payments” which exceed his or her average annual compensation will generally be treated as “excess parachute payments” if the present value of such payments equals or exceeds three times the individual’s average annual compensation. A payment generally may be considered a “parachute payment” if it is contingent on a change in control of the Company, as defined in Sections 280G and 4999 of the Code.</w:t>
      </w:r>
    </w:p>
    <w:p>
      <w:pPr>
        <w:spacing w:after="0" w:line="183"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Non-U.S. Taxpayers</w:t>
      </w:r>
      <w:r>
        <w:rPr>
          <w:rFonts w:ascii="Times New Roman" w:cs="Times New Roman" w:eastAsia="Times New Roman" w:hAnsi="Times New Roman"/>
          <w:sz w:val="18"/>
          <w:szCs w:val="18"/>
          <w:color w:val="auto"/>
        </w:rPr>
        <w:t>. If the recipient is subject to the tax laws of any country other than the U.S., the recipient should consult his or her own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legal advisors to determine the tax and legal consequences of any award received under the 2019 LTIP.</w:t>
      </w:r>
    </w:p>
    <w:p>
      <w:pPr>
        <w:spacing w:after="0" w:line="156" w:lineRule="exact"/>
        <w:rPr>
          <w:sz w:val="20"/>
          <w:szCs w:val="20"/>
          <w:color w:val="auto"/>
        </w:rPr>
      </w:pPr>
    </w:p>
    <w:p>
      <w:pPr>
        <w:jc w:val="center"/>
        <w:ind w:left="540" w:right="8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“FOR” the approval of the increase in the authorized shares under the 2019 LTIP. </w:t>
      </w:r>
      <w:r>
        <w:rPr>
          <w:rFonts w:ascii="Times New Roman" w:cs="Times New Roman" w:eastAsia="Times New Roman" w:hAnsi="Times New Roman"/>
          <w:sz w:val="18"/>
          <w:szCs w:val="18"/>
          <w:color w:val="auto"/>
        </w:rPr>
        <w:t>73</w:t>
      </w:r>
    </w:p>
    <w:p>
      <w:pPr>
        <w:sectPr>
          <w:pgSz w:w="11900" w:h="16838" w:orient="portrait"/>
          <w:cols w:equalWidth="0" w:num="1">
            <w:col w:w="11040"/>
          </w:cols>
          <w:pgMar w:left="320" w:top="455" w:right="5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NON-BINDING ADVISORY VOTE ON EXECUTIVE COMPENSATION</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(Proxy Item No. 4)</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vote to approve or not approve, on an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We are providing this vote as required by Section 14A of the Exchange Act, which was added to the Exchange Act by Section 951 of the Dodd-Frank Wall Street Reform and Consumer Protection Act of 2010. The Board of Directors believes that the overall design and function of the Company’s executive compensation program is appropriate and effective in aligning the interests of management and the Company’s stockholders and that management is properly incentivized to manage the Company in a prudent manner. Accordingly, we are asking our stockholders to vote “FOR” the adoption of the following resolution:</w:t>
      </w:r>
    </w:p>
    <w:p>
      <w:pPr>
        <w:spacing w:after="0" w:line="84"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“RESOLVED, that the stockholders advise that they approve the compensation of the named executive officers of the Company, as disclosed in the “Compensation Discussion and Analysis” and “Executive Compensation” sections of this proxy statement pursuant to the compensation disclosure rules of the Securities and Exchange Commission (which disclosure shall include the Compensation Discussion and Analysis, the compensation tables and any related material).”</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Although the vote is non-binding, the Board of Directors and the Corporate Governance and Compensation Committee will review the voting results in connection with their ongoing evaluation of the Company’s executive compensation program.</w:t>
      </w:r>
    </w:p>
    <w:p>
      <w:pPr>
        <w:spacing w:after="0" w:line="158" w:lineRule="exact"/>
        <w:rPr>
          <w:sz w:val="20"/>
          <w:szCs w:val="20"/>
          <w:color w:val="auto"/>
        </w:rPr>
      </w:pPr>
    </w:p>
    <w:p>
      <w:pPr>
        <w:jc w:val="center"/>
        <w:ind w:left="560" w:right="80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“FOR” the advisory approval of the resolution set forth above. </w:t>
      </w:r>
      <w:r>
        <w:rPr>
          <w:rFonts w:ascii="Times New Roman" w:cs="Times New Roman" w:eastAsia="Times New Roman" w:hAnsi="Times New Roman"/>
          <w:sz w:val="18"/>
          <w:szCs w:val="18"/>
          <w:color w:val="auto"/>
        </w:rPr>
        <w:t>74</w:t>
      </w:r>
    </w:p>
    <w:p>
      <w:pPr>
        <w:sectPr>
          <w:pgSz w:w="11900" w:h="16838" w:orient="portrait"/>
          <w:cols w:equalWidth="0" w:num="1">
            <w:col w:w="11020"/>
          </w:cols>
          <w:pgMar w:left="320" w:top="455" w:right="5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bear the expense of preparing, making available or otherwise transmitting this proxy statement and the accompanying materials. We have paid certain entities for assistance with preparing this proxy statement and the proxy card. We also will pay for the solicitation of proxies. We hired Georgeson LLC to assist in the solicitation of proxies for a fee of $14,500 plus expenses. We will reimburse brokers, banks and other nominees for costs, including postage and handling, reasonably incurred by them in sending proxy materials to the beneficial owners of our common stock. In addition to the standard mail, our employees may make proxy solicitations via telephone or personal contact. Our employees will not receive additional compensation for these activities.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Director Nominations and Proposals for the 2024 Annual Meeting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our Bylaws, stockholders who desire to nominate a director or present any other business at an annual meeting of stockholders must follow certain procedures. Generally, to be considered at the 2024 annual meeting of stockholders, a stockholder nomination of a director or a proposal not to be included in the proxy statement and notice of meeting must be received by the corporate secretary between October 9, 2023 and November 8, 2023. However, if the stockholder desires that the proposal be included in our proxy statement and notice of meeting for the 2024 annual meeting of stockholders, then it must be received by our corporate secretary no later than August 26, 2023 and also must comply in all respects with the rules and regulations of the SEC and the laws of the State of Delaware. A copy of the Bylaws will be furnished to any stockholder without charge upon written request to our corporate secretary.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10-K and Other Filings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Promptly upon written or oral request and at no charge, we will provide a copy of any of our filings with the SEC, including our annual report on Form 10-K, with financial statements and schedules for our most recent fiscal year. We may impose a reasonable fee for expenses associated with providing copies of separate exhibits to the report when such exhibits are requested. To request a copy, stockholders can contact our corporate secretary. Our corporate secretary may be reached by telephone at (314) 644-7600 or by mail at our principal executive offices at BellRing Brands, Inc., 2503 S. Hanley Road, St. Louis, Missouri 63144, Attention: Corporate Secretary. These documents also are available on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and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Information on our website does not constitute part of (and shall not be deemed incorporated by reference in) this proxy statement or any other document we file with the SEC.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notice of annual meeting, proxy statement and our 2022 annual report to stockholders may be viewed online at </w:t>
      </w:r>
      <w:r>
        <w:rPr>
          <w:rFonts w:ascii="Times New Roman" w:cs="Times New Roman" w:eastAsia="Times New Roman" w:hAnsi="Times New Roman"/>
          <w:sz w:val="18"/>
          <w:szCs w:val="18"/>
          <w:i w:val="1"/>
          <w:iCs w:val="1"/>
          <w:color w:val="auto"/>
        </w:rPr>
        <w:t xml:space="preserve">www.envisionreports.com/BRBR </w:t>
      </w:r>
      <w:r>
        <w:rPr>
          <w:rFonts w:ascii="Times New Roman" w:cs="Times New Roman" w:eastAsia="Times New Roman" w:hAnsi="Times New Roman"/>
          <w:sz w:val="18"/>
          <w:szCs w:val="18"/>
          <w:color w:val="auto"/>
        </w:rPr>
        <w:t>and on our website at</w:t>
      </w:r>
      <w:r>
        <w:rPr>
          <w:rFonts w:ascii="Times New Roman" w:cs="Times New Roman" w:eastAsia="Times New Roman" w:hAnsi="Times New Roman"/>
          <w:sz w:val="18"/>
          <w:szCs w:val="18"/>
          <w:i w:val="1"/>
          <w:iCs w:val="1"/>
          <w:color w:val="auto"/>
        </w:rPr>
        <w:t xml:space="preserve"> www.bellring.com</w:t>
      </w:r>
      <w:r>
        <w:rPr>
          <w:rFonts w:ascii="Times New Roman" w:cs="Times New Roman" w:eastAsia="Times New Roman" w:hAnsi="Times New Roman"/>
          <w:sz w:val="18"/>
          <w:szCs w:val="18"/>
          <w:color w:val="auto"/>
        </w:rPr>
        <w:t>. Information on our website does not constitute part of (and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deemed incorporated by reference in) this proxy statement or any other document we file with the SEC. You may find more information about the date, time and location of the annual meeting of stockholders, as well as the items to be voted on by stockholders at the annual meeting, in the section entitled </w:t>
      </w:r>
      <w:r>
        <w:rPr>
          <w:rFonts w:ascii="Times New Roman" w:cs="Times New Roman" w:eastAsia="Times New Roman" w:hAnsi="Times New Roman"/>
          <w:sz w:val="18"/>
          <w:szCs w:val="18"/>
          <w:i w:val="1"/>
          <w:iCs w:val="1"/>
          <w:color w:val="auto"/>
        </w:rPr>
        <w:t xml:space="preserve">Proxy and Voting Information </w:t>
      </w:r>
      <w:r>
        <w:rPr>
          <w:rFonts w:ascii="Times New Roman" w:cs="Times New Roman" w:eastAsia="Times New Roman" w:hAnsi="Times New Roman"/>
          <w:sz w:val="18"/>
          <w:szCs w:val="18"/>
          <w:color w:val="auto"/>
        </w:rPr>
        <w:t>beginning on page 3 of this proxy statement. There, you also will find information about attending the annual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your proxy, including where you may find the individual control numbers necessary to vote your shares by telephone or over the Internet.</w:t>
      </w:r>
    </w:p>
    <w:p>
      <w:pPr>
        <w:spacing w:after="0" w:line="187"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If you are a stockholder of record and are interested in receiving future proxy statements and annual reports electronically, you should contact our transfer agent by accessing your account at </w:t>
      </w:r>
      <w:r>
        <w:rPr>
          <w:rFonts w:ascii="Times New Roman" w:cs="Times New Roman" w:eastAsia="Times New Roman" w:hAnsi="Times New Roman"/>
          <w:sz w:val="17"/>
          <w:szCs w:val="17"/>
          <w:i w:val="1"/>
          <w:iCs w:val="1"/>
          <w:color w:val="auto"/>
        </w:rPr>
        <w:t>www.envisionreports.com/BRBR</w:t>
      </w:r>
      <w:r>
        <w:rPr>
          <w:rFonts w:ascii="Times New Roman" w:cs="Times New Roman" w:eastAsia="Times New Roman" w:hAnsi="Times New Roman"/>
          <w:sz w:val="17"/>
          <w:szCs w:val="17"/>
          <w:color w:val="auto"/>
        </w:rPr>
        <w:t xml:space="preserve"> and following the instructions as listed. If you hold shares of our common stock through a broker, bank or other nominee, please refer to the instructions provided by that entity for instructions on how to elect this option.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 of Stockholders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a period of 10 days prior to the annual meeting, a complete list of the stockholders entitled to vote at the annual meeting will be available and open to the inspection of any stockholder during normal business hours at our principal executive offices at 2503 S. Hanley Road, St. Louis, Missouri 63144. As our principal executive offices may be closed to accommodate remote work at certain times, please contact our corporate secretary by telephone at (314) 644-7600 in advance to arrange for inspection of the list of stockholders. A complete list of stockholders entitled to vote at the annual meeting also will be available at the annual meeting website during the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 rules allow delivery of a single proxy statement and annual report to stockholders to households at which two or more stockholders reside. Accordingly, stockholders sharing an address who previously have been notified by their broker or its intermediary will receive only one copy of the proxy statement and annual report to stockholders, unless the stockholder has provided contrary instructions. Individual proxy cards or voting instruction forms (or electronic voting facilities) will, however, continue to be provided for each stockholder account. This procedure, referred to as “householding,” reduces the volume of duplicate information received by stockholders, as well as our expenses. Stockholders having multiple accounts may have received householding notifications from their respective brokers and, consequently, such stockholders may receive only one proxy statement and annual report to stockholders. Stockholders who prefer to receive separate copies of the proxy statement and annual report to stockholders, either now or in the future, may request to receive separate copies of the proxy statement and annual report to stockholders by notifying our corporate secretary and those materials will be delivered promptly. Stockholders currently sharing an address with another stockholder who wish to have only one proxy statement and annual report to stockholders delivered to the household in the future also should contact our corporate secretary. Our corporate secretary may be reached by telephone at (314) 644-7600 or by mail at our principal executive offices at BellRing Brands, Inc., 2503 S. Hanley Road, St. Louis, Missouri 63144, Attention: Corporate Secretary.</w:t>
      </w:r>
    </w:p>
    <w:p>
      <w:pPr>
        <w:spacing w:after="0" w:line="2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180340</wp:posOffset>
            </wp:positionV>
            <wp:extent cx="2289175" cy="3340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8917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21, 2022</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lowerRoman"/>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1)"/>
      <w:numFmt w:val="decimal"/>
      <w:start w:val="2"/>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lvl w:ilvl="1">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lvl w:ilvl="1">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5"/>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7"/>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51">
    <w:nsid w:val="579BE4F1"/>
    <w:multiLevelType w:val="hybridMultilevel"/>
    <w:lvl w:ilvl="0">
      <w:lvlJc w:val="left"/>
      <w:lvlText w:val="%1"/>
      <w:numFmt w:val="lowerRoman"/>
      <w:start w:val="1"/>
    </w:lvl>
    <w:lvl w:ilvl="1">
      <w:lvlJc w:val="left"/>
      <w:lvlText w:val="(%2)"/>
      <w:numFmt w:val="upperLetter"/>
      <w:start w:val="3"/>
    </w:lvl>
  </w:abstractNum>
  <w:abstractNum w:abstractNumId="52">
    <w:nsid w:val="310C50B3"/>
    <w:multiLevelType w:val="hybridMultilevel"/>
    <w:lvl w:ilvl="0">
      <w:lvlJc w:val="left"/>
      <w:lvlText w:val="(%1)"/>
      <w:numFmt w:val="lowerRoman"/>
      <w:start w:val="4"/>
    </w:lvl>
    <w:lvl w:ilvl="1">
      <w:lvlJc w:val="left"/>
      <w:lvlText w:val="%2"/>
      <w:numFmt w:val="upperLetter"/>
      <w:start w:val="1"/>
    </w:lvl>
  </w:abstractNum>
  <w:abstractNum w:abstractNumId="53">
    <w:nsid w:val="5FF87E05"/>
    <w:multiLevelType w:val="hybridMultilevel"/>
    <w:lvl w:ilvl="0">
      <w:lvlJc w:val="left"/>
      <w:lvlText w:val="(%1)"/>
      <w:numFmt w:val="lowerLetter"/>
      <w:start w:val="2"/>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2"/>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lvl w:ilvl="1">
      <w:lvlJc w:val="left"/>
      <w:lvlText w:val="(%2)"/>
      <w:numFmt w:val="lowerRoman"/>
      <w:start w:val="1"/>
    </w:lvl>
  </w:abstractNum>
  <w:abstractNum w:abstractNumId="65">
    <w:nsid w:val="98A3148"/>
    <w:multiLevelType w:val="hybridMultilevel"/>
    <w:lvl w:ilvl="0">
      <w:lvlJc w:val="left"/>
      <w:lvlText w:val="(%1)"/>
      <w:numFmt w:val="lowerRoman"/>
      <w:start w:val="2"/>
    </w:lvl>
  </w:abstractNum>
  <w:abstractNum w:abstractNumId="66">
    <w:nsid w:val="799D0247"/>
    <w:multiLevelType w:val="hybridMultilevel"/>
    <w:lvl w:ilvl="0">
      <w:lvlJc w:val="left"/>
      <w:lvlText w:val="(%1)"/>
      <w:numFmt w:val="lowerRoman"/>
      <w:start w:val="2"/>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lowerLetter"/>
      <w:start w:val="4"/>
    </w:lvl>
  </w:abstractNum>
  <w:abstractNum w:abstractNumId="73">
    <w:nsid w:val="540A471C"/>
    <w:multiLevelType w:val="hybridMultilevel"/>
    <w:lvl w:ilvl="0">
      <w:lvlJc w:val="left"/>
      <w:lvlText w:val="•"/>
      <w:numFmt w:val="bullet"/>
      <w:start w:val="1"/>
    </w:lvl>
    <w:lvl w:ilvl="1">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2022-12-21T15:06:41Z</dcterms:created>
  <dcterms:modified xsi:type="dcterms:W3CDTF">2022-12-21T15:06:41Z</dcterms:modified>
</cp:coreProperties>
</file>