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left"/>
              <w:rPr/>
            </w:pPr>
            <w:r>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pPr>
      <w:r>
        <w:rPr>
          <w:rFonts w:ascii="Times New Roman;sans-serif" w:hAnsi="Times New Roman;sans-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p>
      <w:pPr>
        <w:pStyle w:val="TextBody"/>
        <w:bidi w:val="0"/>
        <w:spacing w:lineRule="auto" w:line="288" w:before="0" w:after="18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312"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August 5, 2024 </w:t>
      </w:r>
    </w:p>
    <w:p>
      <w:pPr>
        <w:pStyle w:val="TextBody"/>
        <w:bidi w:val="0"/>
        <w:spacing w:before="0" w:after="60"/>
        <w:jc w:val="center"/>
        <w:rPr/>
      </w:pPr>
      <w:r>
        <w:rPr/>
        <w:drawing>
          <wp:inline distT="0" distB="0" distL="0" distR="0">
            <wp:extent cx="16668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76300"/>
                    </a:xfrm>
                    <a:prstGeom prst="rect">
                      <a:avLst/>
                    </a:prstGeom>
                  </pic:spPr>
                </pic:pic>
              </a:graphicData>
            </a:graphic>
          </wp:inline>
        </w:drawing>
      </w:r>
    </w:p>
    <w:p>
      <w:pPr>
        <w:pStyle w:val="TextBody"/>
        <w:bidi w:val="0"/>
        <w:spacing w:lineRule="auto" w:line="288" w:before="0" w:after="140"/>
        <w:jc w:val="center"/>
        <w:rPr/>
      </w:pPr>
      <w:r>
        <w:rPr>
          <w:rFonts w:ascii="Times New Roman;sans-serif" w:hAnsi="Times New Roman;sans-serif"/>
          <w:b/>
          <w:color w:val="000000"/>
          <w:sz w:val="40"/>
        </w:rPr>
        <w:t>BellRing Brands, Inc.</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861" w:type="dxa"/>
        <w:jc w:val="center"/>
        <w:tblInd w:w="0" w:type="dxa"/>
        <w:tblLayout w:type="fixed"/>
        <w:tblCellMar>
          <w:top w:w="28" w:type="dxa"/>
          <w:left w:w="28" w:type="dxa"/>
          <w:bottom w:w="28" w:type="dxa"/>
          <w:right w:w="28" w:type="dxa"/>
        </w:tblCellMar>
      </w:tblPr>
      <w:tblGrid>
        <w:gridCol w:w="1328"/>
        <w:gridCol w:w="1167"/>
        <w:gridCol w:w="1179"/>
        <w:gridCol w:w="379"/>
        <w:gridCol w:w="379"/>
        <w:gridCol w:w="379"/>
        <w:gridCol w:w="379"/>
        <w:gridCol w:w="379"/>
        <w:gridCol w:w="398"/>
        <w:gridCol w:w="847"/>
        <w:gridCol w:w="847"/>
        <w:gridCol w:w="120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001-39093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87-3296749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3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5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894"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2503 S. Hanley Road</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St. Louis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Missouri</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63144</w:t>
            </w:r>
          </w:p>
        </w:tc>
      </w:tr>
      <w:tr>
        <w:trPr/>
        <w:tc>
          <w:tcPr>
            <w:tcW w:w="5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12" w:before="120" w:after="18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2"/>
        </w:rPr>
        <w:t>(314) 644-7600</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BRBR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center"/>
              <w:rPr/>
            </w:pPr>
            <w:r>
              <w:rPr/>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5, 2024, BellRing Brands, Inc. (the "Company") issued a press release announcing results for its third fiscal quarter ended June 30, 2024. A copy of the press release is attached hereto as Exhibit 99.1 and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on August 5, 2024, the Company published to the "Investor Relations" section of its website, www.bellringbrands.com, a supplemental presentation related to results for its third fiscal quarter ended June 30, 2024. A copy of the presentation is attached hereto as Exhibit 99.2 and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 Exhibits</w:t>
      </w:r>
    </w:p>
    <w:p>
      <w:pPr>
        <w:pStyle w:val="TextBody"/>
        <w:bidi w:val="0"/>
        <w:spacing w:before="0" w:after="0"/>
        <w:jc w:val="left"/>
        <w:rPr/>
      </w:pPr>
      <w:r>
        <w:rPr/>
      </w:r>
    </w:p>
    <w:tbl>
      <w:tblPr>
        <w:tblW w:w="10183" w:type="dxa"/>
        <w:jc w:val="left"/>
        <w:tblInd w:w="0" w:type="dxa"/>
        <w:tblLayout w:type="fixed"/>
        <w:tblCellMar>
          <w:top w:w="28" w:type="dxa"/>
          <w:left w:w="28" w:type="dxa"/>
          <w:bottom w:w="28" w:type="dxa"/>
          <w:right w:w="28" w:type="dxa"/>
        </w:tblCellMar>
      </w:tblPr>
      <w:tblGrid>
        <w:gridCol w:w="385"/>
        <w:gridCol w:w="338"/>
        <w:gridCol w:w="341"/>
        <w:gridCol w:w="2670"/>
        <w:gridCol w:w="2670"/>
        <w:gridCol w:w="377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brexh991-q32024earningsr.htm">
              <w:r>
                <w:rPr>
                  <w:rStyle w:val="InternetLink"/>
                  <w:rFonts w:ascii="Times New Roman;sans-serif" w:hAnsi="Times New Roman;sans-serif"/>
                  <w:b w:val="false"/>
                  <w:color w:val="0000FF"/>
                  <w:sz w:val="20"/>
                  <w:u w:val="single"/>
                </w:rPr>
                <w:t>Press Release dated August 5, 2024</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992brbr3q24supplement.htm">
              <w:r>
                <w:rPr>
                  <w:rStyle w:val="InternetLink"/>
                  <w:rFonts w:ascii="Times New Roman;sans-serif" w:hAnsi="Times New Roman;sans-serif"/>
                  <w:b w:val="false"/>
                  <w:color w:val="0000FF"/>
                  <w:sz w:val="20"/>
                  <w:u w:val="single"/>
                </w:rPr>
                <w:t>Third Fiscal Quarter Ended June 30, 2024 Supplemental Presentation</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iXBRL tags are embedded within the Inline XBRL document)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769" w:type="dxa"/>
        <w:jc w:val="left"/>
        <w:tblInd w:w="0" w:type="dxa"/>
        <w:tblLayout w:type="fixed"/>
        <w:tblCellMar>
          <w:top w:w="28" w:type="dxa"/>
          <w:left w:w="28" w:type="dxa"/>
          <w:bottom w:w="28" w:type="dxa"/>
          <w:right w:w="28" w:type="dxa"/>
        </w:tblCellMar>
      </w:tblPr>
      <w:tblGrid>
        <w:gridCol w:w="667"/>
        <w:gridCol w:w="587"/>
        <w:gridCol w:w="590"/>
        <w:gridCol w:w="305"/>
        <w:gridCol w:w="305"/>
        <w:gridCol w:w="305"/>
        <w:gridCol w:w="585"/>
        <w:gridCol w:w="585"/>
        <w:gridCol w:w="84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5, 2024</w:t>
            </w:r>
          </w:p>
        </w:tc>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BellRing Brands, Inc.</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010"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A. Rode</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A. Rode</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99.1</w:t>
      </w:r>
    </w:p>
    <w:p>
      <w:pPr>
        <w:pStyle w:val="TextBody"/>
        <w:bidi w:val="0"/>
        <w:spacing w:before="180" w:after="240"/>
        <w:jc w:val="left"/>
        <w:rPr/>
      </w:pPr>
      <w:r>
        <w:rPr/>
        <w:drawing>
          <wp:inline distT="0" distB="0" distL="0" distR="0">
            <wp:extent cx="1657350" cy="7905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57350" cy="790575"/>
                    </a:xfrm>
                    <a:prstGeom prst="rect">
                      <a:avLst/>
                    </a:prstGeom>
                  </pic:spPr>
                </pic:pic>
              </a:graphicData>
            </a:graphic>
          </wp:inline>
        </w:drawing>
      </w:r>
    </w:p>
    <w:p>
      <w:pPr>
        <w:pStyle w:val="TextBody"/>
        <w:bidi w:val="0"/>
        <w:spacing w:lineRule="auto" w:line="288" w:before="180" w:after="240"/>
        <w:jc w:val="center"/>
        <w:rPr>
          <w:rFonts w:ascii="Times New Roman;sans-serif" w:hAnsi="Times New Roman;sans-serif"/>
          <w:b/>
          <w:color w:val="000000"/>
          <w:sz w:val="28"/>
        </w:rPr>
      </w:pPr>
      <w:r>
        <w:rPr>
          <w:rFonts w:ascii="Times New Roman;sans-serif" w:hAnsi="Times New Roman;sans-serif"/>
          <w:b/>
          <w:color w:val="000000"/>
          <w:sz w:val="28"/>
        </w:rPr>
        <w:t>BellRing Brands Reports Results for the Third Quarter of Fiscal Year 2024; Raises Fiscal Year 2024 Outlook</w:t>
      </w:r>
    </w:p>
    <w:p>
      <w:pPr>
        <w:pStyle w:val="TextBody"/>
        <w:bidi w:val="0"/>
        <w:spacing w:lineRule="auto" w:line="288" w:before="0" w:after="0"/>
        <w:jc w:val="left"/>
        <w:rPr/>
      </w:pPr>
      <w:r>
        <w:rPr>
          <w:rFonts w:ascii="Times New Roman;sans-serif" w:hAnsi="Times New Roman;sans-serif"/>
          <w:b/>
          <w:color w:val="000000"/>
          <w:sz w:val="20"/>
        </w:rPr>
        <w:t xml:space="preserve">St. Louis - August 5, 2024 </w:t>
      </w:r>
      <w:r>
        <w:rPr>
          <w:rFonts w:ascii="Times New Roman;sans-serif" w:hAnsi="Times New Roman;sans-serif"/>
          <w:b w:val="false"/>
          <w:color w:val="000000"/>
          <w:sz w:val="20"/>
        </w:rPr>
        <w:t xml:space="preserve">- BellRing Brands, Inc. (NYSE:BRBR) (“BellRing”), a holding company operating in the global convenient nutrition category, today reported results for the third fiscal quarter ended June 30, </w:t>
      </w:r>
      <w:r>
        <w:rPr>
          <w:rFonts w:ascii="Times New Roman;sans-serif" w:hAnsi="Times New Roman;sans-serif"/>
          <w:b w:val="false"/>
          <w:color w:val="000000"/>
          <w:sz w:val="18"/>
        </w:rPr>
        <w:t>2024</w:t>
      </w:r>
      <w:r>
        <w:rPr>
          <w:rFonts w:ascii="Times New Roman;sans-serif" w:hAnsi="Times New Roman;sans-serif"/>
          <w:b w:val="false"/>
          <w:color w:val="000000"/>
          <w:sz w:val="20"/>
        </w:rPr>
        <w:t>.</w:t>
      </w: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Highlights: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Third quarter net sales of $515.4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Operating profit of $111.6 million, net earnings of $73.7 million and Adjusted EBITDA* of $119.5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Raised fiscal year 2024 net sales outlook to $1.96-$2.00 billion and Adjusted EBITDA* outlook to $430-$440 million</w:t>
      </w:r>
    </w:p>
    <w:p>
      <w:pPr>
        <w:pStyle w:val="TextBody"/>
        <w:bidi w:val="0"/>
        <w:spacing w:lineRule="auto" w:line="268" w:before="180" w:after="180"/>
        <w:jc w:val="left"/>
        <w:rPr>
          <w:rFonts w:ascii="Times New Roman;sans-serif" w:hAnsi="Times New Roman;sans-serif"/>
          <w:b w:val="false"/>
          <w:i/>
          <w:color w:val="000000"/>
          <w:sz w:val="16"/>
        </w:rPr>
      </w:pPr>
      <w:r>
        <w:rPr>
          <w:rFonts w:ascii="Times New Roman;sans-serif" w:hAnsi="Times New Roman;sans-serif"/>
          <w:b w:val="false"/>
          <w:i/>
          <w:color w:val="000000"/>
          <w:sz w:val="16"/>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We are pleased with our third quarter performance, with results ahead of our expectations and shake production delivering to plan. </w:t>
      </w:r>
      <w:r>
        <w:rPr>
          <w:rFonts w:ascii="Times New Roman;sans-serif" w:hAnsi="Times New Roman;sans-serif"/>
          <w:b w:val="false"/>
          <w:i/>
          <w:color w:val="000000"/>
          <w:sz w:val="20"/>
        </w:rPr>
        <w:t>Premier Protein</w:t>
      </w:r>
      <w:r>
        <w:rPr>
          <w:color w:val="000000"/>
        </w:rPr>
        <w:t xml:space="preserve"> </w:t>
      </w:r>
      <w:r>
        <w:rPr>
          <w:rFonts w:ascii="Times New Roman;sans-serif" w:hAnsi="Times New Roman;sans-serif"/>
          <w:b w:val="false"/>
          <w:color w:val="000000"/>
          <w:sz w:val="20"/>
        </w:rPr>
        <w:t xml:space="preserve">achieved all time highs for household penetration and shake distribution points as we broaden our formats and package sizes. Consumption growth for </w:t>
      </w:r>
      <w:r>
        <w:rPr>
          <w:rFonts w:ascii="Times New Roman;sans-serif" w:hAnsi="Times New Roman;sans-serif"/>
          <w:b w:val="false"/>
          <w:i/>
          <w:color w:val="000000"/>
          <w:sz w:val="20"/>
        </w:rPr>
        <w:t>Premier Protein</w:t>
      </w:r>
      <w:r>
        <w:rPr>
          <w:color w:val="000000"/>
        </w:rPr>
        <w:t xml:space="preserve"> </w:t>
      </w:r>
      <w:r>
        <w:rPr>
          <w:rFonts w:ascii="Times New Roman;sans-serif" w:hAnsi="Times New Roman;sans-serif"/>
          <w:b w:val="false"/>
          <w:color w:val="000000"/>
          <w:sz w:val="20"/>
        </w:rPr>
        <w:t>shakes was strong and accelerated in June and continued into July on better in stocks and distribution gains,” said Darcy H. Davenport, President and Chief Executive Officer of BellRing. “Lastly, we saw greater-than-expected margins primarily lifted by favorability in powder input costs. Our strong third quarter performance and visibility to the fourth quarter gives us confidence to raise our outlook for the year.”</w:t>
      </w:r>
    </w:p>
    <w:p>
      <w:pPr>
        <w:pStyle w:val="TextBody"/>
        <w:bidi w:val="0"/>
        <w:spacing w:lineRule="auto" w:line="288" w:before="0" w:after="0"/>
        <w:jc w:val="left"/>
        <w:rPr/>
      </w:pPr>
      <w:r>
        <w:rPr>
          <w:rFonts w:ascii="Times New Roman;sans-serif" w:hAnsi="Times New Roman;sans-serif"/>
          <w:b w:val="false"/>
          <w:color w:val="000000"/>
          <w:sz w:val="20"/>
        </w:rPr>
        <w:t>Dollar consumption of </w:t>
      </w:r>
      <w:r>
        <w:rPr>
          <w:rFonts w:ascii="Times New Roman;sans-serif" w:hAnsi="Times New Roman;sans-serif"/>
          <w:b w:val="false"/>
          <w:i/>
          <w:color w:val="000000"/>
          <w:sz w:val="20"/>
        </w:rPr>
        <w:t>Premier Protein</w:t>
      </w:r>
      <w:r>
        <w:rPr>
          <w:color w:val="000000"/>
        </w:rPr>
        <w:t> </w:t>
      </w:r>
      <w:r>
        <w:rPr>
          <w:rFonts w:ascii="Times New Roman;sans-serif" w:hAnsi="Times New Roman;sans-serif"/>
          <w:b w:val="false"/>
          <w:color w:val="000000"/>
          <w:sz w:val="20"/>
        </w:rPr>
        <w:t xml:space="preserve">ready-to-drink (“RTD”) shakes and </w:t>
      </w:r>
      <w:r>
        <w:rPr>
          <w:rFonts w:ascii="Times New Roman;sans-serif" w:hAnsi="Times New Roman;sans-serif"/>
          <w:b w:val="false"/>
          <w:i/>
          <w:color w:val="000000"/>
          <w:sz w:val="20"/>
        </w:rPr>
        <w:t xml:space="preserve">Premier Protein </w:t>
      </w:r>
      <w:r>
        <w:rPr>
          <w:rFonts w:ascii="Times New Roman;sans-serif" w:hAnsi="Times New Roman;sans-serif"/>
          <w:b w:val="false"/>
          <w:color w:val="000000"/>
          <w:sz w:val="20"/>
        </w:rPr>
        <w:t xml:space="preserve">powder products increased 9.6% and 43.6%, respectively, and </w:t>
      </w:r>
      <w:r>
        <w:rPr>
          <w:rFonts w:ascii="Times New Roman;sans-serif" w:hAnsi="Times New Roman;sans-serif"/>
          <w:b w:val="false"/>
          <w:i/>
          <w:color w:val="000000"/>
          <w:sz w:val="20"/>
        </w:rPr>
        <w:t>Dymatize</w:t>
      </w:r>
      <w:r>
        <w:rPr>
          <w:color w:val="000000"/>
        </w:rPr>
        <w:t> </w:t>
      </w:r>
      <w:r>
        <w:rPr>
          <w:rFonts w:ascii="Times New Roman;sans-serif" w:hAnsi="Times New Roman;sans-serif"/>
          <w:b w:val="false"/>
          <w:color w:val="000000"/>
          <w:sz w:val="20"/>
        </w:rPr>
        <w:t>powder products decreased 11.3% in the 13-week period ended June 30, 2024, as compared to the same period in 2023 (inclusive of Circana United States (“U.S.”) Multi Outlet including Convenience and management estimates of untracked channels). For additional information regarding consumption metrics, see the supplemental slide presentation on BellRing’s website, which can be accessed by visiting the Investor Relations section.</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Third Quarter Operating Results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sales were $515.4 million, an increase of 15.6%, or $69.5 million, compared to the prior year period, driven by 18.4% increase in volume and 2.8% decrease in price/mix.</w:t>
      </w:r>
    </w:p>
    <w:p>
      <w:pPr>
        <w:pStyle w:val="TextBody"/>
        <w:bidi w:val="0"/>
        <w:spacing w:lineRule="auto" w:line="288" w:before="0" w:after="180"/>
        <w:jc w:val="left"/>
        <w:rPr/>
      </w:pPr>
      <w:r>
        <w:rPr>
          <w:rFonts w:ascii="Times New Roman;sans-serif" w:hAnsi="Times New Roman;sans-serif"/>
          <w:b w:val="false"/>
          <w:i/>
          <w:color w:val="000000"/>
          <w:sz w:val="20"/>
        </w:rPr>
        <w:t xml:space="preserve">Premier Protein </w:t>
      </w:r>
      <w:r>
        <w:rPr>
          <w:rFonts w:ascii="Times New Roman;sans-serif" w:hAnsi="Times New Roman;sans-serif"/>
          <w:b w:val="false"/>
          <w:color w:val="000000"/>
          <w:sz w:val="20"/>
        </w:rPr>
        <w:t xml:space="preserve">net sales increased 19.8%, driven by 19.2% increase in volume and 0.6% increase in price/mix. </w:t>
      </w:r>
      <w:r>
        <w:rPr>
          <w:rFonts w:ascii="Times New Roman;sans-serif" w:hAnsi="Times New Roman;sans-serif"/>
          <w:b w:val="false"/>
          <w:i/>
          <w:color w:val="000000"/>
          <w:sz w:val="20"/>
        </w:rPr>
        <w:t xml:space="preserve">Premier Protein </w:t>
      </w:r>
      <w:r>
        <w:rPr>
          <w:rFonts w:ascii="Times New Roman;sans-serif" w:hAnsi="Times New Roman;sans-serif"/>
          <w:b w:val="false"/>
          <w:color w:val="000000"/>
          <w:sz w:val="20"/>
        </w:rPr>
        <w:t xml:space="preserve">RTD shake net sales increased 18.5%, driven by 19.4% increase in volume and 0.9% decrease in price/mix. Volume gains were driven by organic growth and distribution gains. </w:t>
      </w:r>
    </w:p>
    <w:p>
      <w:pPr>
        <w:pStyle w:val="TextBody"/>
        <w:bidi w:val="0"/>
        <w:spacing w:lineRule="auto" w:line="288" w:before="0" w:after="180"/>
        <w:jc w:val="left"/>
        <w:rPr/>
      </w:pPr>
      <w:r>
        <w:rPr>
          <w:rFonts w:ascii="Times New Roman;sans-serif" w:hAnsi="Times New Roman;sans-serif"/>
          <w:b w:val="false"/>
          <w:i/>
          <w:color w:val="000000"/>
          <w:sz w:val="20"/>
        </w:rPr>
        <w:t>Dymatize</w:t>
      </w:r>
      <w:r>
        <w:rPr>
          <w:color w:val="000000"/>
        </w:rPr>
        <w:t xml:space="preserve"> </w:t>
      </w:r>
      <w:r>
        <w:rPr>
          <w:rFonts w:ascii="Times New Roman;sans-serif" w:hAnsi="Times New Roman;sans-serif"/>
          <w:b w:val="false"/>
          <w:color w:val="000000"/>
          <w:sz w:val="20"/>
        </w:rPr>
        <w:t xml:space="preserve">net sales decreased 2.6%, driven by 4.4% increase in volume which was offset by a 7.0% decrease in price/mix. Volume gains were driven by strength in the international channel, which was partially offset by changes in domestic distribution and display activity when compared to the prior year period. The decrease in price/mix was driven by promotional activity and unfavorable mix. </w:t>
      </w:r>
    </w:p>
    <w:p>
      <w:pPr>
        <w:pStyle w:val="TextBody"/>
        <w:bidi w:val="0"/>
        <w:spacing w:lineRule="auto" w:line="288" w:before="0" w:after="180"/>
        <w:jc w:val="left"/>
        <w:rPr/>
      </w:pPr>
      <w:r>
        <w:rPr>
          <w:rFonts w:ascii="Times New Roman;sans-serif" w:hAnsi="Times New Roman;sans-serif"/>
          <w:b w:val="false"/>
          <w:color w:val="000000"/>
          <w:sz w:val="20"/>
        </w:rPr>
        <w:t xml:space="preserve">Gross profit was $189.9 million, or 36.8% of net sales, an increase of 39.6%, or $53.9 million, compared to $136.0 million, or 30.5% of net sales, in the prior year period. </w:t>
      </w:r>
      <w:r>
        <w:rPr>
          <w:rFonts w:ascii="Times New Roman;sans-serif" w:hAnsi="Times New Roman;sans-serif"/>
          <w:b w:val="false"/>
          <w:color w:val="000000"/>
          <w:sz w:val="20"/>
          <w:shd w:fill="FFFFFF" w:val="clear"/>
        </w:rPr>
        <w:t xml:space="preserve">Gross profit included mark-to-market adjustments on commodity hedges which were favorable by </w:t>
      </w:r>
      <w:r>
        <w:rPr>
          <w:rFonts w:ascii="Times New Roman;sans-serif" w:hAnsi="Times New Roman;sans-serif"/>
          <w:b w:val="false"/>
          <w:color w:val="000000"/>
          <w:sz w:val="20"/>
        </w:rPr>
        <w:t>$2.3 million</w:t>
      </w:r>
      <w:r>
        <w:rPr>
          <w:color w:val="000000"/>
          <w:shd w:fill="FFFFFF" w:val="clear"/>
        </w:rPr>
        <w:t xml:space="preserve"> </w:t>
      </w:r>
      <w:r>
        <w:rPr>
          <w:rFonts w:ascii="Times New Roman;sans-serif" w:hAnsi="Times New Roman;sans-serif"/>
          <w:b w:val="false"/>
          <w:color w:val="000000"/>
          <w:sz w:val="20"/>
          <w:shd w:fill="FFFFFF" w:val="clear"/>
        </w:rPr>
        <w:t xml:space="preserve">in the third quarter of 2024 and unfavorable by </w:t>
      </w:r>
      <w:r>
        <w:rPr>
          <w:rFonts w:ascii="Times New Roman;sans-serif" w:hAnsi="Times New Roman;sans-serif"/>
          <w:b w:val="false"/>
          <w:color w:val="000000"/>
          <w:sz w:val="20"/>
        </w:rPr>
        <w:t>$1.9 million</w:t>
      </w:r>
      <w:r>
        <w:rPr>
          <w:color w:val="000000"/>
          <w:shd w:fill="FFFFFF" w:val="clear"/>
        </w:rPr>
        <w:t xml:space="preserve"> </w:t>
      </w:r>
      <w:r>
        <w:rPr>
          <w:rFonts w:ascii="Times New Roman;sans-serif" w:hAnsi="Times New Roman;sans-serif"/>
          <w:b w:val="false"/>
          <w:color w:val="000000"/>
          <w:sz w:val="20"/>
          <w:shd w:fill="FFFFFF" w:val="clear"/>
        </w:rPr>
        <w:t xml:space="preserve">in the third quarter of 2023, and were treated as adjustments for non-GAAP measures. </w:t>
      </w:r>
      <w:r>
        <w:rPr>
          <w:rFonts w:ascii="Times New Roman;sans-serif" w:hAnsi="Times New Roman;sans-serif"/>
          <w:b w:val="false"/>
          <w:color w:val="000000"/>
          <w:sz w:val="20"/>
        </w:rPr>
        <w:t xml:space="preserve">The higher gross profit margin was driven by net input cost deflation.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(“SG&amp;A”) expenses were $74.0 million, or 14.4% of net sales, an increase of $18.9 million compared to $55.1 million, or 12.4% of net sales, in the prior year period. SG&amp;A expenses in the third quarter of 2024 included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higher employee expenses and distribution and warehousing expenses on higher volumes, as well as higher marketing and consumer advertising expenses of $3.3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was $111.6 million, an increase of 46.8%, or $35.6 million, compared to $76.0 million in the prior year period.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was $14.4 million and $17.3 million in the third quarter of 2024 and 2023, respectively, with the decline primarily driven by lower borrowings outstanding under the revolving credit facility. Income tax expense was $23.5 million in the third quarter of 2024, an effective income tax rate of 24.2%, compared to $14.4 million in the third quarter of 2023, an effective income tax rate of 24.5%.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were $73.7 million, an increase of 66.4%, or $29.4 million, compared to $44.3 million in the prior year period. Net earnings per diluted common share were $0.56, an increase of 69.7%, compared to $0.33 in the prior year period. Adjusted net earnings* were $71.9 million, an increase of 57.3%, compared to $45.7 million in the prior year period. Adjusted net earnings per common share* were $0.54, an increase of 58.8%, compared to $0.34 in the prior year period.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was $119.5 million, an increase of 37.5%, or $32.6 million, compared to $86.9 million in the prior year period. </w:t>
      </w:r>
    </w:p>
    <w:p>
      <w:pPr>
        <w:pStyle w:val="TextBody"/>
        <w:bidi w:val="0"/>
        <w:spacing w:lineRule="auto" w:line="288" w:before="0" w:after="18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*Adjusted net earnings, Adjusted diluted earnings per common share and Adjusted EBITDA are non-GAAP measures. For additional information regarding non-GAAP measures, see the related explanations presented under “Use of Non-GAAP Measures” later in this release.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Nine Month Operating Results</w:t>
      </w:r>
    </w:p>
    <w:p>
      <w:pPr>
        <w:pStyle w:val="TextBody"/>
        <w:bidi w:val="0"/>
        <w:spacing w:lineRule="auto" w:line="288" w:before="0" w:after="180"/>
        <w:jc w:val="left"/>
        <w:rPr/>
      </w:pPr>
      <w:r>
        <w:rPr>
          <w:rFonts w:ascii="Times New Roman;sans-serif" w:hAnsi="Times New Roman;sans-serif"/>
          <w:b w:val="false"/>
          <w:color w:val="000000"/>
          <w:sz w:val="20"/>
        </w:rPr>
        <w:t xml:space="preserve">Net sales were $1,440.4 million, an increase of 20.6%, or $246.2 million, compared to the prior year period, driven by 26.3% increase in volume and 5.7% decrease in price/mix. </w:t>
      </w:r>
      <w:r>
        <w:rPr>
          <w:rFonts w:ascii="Times New Roman;sans-serif" w:hAnsi="Times New Roman;sans-serif"/>
          <w:b w:val="false"/>
          <w:i/>
          <w:color w:val="000000"/>
          <w:sz w:val="20"/>
        </w:rPr>
        <w:t xml:space="preserve">Premier Protein </w:t>
      </w:r>
      <w:r>
        <w:rPr>
          <w:rFonts w:ascii="Times New Roman;sans-serif" w:hAnsi="Times New Roman;sans-serif"/>
          <w:b w:val="false"/>
          <w:color w:val="000000"/>
          <w:sz w:val="20"/>
        </w:rPr>
        <w:t xml:space="preserve">net sales increased 24.0%, driven by 27.4% increase in volume and 3.4% decrease in price/mix. </w:t>
      </w:r>
      <w:r>
        <w:rPr>
          <w:rFonts w:ascii="Times New Roman;sans-serif" w:hAnsi="Times New Roman;sans-serif"/>
          <w:b w:val="false"/>
          <w:i/>
          <w:color w:val="000000"/>
          <w:sz w:val="20"/>
        </w:rPr>
        <w:t>Dymatize</w:t>
      </w:r>
      <w:r>
        <w:rPr>
          <w:color w:val="000000"/>
        </w:rPr>
        <w:t xml:space="preserve"> </w:t>
      </w:r>
      <w:r>
        <w:rPr>
          <w:rFonts w:ascii="Times New Roman;sans-serif" w:hAnsi="Times New Roman;sans-serif"/>
          <w:b w:val="false"/>
          <w:color w:val="000000"/>
          <w:sz w:val="20"/>
        </w:rPr>
        <w:t xml:space="preserve">net sales increased 6.1%, driven by 10.6% increase in volume and 4.5% decrease in price/mix.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was $502.2 million, or 34.9% of net sales, an increase of 34.0%, or $127.3 million, compared to $374.9 million, or 31.4% of net sales, in the prior year period. The higher gross profit margin was driven by net input cost deflation, which was partially offset by incremental promotional activity.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were $195.9 million, or 13.6% of net sales, an increase of $44.8 million compared to $151.1 million, or 12.7% of net sales, in the prior year period. SG&amp;A expenses in the nine months ended June 30, 2024 included higher employee expenses and distribution and warehousing expenses on higher volumes, as well as increased marketing and consumer advertising expenses of $7.6 million.</w:t>
      </w:r>
    </w:p>
    <w:p>
      <w:pPr>
        <w:pStyle w:val="TextBody"/>
        <w:bidi w:val="0"/>
        <w:spacing w:lineRule="auto" w:line="288" w:before="0" w:after="180"/>
        <w:jc w:val="left"/>
        <w:rPr/>
      </w:pPr>
      <w:r>
        <w:rPr>
          <w:rFonts w:ascii="Times New Roman;sans-serif" w:hAnsi="Times New Roman;sans-serif"/>
          <w:b w:val="false"/>
          <w:color w:val="000000"/>
          <w:sz w:val="20"/>
        </w:rPr>
        <w:t xml:space="preserve">Operating profit was $275.6 million, an increase of 31.7%, or $66.4 million, compared to $209.2 million in the prior year period, and was negatively impacted by $17.4 million of accelerated amortization incurred in connection with the discontinuance of the North American </w:t>
      </w:r>
      <w:r>
        <w:rPr>
          <w:rFonts w:ascii="Times New Roman;sans-serif" w:hAnsi="Times New Roman;sans-serif"/>
          <w:b w:val="false"/>
          <w:i/>
          <w:color w:val="000000"/>
          <w:sz w:val="20"/>
        </w:rPr>
        <w:t>PowerBar</w:t>
      </w:r>
      <w:r>
        <w:rPr>
          <w:color w:val="000000"/>
        </w:rPr>
        <w:t xml:space="preserve"> </w:t>
      </w:r>
      <w:r>
        <w:rPr>
          <w:rFonts w:ascii="Times New Roman;sans-serif" w:hAnsi="Times New Roman;sans-serif"/>
          <w:b w:val="false"/>
          <w:color w:val="000000"/>
          <w:sz w:val="20"/>
        </w:rPr>
        <w:t>business, which was treated as an adjustment for non-GAAP measures.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was $43.8 million and $50.8 million in the nine months ended June 30, 2024 and 2023, respectively, with the decline primarily driven by lower borrowings outstanding under the revolving credit facility. Income tax expense was $57.0 million in the nine months ended June 30, 2024, compared to $39.0 million in the nine months ended June 30, 2023. The effective income tax rate was 24.6% in both the nine months ended June 30, 2024 and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were $174.8 million, an increase of 46.4%, or $55.4 million, compared to $119.4 million in the prior year period. Net earnings per diluted common share were $1.32, an increase of 48.3%, compared to $0.89 in the prior year period. Adjusted net earnings* were $188.4 million, an increase of 53.7%, compared to $122.6 million in the prior year period. Adjusted diluted earnings per common share* were $1.42, an increase of 56.0%, compared to $0.91 in the prior year period.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was $323.7 million, an increase of 35.0%, or $83.9 million, compared to $239.8 million in the prior year period. </w:t>
      </w:r>
    </w:p>
    <w:p>
      <w:pPr>
        <w:pStyle w:val="TextBody"/>
        <w:bidi w:val="0"/>
        <w:spacing w:lineRule="auto" w:line="268" w:before="180" w:after="18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*Adjusted net earnings, Adjusted diluted earnings per common share and Adjusted EBITDA are non-GAAP measures. For additional information regarding non-GAAP measures, see the related explanations presented under “Use of Non-GAAP Measures” later in this release. </w:t>
      </w:r>
    </w:p>
    <w:p>
      <w:pPr>
        <w:pStyle w:val="TextBody"/>
        <w:bidi w:val="0"/>
        <w:spacing w:lineRule="auto" w:line="268" w:before="180" w:after="180"/>
        <w:jc w:val="left"/>
        <w:rPr>
          <w:rFonts w:ascii="Times New Roman;sans-serif" w:hAnsi="Times New Roman;sans-serif"/>
          <w:b/>
          <w:color w:val="000000"/>
          <w:sz w:val="20"/>
        </w:rPr>
      </w:pPr>
      <w:r>
        <w:rPr>
          <w:rFonts w:ascii="Times New Roman;sans-serif" w:hAnsi="Times New Roman;sans-serif"/>
          <w:b/>
          <w:color w:val="000000"/>
          <w:sz w:val="20"/>
        </w:rPr>
        <w:t>Share Repurchases</w:t>
      </w:r>
    </w:p>
    <w:p>
      <w:pPr>
        <w:pStyle w:val="TextBody"/>
        <w:bidi w:val="0"/>
        <w:spacing w:lineRule="auto" w:line="26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2024, BellRing repurchased 1.3 million shares for $73.8 million at an average price of $58.08 per share. During the nine months ended June 30, 2024, BellRing repurchased 1.9 million shares for $106.1 million at an average price of $56.18 per share. As of June 30, 2024, BellRing had $215.6 million remaining under its share repurchase authorization.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7"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fiscal year 2024, BellRing management has raised its guidance range for net sales to $1.96-$2.00 billion (from $1.93-$1.99 billion) and Adjusted EBITDA to $430-$440 million (from $400-$420 million) (resulting in net sales and Adjusted EBITDA growth of 18%-20% and 27%-30%, respectively, over fiscal year 2023). BellRing management expects fiscal year 2024 capital expenditures of approximately $4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mark-to-market adjustments on commodity hedges and other charges reflected in BellRing’s reconciliations of historical numbers, the amounts of which, based on historical experience, could be significant. For additional information regarding BellRing’s non-GAAP measures, see the related explanations presented under “Use of Non-GAAP Measures.”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Use of Non-GAAP Measures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uses certain non-GAAP measures in this release to supplement the financial measures prepared in accordance with U.S. generally accepted accounting principles (“GAAP”). These non-GAAP measures include Adjusted net earnings, Adjusted diluted earnings per common share, Adjusted EBITDA and Adjusted EBITDA as a percentage of net sales. The reconciliation of each of these non-GAAP measures to the most directly comparable GAAP measure is provided later in this release under “Explanation and Reconciliation of Non-GAAP Measures.”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certain of these non-GAAP measures, including Adjusted EBITDA and Adjusted EBITDA as a percentage of net sales,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Conference Call to Discuss Earnings Results and Outlook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will host a conference call on Tuesday, August 6, 2024 at 9:00 a.m. EDT to discuss financial results for the third quarter of fiscal year 2024 and fiscal year 2024 outlook and to respond to questions. Darcy H. Davenport, President and Chief Executive Officer, and Paul A. Rode, Chief Financial Officer, will participate in the call. </w:t>
      </w:r>
    </w:p>
    <w:p>
      <w:pPr>
        <w:pStyle w:val="TextBody"/>
        <w:bidi w:val="0"/>
        <w:spacing w:lineRule="auto" w:line="288" w:before="0" w:after="180"/>
        <w:jc w:val="left"/>
        <w:rPr/>
      </w:pPr>
      <w:r>
        <w:rPr>
          <w:rFonts w:ascii="Times New Roman;sans-serif" w:hAnsi="Times New Roman;sans-serif"/>
          <w:b w:val="false"/>
          <w:color w:val="000000"/>
          <w:sz w:val="20"/>
        </w:rPr>
        <w:t>Interested parties may join the conference call by registering in advance at the followi</w:t>
      </w:r>
      <w:r>
        <w:rPr>
          <w:rFonts w:ascii="Times New Roman;sans-serif" w:hAnsi="Times New Roman;sans-serif"/>
          <w:b w:val="false"/>
          <w:color w:val="000000"/>
          <w:sz w:val="20"/>
          <w:shd w:fill="FFFFFF" w:val="clear"/>
        </w:rPr>
        <w:t xml:space="preserve">ng link: </w:t>
      </w:r>
      <w:r>
        <w:rPr>
          <w:rFonts w:ascii="Times New Roman;sans-serif" w:hAnsi="Times New Roman;sans-serif"/>
          <w:b w:val="false"/>
          <w:color w:val="0094FF"/>
          <w:sz w:val="20"/>
          <w:u w:val="single"/>
          <w:shd w:fill="FFFFFF" w:val="clear"/>
        </w:rPr>
        <w:t>BellRing Q3 2024 Earnings Conference Call</w:t>
      </w:r>
      <w:r>
        <w:rPr>
          <w:rFonts w:ascii="Times New Roman;sans-serif" w:hAnsi="Times New Roman;sans-serif"/>
          <w:b w:val="false"/>
          <w:color w:val="000000"/>
          <w:sz w:val="20"/>
          <w:shd w:fill="FFFFFF" w:val="clear"/>
        </w:rPr>
        <w:t>. Upon registration, participants will receive a dial-in number and a unique passcode to access the conference call. Interested parties are invited to listen to the webcast of the conference call, which can be a</w:t>
      </w:r>
      <w:r>
        <w:rPr>
          <w:rFonts w:ascii="Times New Roman;sans-serif" w:hAnsi="Times New Roman;sans-serif"/>
          <w:b w:val="false"/>
          <w:color w:val="000000"/>
          <w:sz w:val="20"/>
        </w:rPr>
        <w:t xml:space="preserve">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Prospective Financial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matters discussed in this release and on BellRing’s conference call are forward-looking statements, including BellRing’s net sales, Adjusted EBITDA and capital expenditures outlook for fiscal year 2024. These forward-looking statements are sometimes identified from the use of forward-looking words such as “believe,” “should,” “could,” “potential,” “continue,” “expect,” “project,” “estimate,” “predict,” “anticipate,” “aim,” “intend,” “plan,” “forecast,” “target,” “is likely,”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8"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dependence on sales from its RTD protein shakes;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continue to compete in its product categories and its ability to retain its market position and favorable perceptions of its brands;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dependence on a limited number of third-party contract manufacturers for the manufacturing of most of its products, including one manufacturer for the majority of its RTD protein shakes;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BellRing’s third-party contract manufacturers to produce an amount of BellRing’s products that enables BellRing to meet customer and consumer demand for the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reliance on a limited number of third-party suppliers to provide certain ingredients and packaging;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volatility in the cost or availability of inputs to BellRing’s business (including freight, raw materials, packaging, energy, labor and other supplies);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anticipate and respond to changes in consumer and customer preferences and behaviors and introduce new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consolidation in BellRing’s distribution channels;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expand existing market penetration and enter into new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loss of, a significant reduction of purchases by or the bankruptcy of a major customer;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BellRing’s business due to changes in its promotional activities and seasonality;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maintain the net selling prices of its products and manage promotional activities with respect to its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obtain additional financing (including both secured and unsecured debt) and its ability to service its outstanding debt (including covenants that restrict the operation of its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accuracy of BellRing’s market data and attributes and related information;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changes in critical accounting estimates;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uncertain or unfavorable economic conditions that limit customer and consumer demand for BellRing’s products or increase its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BellRing’s ongoing relationship with Post Holdings, Inc. (“Post”) following BellRing’s separation from Post and Post’s distribution of BellRing stock to Post’s shareholders (the “Spin-off”), including BellRing’s obligations under various agreements with Post;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conflicting interests or the appearance of conflicting interests resulting from certain of BellRing’s directors also serving as officers or directors of Post;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the previously completed Spin-off;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ultimate impact litigation or other regulatory matters may have on BellRing;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associated with BellRing’s international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BellRing’s ability to protect its intellectual property and other assets and to continue to use third-party intellectual property subject to intellectual property licenses;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costs, business disruptions and reputational damage associated with technology failures, cybersecurity incidents and corruption of BellRing’s data privacy protections;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impairment in the carrying value of goodwill or other intangible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identify, complete and integrate or otherwise effectively execute acquisitions or other strategic transactions and effectively manage its growth;</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hire and retain talented personnel, employee absenteeism, labor strikes, work stoppages or unionization efforts;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satisfy the requirements of Section 404 of the Sarbanes-Oxley Act of 2002;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differences in BellRing’s actual operating results from any guidance BellRing may give regarding its performance; and</w:t>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20"/>
        </w:rPr>
        <w:t xml:space="preserve">other risks and uncertainties described in BellRing’s filings with the Securities and Exchange Commission.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9"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represent BellRing’s judgment as of the date of this release. BellRing disclaims, however, any intent or obligation to update these forward-looking statements.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About BellRing Brands, Inc. </w:t>
      </w:r>
    </w:p>
    <w:p>
      <w:pPr>
        <w:pStyle w:val="TextBody"/>
        <w:bidi w:val="0"/>
        <w:spacing w:lineRule="auto" w:line="288" w:before="0" w:after="0"/>
        <w:jc w:val="left"/>
        <w:rPr/>
      </w:pPr>
      <w:r>
        <w:rPr>
          <w:rFonts w:ascii="Times New Roman;sans-serif" w:hAnsi="Times New Roman;sans-serif"/>
          <w:b w:val="false"/>
          <w:color w:val="000000"/>
          <w:sz w:val="20"/>
        </w:rPr>
        <w:t xml:space="preserve">BellRing Brands, Inc. is a rapidly growing leader in the global convenient nutrition category offering ready-to-drink shake and powder protein products. Its primary brands, </w:t>
      </w:r>
      <w:r>
        <w:rPr>
          <w:rFonts w:ascii="Times New Roman;sans-serif" w:hAnsi="Times New Roman;sans-serif"/>
          <w:b w:val="false"/>
          <w:i/>
          <w:color w:val="000000"/>
          <w:sz w:val="20"/>
        </w:rPr>
        <w:t>Premier Protein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Dymatize</w:t>
      </w:r>
      <w:r>
        <w:rPr>
          <w:rFonts w:ascii="Times New Roman;sans-serif" w:hAnsi="Times New Roman;sans-serif"/>
          <w:b w:val="false"/>
          <w:color w:val="000000"/>
          <w:sz w:val="13"/>
        </w:rPr>
        <w:t>®</w:t>
      </w:r>
      <w:r>
        <w:rPr>
          <w:rFonts w:ascii="Times New Roman;sans-serif" w:hAnsi="Times New Roman;sans-serif"/>
          <w:b w:val="false"/>
          <w:color w:val="000000"/>
          <w:sz w:val="20"/>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Contact: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 Relations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 Meyer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jennifer.meyer@bellringbrands.com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(415) 814-9388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10"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20"/>
        </w:rPr>
        <w:t>CONDENSED CONSOLIDATED STATEMENTS OF OPERATIONS</w:t>
      </w:r>
      <w:r>
        <w:rPr>
          <w:color w:val="000000"/>
        </w:rPr>
        <w:t xml:space="preserve"> </w:t>
      </w:r>
      <w:r>
        <w:rPr>
          <w:rFonts w:ascii="Times New Roman;sans-serif" w:hAnsi="Times New Roman;sans-serif"/>
          <w:b/>
          <w:color w:val="000000"/>
          <w:sz w:val="18"/>
        </w:rPr>
        <w:t>(Unaudited)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for per share data)</w:t>
      </w:r>
    </w:p>
    <w:tbl>
      <w:tblPr>
        <w:tblW w:w="9049" w:type="dxa"/>
        <w:jc w:val="center"/>
        <w:tblInd w:w="0" w:type="dxa"/>
        <w:tblLayout w:type="fixed"/>
        <w:tblCellMar>
          <w:top w:w="28" w:type="dxa"/>
          <w:left w:w="28" w:type="dxa"/>
          <w:bottom w:w="28" w:type="dxa"/>
          <w:right w:w="28" w:type="dxa"/>
        </w:tblCellMar>
      </w:tblPr>
      <w:tblGrid>
        <w:gridCol w:w="1350"/>
        <w:gridCol w:w="1190"/>
        <w:gridCol w:w="1195"/>
        <w:gridCol w:w="234"/>
        <w:gridCol w:w="685"/>
        <w:gridCol w:w="121"/>
        <w:gridCol w:w="121"/>
        <w:gridCol w:w="121"/>
        <w:gridCol w:w="121"/>
        <w:gridCol w:w="234"/>
        <w:gridCol w:w="685"/>
        <w:gridCol w:w="121"/>
        <w:gridCol w:w="109"/>
        <w:gridCol w:w="109"/>
        <w:gridCol w:w="109"/>
        <w:gridCol w:w="211"/>
        <w:gridCol w:w="766"/>
        <w:gridCol w:w="109"/>
        <w:gridCol w:w="109"/>
        <w:gridCol w:w="109"/>
        <w:gridCol w:w="109"/>
        <w:gridCol w:w="211"/>
        <w:gridCol w:w="766"/>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9"/>
            <w:tcBorders/>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18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11"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center"/>
        <w:rPr/>
      </w:pPr>
      <w:r>
        <w:rPr>
          <w:rFonts w:ascii="Times New Roman;sans-serif" w:hAnsi="Times New Roman;sans-serif"/>
          <w:b/>
          <w:color w:val="000000"/>
          <w:sz w:val="20"/>
        </w:rPr>
        <w:t xml:space="preserve">(in millions) </w:t>
      </w:r>
      <w:r>
        <w:rPr>
          <w:color w:val="000000"/>
          <w:shd w:fill="FFFFFF" w:val="clear"/>
        </w:rPr>
        <w:t> </w:t>
      </w:r>
    </w:p>
    <w:tbl>
      <w:tblPr>
        <w:tblW w:w="6791" w:type="dxa"/>
        <w:jc w:val="center"/>
        <w:tblInd w:w="0" w:type="dxa"/>
        <w:tblLayout w:type="fixed"/>
        <w:tblCellMar>
          <w:top w:w="28" w:type="dxa"/>
          <w:left w:w="28" w:type="dxa"/>
          <w:bottom w:w="28" w:type="dxa"/>
          <w:right w:w="28" w:type="dxa"/>
        </w:tblCellMar>
      </w:tblPr>
      <w:tblGrid>
        <w:gridCol w:w="1324"/>
        <w:gridCol w:w="1164"/>
        <w:gridCol w:w="1172"/>
        <w:gridCol w:w="260"/>
        <w:gridCol w:w="760"/>
        <w:gridCol w:w="134"/>
        <w:gridCol w:w="109"/>
        <w:gridCol w:w="109"/>
        <w:gridCol w:w="109"/>
        <w:gridCol w:w="355"/>
        <w:gridCol w:w="1036"/>
        <w:gridCol w:w="259"/>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Deficit</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Deficit</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SELECTED CONDENSED CONSOLIDATED CASH FLOWS INFORMATION (Unaudited)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bl>
      <w:tblPr>
        <w:tblW w:w="7481" w:type="dxa"/>
        <w:jc w:val="center"/>
        <w:tblInd w:w="0" w:type="dxa"/>
        <w:tblLayout w:type="fixed"/>
        <w:tblCellMar>
          <w:top w:w="28" w:type="dxa"/>
          <w:left w:w="28" w:type="dxa"/>
          <w:bottom w:w="28" w:type="dxa"/>
          <w:right w:w="28" w:type="dxa"/>
        </w:tblCellMar>
      </w:tblPr>
      <w:tblGrid>
        <w:gridCol w:w="1843"/>
        <w:gridCol w:w="1618"/>
        <w:gridCol w:w="1624"/>
        <w:gridCol w:w="225"/>
        <w:gridCol w:w="659"/>
        <w:gridCol w:w="116"/>
        <w:gridCol w:w="116"/>
        <w:gridCol w:w="116"/>
        <w:gridCol w:w="116"/>
        <w:gridCol w:w="225"/>
        <w:gridCol w:w="659"/>
        <w:gridCol w:w="164"/>
      </w:tblGrid>
      <w:tr>
        <w:trPr/>
        <w:tc>
          <w:tcPr>
            <w:tcW w:w="184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in):</w:t>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12"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EXPLANATION AND RECONCILIATION OF NON-GAAP MEASURES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BellRing uses certain non-GAAP measures in this release to supplement the financial measures prepared in accordance with U.S. generally accepted accounting principles (“GAAP”). These non-GAAP measures include Adjusted net earnings, Adjusted diluted earnings per common share, Adjusted EBITDA and Adjusted EBITDA as a percentage of net sales.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net earnings and Adjusted diluted earnings per common share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believes Adjusted net earnings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 and Adjusted diluted earnings per common share are adjusted for the following items: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a.</w:t>
      </w:r>
      <w:r>
        <w:rPr>
          <w:rFonts w:ascii="Times New Roman;sans-serif" w:hAnsi="Times New Roman;sans-serif"/>
          <w:b w:val="false"/>
          <w:i/>
          <w:color w:val="000000"/>
          <w:sz w:val="20"/>
        </w:rPr>
        <w:t>Accelerated amortization</w:t>
      </w:r>
      <w:r>
        <w:rPr>
          <w:rFonts w:ascii="Times New Roman;sans-serif" w:hAnsi="Times New Roman;sans-serif"/>
          <w:b w:val="false"/>
          <w:color w:val="000000"/>
          <w:sz w:val="20"/>
        </w:rPr>
        <w:t xml:space="preserve">: BellRing has excluded non-cash accelerated amortization charges recorded in connection with the discontinuation of certain brands or the discontinuation of the use of certain brands in certain regions as the amount and frequency of such charges are not consistent. Additionally, BellRing believes that these charges do not reflect expected ongoing future operating expenses and do not contribute to a meaningful evaluation of BellRing’s current operating performance or comparisons of BellRing’s operating performance to other periods.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b.</w:t>
      </w:r>
      <w:r>
        <w:rPr>
          <w:rFonts w:ascii="Times New Roman;sans-serif" w:hAnsi="Times New Roman;sans-serif"/>
          <w:b w:val="false"/>
          <w:i/>
          <w:color w:val="000000"/>
          <w:sz w:val="20"/>
        </w:rPr>
        <w:t>Mark-to-market adjustments on commodity hedges</w:t>
      </w:r>
      <w:r>
        <w:rPr>
          <w:rFonts w:ascii="Times New Roman;sans-serif" w:hAnsi="Times New Roman;sans-serif"/>
          <w:b w:val="false"/>
          <w:color w:val="000000"/>
          <w:sz w:val="20"/>
        </w:rPr>
        <w:t>: BellRing has excluded the impact of mark-to-market adjustments on commodity hedges due to the inherent uncertainty and volatility associated with such amounts based on changes in assumptions with respect to fair value estimates. Additionally, these adjustments are primarily non-cash items and the amount and frequency of such adjustments are not consistent.</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c.</w:t>
      </w:r>
      <w:r>
        <w:rPr>
          <w:rFonts w:ascii="Times New Roman;sans-serif" w:hAnsi="Times New Roman;sans-serif"/>
          <w:b w:val="false"/>
          <w:i/>
          <w:color w:val="000000"/>
          <w:sz w:val="20"/>
        </w:rPr>
        <w:t>Foreign currency gain/loss on intercompany loans</w:t>
      </w:r>
      <w:r>
        <w:rPr>
          <w:rFonts w:ascii="Times New Roman;sans-serif" w:hAnsi="Times New Roman;sans-serif"/>
          <w:b w:val="false"/>
          <w:color w:val="000000"/>
          <w:sz w:val="20"/>
        </w:rPr>
        <w:t>: BellRing has excluded the impact of foreign currency fluctuations related to intercompany loans denominated in currencies other than the functional currency of the respective legal entity in evaluating BellRing’s performance to allow for more meaningful comparisons of performance to other periods.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d.</w:t>
      </w:r>
      <w:r>
        <w:rPr>
          <w:rFonts w:ascii="Times New Roman;sans-serif" w:hAnsi="Times New Roman;sans-serif"/>
          <w:b w:val="false"/>
          <w:i/>
          <w:color w:val="000000"/>
          <w:sz w:val="20"/>
        </w:rPr>
        <w:t>Separation costs</w:t>
      </w:r>
      <w:r>
        <w:rPr>
          <w:rFonts w:ascii="Times New Roman;sans-serif" w:hAnsi="Times New Roman;sans-serif"/>
          <w:b w:val="false"/>
          <w:color w:val="000000"/>
          <w:sz w:val="20"/>
        </w:rPr>
        <w:t>: BellRing has excluded certain expenses incurred in connection with secondary offerings of shares of BellRing common stock previously held by Post,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e.</w:t>
      </w:r>
      <w:r>
        <w:rPr>
          <w:rFonts w:ascii="Times New Roman;sans-serif" w:hAnsi="Times New Roman;sans-serif"/>
          <w:b w:val="false"/>
          <w:i/>
          <w:color w:val="000000"/>
          <w:sz w:val="20"/>
        </w:rPr>
        <w:t>Income tax effect on adjustments</w:t>
      </w:r>
      <w:r>
        <w:rPr>
          <w:rFonts w:ascii="Times New Roman;sans-serif" w:hAnsi="Times New Roman;sans-serif"/>
          <w:b w:val="false"/>
          <w:color w:val="000000"/>
          <w:sz w:val="20"/>
        </w:rPr>
        <w:t xml:space="preserve">: BellRing has included the income tax impact of the non-GAAP adjustments using a rate described in the applicable footnote of the reconciliation tables, as BellRing believes that its GAAP effective income tax rate as reported is not representative of the income tax expense impact of the adjustments.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EBITDA and Adjusted EBITDA as a percentage of net sales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BellRing believes that Adjusted EBITDA as a percentage of net sales is useful to investors in evaluating BellRing’s operating performance because it allows for more meaningful comparison of operating performance across periods.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reflects adjustments for income tax expense, interest expense, net and depreciation and amortization including accelerated amortization, and the following adjustments discussed above: mark-to-market adjustments on commodity hedges, foreign currency gain/loss on intercompany loans and separation costs. Additionally, Adjusted EBITDA reflects an adjustment for the following item:</w:t>
      </w:r>
    </w:p>
    <w:p>
      <w:pPr>
        <w:pStyle w:val="TextBody"/>
        <w:bidi w:val="0"/>
        <w:spacing w:lineRule="auto" w:line="288"/>
        <w:ind w:left="0" w:right="0" w:hanging="360"/>
        <w:jc w:val="left"/>
        <w:rPr/>
      </w:pPr>
      <w:r>
        <w:rPr>
          <w:rFonts w:ascii="Times New Roman;sans-serif" w:hAnsi="Times New Roman;sans-serif"/>
          <w:b w:val="false"/>
          <w:color w:val="000000"/>
          <w:sz w:val="20"/>
          <w:shd w:fill="FFFFFF" w:val="clear"/>
        </w:rPr>
        <w:t>f.</w:t>
      </w:r>
      <w:r>
        <w:rPr>
          <w:rFonts w:ascii="Times New Roman;sans-serif" w:hAnsi="Times New Roman;sans-serif"/>
          <w:b w:val="false"/>
          <w:i/>
          <w:color w:val="000000"/>
          <w:sz w:val="20"/>
          <w:shd w:fill="FFFFFF" w:val="clear"/>
        </w:rPr>
        <w:t>Stock-based compensation</w:t>
      </w:r>
      <w:r>
        <w:rPr>
          <w:rFonts w:ascii="Times New Roman;sans-serif" w:hAnsi="Times New Roman;sans-serif"/>
          <w:b w:val="false"/>
          <w:color w:val="000000"/>
          <w:sz w:val="20"/>
          <w:shd w:fill="FFFFFF" w:val="clear"/>
        </w:rPr>
        <w:t xml:space="preserve">: BellRing’s compensation strategy </w:t>
      </w:r>
      <w:r>
        <w:rPr>
          <w:rFonts w:ascii="Times New Roman;sans-serif" w:hAnsi="Times New Roman;sans-serif"/>
          <w:b w:val="false"/>
          <w:color w:val="000000"/>
          <w:sz w:val="20"/>
        </w:rPr>
        <w:t xml:space="preserve">includes the use of BellRing stock-based compensation to attract and retain executives and employees by aligning their long-term compensation interests with 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13"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unrelated to operational decisions and performance in any particular period and does not contribute to meaningful comparisons of BellRing’s operating performance to other periods.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RECONCILIATION OF NET EARNINGS TO ADJUSTED NET EARNINGS (Unaudited)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bl>
      <w:tblPr>
        <w:tblW w:w="10205" w:type="dxa"/>
        <w:jc w:val="center"/>
        <w:tblInd w:w="0" w:type="dxa"/>
        <w:tblLayout w:type="fixed"/>
        <w:tblCellMar>
          <w:top w:w="28" w:type="dxa"/>
          <w:left w:w="28" w:type="dxa"/>
          <w:bottom w:w="28" w:type="dxa"/>
          <w:right w:w="28" w:type="dxa"/>
        </w:tblCellMar>
      </w:tblPr>
      <w:tblGrid>
        <w:gridCol w:w="286"/>
        <w:gridCol w:w="250"/>
        <w:gridCol w:w="250"/>
        <w:gridCol w:w="1360"/>
        <w:gridCol w:w="1083"/>
        <w:gridCol w:w="902"/>
        <w:gridCol w:w="291"/>
        <w:gridCol w:w="707"/>
        <w:gridCol w:w="150"/>
        <w:gridCol w:w="150"/>
        <w:gridCol w:w="150"/>
        <w:gridCol w:w="150"/>
        <w:gridCol w:w="291"/>
        <w:gridCol w:w="707"/>
        <w:gridCol w:w="150"/>
        <w:gridCol w:w="137"/>
        <w:gridCol w:w="137"/>
        <w:gridCol w:w="137"/>
        <w:gridCol w:w="273"/>
        <w:gridCol w:w="798"/>
        <w:gridCol w:w="140"/>
        <w:gridCol w:w="140"/>
        <w:gridCol w:w="140"/>
        <w:gridCol w:w="140"/>
        <w:gridCol w:w="273"/>
        <w:gridCol w:w="798"/>
        <w:gridCol w:w="215"/>
      </w:tblGrid>
      <w:tr>
        <w:trPr/>
        <w:tc>
          <w:tcPr>
            <w:tcW w:w="2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30,</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tcPr>
          <w:p>
            <w:pPr>
              <w:pStyle w:val="TableContents"/>
              <w:bidi w:val="0"/>
              <w:spacing w:before="0" w:after="283"/>
              <w:jc w:val="left"/>
              <w:rPr>
                <w:sz w:val="4"/>
                <w:szCs w:val="4"/>
              </w:rPr>
            </w:pPr>
            <w:r>
              <w:rPr>
                <w:sz w:val="4"/>
                <w:szCs w:val="4"/>
              </w:rPr>
            </w:r>
          </w:p>
        </w:tc>
      </w:tr>
      <w:tr>
        <w:trPr/>
        <w:tc>
          <w:tcPr>
            <w:tcW w:w="413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amortization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adjustments on commodity hedges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on intercompany loans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costs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Adjustments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tax effect on adjustments </w:t>
            </w:r>
            <w:r>
              <w:rPr>
                <w:rFonts w:ascii="Times New Roman;sans-serif" w:hAnsi="Times New Roman;sans-serif"/>
                <w:b w:val="false"/>
                <w:color w:val="000000"/>
                <w:sz w:val="13"/>
              </w:rPr>
              <w:t>(1)</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tcPr>
          <w:p>
            <w:pPr>
              <w:pStyle w:val="TableContents"/>
              <w:bidi w:val="0"/>
              <w:spacing w:before="0" w:after="283"/>
              <w:jc w:val="left"/>
              <w:rPr>
                <w:sz w:val="4"/>
                <w:szCs w:val="4"/>
              </w:rPr>
            </w:pPr>
            <w:r>
              <w:rPr>
                <w:sz w:val="4"/>
                <w:szCs w:val="4"/>
              </w:rPr>
            </w:r>
          </w:p>
        </w:tc>
      </w:tr>
      <w:tr>
        <w:trPr/>
        <w:tc>
          <w:tcPr>
            <w:tcW w:w="41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Earnings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Income tax effect on adjustments was calculated on all items, except for separation costs, using a rate of 24.0%. For the nine months ended June 30, 2023, income tax effect for separation costs was calculated using a rate of 8.0%.</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RECONCILIATION OF DILUTED EARNINGS PER COMMON SHARE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ADJUSTED DILUTED EARNINGS PER COMMON SHARE (Unaudited)</w:t>
      </w:r>
    </w:p>
    <w:tbl>
      <w:tblPr>
        <w:tblW w:w="10205" w:type="dxa"/>
        <w:jc w:val="center"/>
        <w:tblInd w:w="0" w:type="dxa"/>
        <w:tblLayout w:type="fixed"/>
        <w:tblCellMar>
          <w:top w:w="28" w:type="dxa"/>
          <w:left w:w="28" w:type="dxa"/>
          <w:bottom w:w="28" w:type="dxa"/>
          <w:right w:w="28" w:type="dxa"/>
        </w:tblCellMar>
      </w:tblPr>
      <w:tblGrid>
        <w:gridCol w:w="655"/>
        <w:gridCol w:w="518"/>
        <w:gridCol w:w="518"/>
        <w:gridCol w:w="1233"/>
        <w:gridCol w:w="1187"/>
        <w:gridCol w:w="1123"/>
        <w:gridCol w:w="247"/>
        <w:gridCol w:w="599"/>
        <w:gridCol w:w="127"/>
        <w:gridCol w:w="127"/>
        <w:gridCol w:w="127"/>
        <w:gridCol w:w="127"/>
        <w:gridCol w:w="247"/>
        <w:gridCol w:w="599"/>
        <w:gridCol w:w="127"/>
        <w:gridCol w:w="109"/>
        <w:gridCol w:w="109"/>
        <w:gridCol w:w="109"/>
        <w:gridCol w:w="239"/>
        <w:gridCol w:w="580"/>
        <w:gridCol w:w="123"/>
        <w:gridCol w:w="123"/>
        <w:gridCol w:w="123"/>
        <w:gridCol w:w="123"/>
        <w:gridCol w:w="239"/>
        <w:gridCol w:w="580"/>
        <w:gridCol w:w="187"/>
      </w:tblGrid>
      <w:tr>
        <w:trPr/>
        <w:tc>
          <w:tcPr>
            <w:tcW w:w="65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30,</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 of Common Stock</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amortization</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adjustments on commodity hedges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Adjustments</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tax effect on adjustments </w:t>
            </w:r>
            <w:r>
              <w:rPr>
                <w:rFonts w:ascii="Times New Roman;sans-serif" w:hAnsi="Times New Roman;sans-serif"/>
                <w:b w:val="false"/>
                <w:color w:val="000000"/>
                <w:sz w:val="13"/>
              </w:rPr>
              <w:t>(1)</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Diluted Earnings per share of Common Stock</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Income tax effect on adjustments was calculated on all items using a rate of 24.0%.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14"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18"/>
        </w:rPr>
      </w:pPr>
      <w:r>
        <w:rPr>
          <w:rFonts w:ascii="Times New Roman;sans-serif" w:hAnsi="Times New Roman;sans-serif"/>
          <w:b/>
          <w:color w:val="000000"/>
          <w:sz w:val="18"/>
        </w:rPr>
        <w:t>RECONCILIATION OF NET EARNINGS TO ADJUSTED EBITDA (Unaudited)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bl>
      <w:tblPr>
        <w:tblW w:w="10205" w:type="dxa"/>
        <w:jc w:val="center"/>
        <w:tblInd w:w="0" w:type="dxa"/>
        <w:tblLayout w:type="fixed"/>
        <w:tblCellMar>
          <w:top w:w="28" w:type="dxa"/>
          <w:left w:w="28" w:type="dxa"/>
          <w:bottom w:w="28" w:type="dxa"/>
          <w:right w:w="28" w:type="dxa"/>
        </w:tblCellMar>
      </w:tblPr>
      <w:tblGrid>
        <w:gridCol w:w="1811"/>
        <w:gridCol w:w="1528"/>
        <w:gridCol w:w="1530"/>
        <w:gridCol w:w="212"/>
        <w:gridCol w:w="621"/>
        <w:gridCol w:w="273"/>
        <w:gridCol w:w="109"/>
        <w:gridCol w:w="109"/>
        <w:gridCol w:w="109"/>
        <w:gridCol w:w="212"/>
        <w:gridCol w:w="515"/>
        <w:gridCol w:w="273"/>
        <w:gridCol w:w="109"/>
        <w:gridCol w:w="109"/>
        <w:gridCol w:w="109"/>
        <w:gridCol w:w="211"/>
        <w:gridCol w:w="616"/>
        <w:gridCol w:w="271"/>
        <w:gridCol w:w="109"/>
        <w:gridCol w:w="109"/>
        <w:gridCol w:w="109"/>
        <w:gridCol w:w="211"/>
        <w:gridCol w:w="616"/>
        <w:gridCol w:w="324"/>
      </w:tblGrid>
      <w:tr>
        <w:trPr/>
        <w:tc>
          <w:tcPr>
            <w:tcW w:w="181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30,</w:t>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including accelerated amortization</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adjustments on commodity hedges</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on intercompany loans</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costs</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as a percentage of Net Sales</w:t>
            </w:r>
          </w:p>
        </w:tc>
        <w:tc>
          <w:tcPr>
            <w:tcW w:w="8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as a percentage of Net Sales</w:t>
            </w:r>
          </w:p>
        </w:tc>
        <w:tc>
          <w:tcPr>
            <w:tcW w:w="8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bookmarkStart w:id="0" w:name="exh992brbr3q24supplement.htm"/>
      <w:bookmarkStart w:id="1" w:name="ksexh992brbr3q24supplement"/>
      <w:bookmarkEnd w:id="0"/>
      <w:bookmarkEnd w:id="1"/>
      <w:r>
        <w:rPr/>
        <w:drawing>
          <wp:inline distT="0" distB="0" distL="0" distR="0">
            <wp:extent cx="9753600" cy="54864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16"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jc w:val="center"/>
        <w:rPr>
          <w:color w:val="FFFFFF"/>
          <w:sz w:val="2"/>
        </w:rPr>
      </w:pPr>
      <w:r>
        <w:rPr>
          <w:color w:val="FFFFFF"/>
          <w:sz w:val="2"/>
        </w:rPr>
        <w:t xml:space="preserve">Investor Presentation November 2022 August 5, 2024 Third Quarter Fiscal Year 2024 Supplemental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Certain matters discussed in this presentation and the accompanying oral presentation are forward-looking statements within the meaning of the Private Securities Litigation Reform Act of 1995. These forward-looking statements are made based on known events and circumstances at the time of presentation, and as such, are subject to uncertainty and changes in circumstances. These forward-looking statements include, among others, statements regarding BellRing Brands, Inc.’s (“BellRing”) net sales, Adjusted EBITDA and capital expenditure outlook ranges and BellRing’s prospective financial and operating performance and opportunities. These forward- 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events or developments. There are a number of risks and uncertainties that could cause actual results to differ materially from the forward-looking statements made herein. THESE RISKS AND UNCERTAINTIES INCLUDE, BUT ARE NOT LIMITED TO, THE FOLLOWING: • BellRing's dependence on sales from its ready-to-drink (“RTD”) protein shakes; • BellRing’s ability to continue to compete in its product categories and its ability to retain its market position and favorable perceptions of its brands; • 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 • BellRing’s dependence on a limited number of third-party contract manufacturers for the manufacturing of most of its products, including one manufacturer for the majority of its RTD protein shakes; • the ability of BellRing’s third-party contract manufacturers to produce an amount of BellRing’s products that enables BellRing to meet customer and consumer demand for the products; • BellRing’s reliance on a limited number of third-party suppliers to provide certain ingredients and packaging; • significant volatility in the cost or availability of inputs to BellRing’s business (including freight, raw materials, packaging, energy, labor and other supplies); • BellRing’s ability to anticipate and respond to changes in consumer and customer preferences and behaviors and introduce new products; • consolidation in BellRing’s distribution channels; • BellRing’s ability to expand existing market penetration and enter into new markets; • the loss of, a significant reduction of purchases by or the bankruptcy of a major customer; • 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 • fluctuations in BellRing’s business due to changes in its promotional activities and seasonality; • BellRing’s ability to maintain the net selling prices of its products and manage promotional activities with respect to its products; • BellRing’s ability to obtain additional financing (including both secured and unsecured debt) and its ability to service its outstanding debt (including covenants that restrict the operation of its business); • the accuracy of BellRing’s market data and attributes and related information; • changes in critical accounting estimates; Cautionary Statement Regarding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Statement Regarding Forward-Looking Statements (Cont’d) 3 (CONTINUED FROM PRIOR PAGE): • uncertain or unfavorable economic conditions that limit customer and consumer demand for BellRing’s products or increase its costs; • risks related to BellRing’s ongoing relationship with Post Holdings, Inc. (“Post”) following BellRing’s separation from Post and Post’s distribution of BellRing stock to Post’s shareholders (the “Spin-off”), including BellRing’s obligations under various agreements with Post; • conflicting interests or the appearance of conflicting interests resulting from certain of BellRing’s directors also serving as officers or directors of Post; • risks related to the previously completed Spin-off; • the ultimate impact litigation or other regulatory matters may have on BellRing; • risks associated with BellRing’s international business; • BellRing’s ability to protect its intellectual property and other assets and to continue to use third-party intellectual property subject to intellectual property licenses; • costs, business disruptions and reputational damage associated with technology failures, cybersecurity incidents and corruption of BellRing’s data privacy protections; • impairment in the carrying value of goodwill or other intangible assets; • BellRing’s ability to identify, complete and integrate or otherwise effectively execute acquisitions or other strategic transactions and effectively manage its growth; • BellRing’s ability to hire and retain talented personnel, employee absenteeism, labor strikes, work stoppages or unionization efforts; • BellRing’s ability to satisfy the requirements of Section 404 of the Sarbanes-Oxley Act of 2002; • significant differences in BellRing’s actual operating results from any guidance BellRing may give regarding its performance; and • other risks and uncertainties described in BellRing’s filings with the Securities and Exchange Commission. You should not rely upon forward-looking statements as predictions of future events. Although BellRing believes that the expectations reflected in the forward-looking statements are reasonable, BellRing cannot guarantee that the future results, levels of activity, performance or events and circumstances reflected in the forward-looking statements will be achieved or occur. Moreover, BellRing undertakes no obligation to update publicly any forward-looking statements for any reason after the date of this presentation to conform these statements to actual results or to changes in its expectations.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Information 4 Prospective Information Any prospective information provided in this presentation regarding BellRing’s future performance, including BellRing’s plans, expectations, estimates and similar statements, represents BellRing management’s estimates as of August 5, 2024 only and are qualified by, and subject to, the assumptions and the other information set forth on the slide captioned “Cautionary Statement Regarding Forward-Looking Statements.” Prospective information provided in this presentation regarding BellRing’s plans, expectations, estimates and similar statements contained in this presentation are based upon a number of assumptions and estimates that, while they may be presented with numerical specificity, are inherently subject to business, economic and competitive uncertainties and contingencies, many of which are beyond BellRing’s control, are based upon specific assumptions with respect to future business decisions, some of which will change, and are necessarily speculative in nature. It can be expected that some or all of the assumptions of the estimates will not materialize or will vary significantly from actual results. Accordingly, the information set forth herein is only an estimate as of August 5, 2024, and actual results will vary from the estimates set forth herein. It should be recognized that the reliability of any forecasted financial data diminishes the farther in the future that the data is forecast. In light of the foregoing, investors should put all prospective information in context and not rely on it. Any failure to successfully implement BellRing’s operating strategy or the occurrence of the events or circumstances set forth under “Cautionary Statement Regarding Forward- Looking Statements” could result in the actual operating results being different than the estimates set forth herein, and such differences may be adverse and material. Market and Industry Data This presentation includes industry and trade association data, forecasts and information that were prepared based, in part, upon data, forecasts and information obtained from independent trade associations, industry publications and surveys and other independent sources available to BellRing. Some data also is based on BellRing management’s good faith estimates, which are derived from management’s knowledge of the industry and from independent sources. These third-party publications and surveys generally state that the information included therein has been obtained from sources believed to be reliable, but that the publications and surveys can give no assurance as to the accuracy or completeness of such information. BellRing has not independently verified any of the data from third-party sources nor has it ascertained the underlying economic assumptions on which such data are based. Similarly, BellRing believes its internal research is reliable, even though such research has not been verified by any independent sources and BellRing cannot guarantee its accuracy or completeness. Trademarks and Service Marks Logos, trademarks, trade names and service marks mentioned in this presentation, including BellRing®, BellRing Brands®, Premier Protein®, Dymatize®, PowerBar®, Premier Protein Clear®, ISO.100®, Elite Mass®, Elite Whey Protein®, Elite 100% Whey®, Super Mass Gainer®, All9 Amino®, Pebbles®, Dunkin®, PREW.O®, Athlete’s BCAA®, PowerBar Clean WheyTM, PowerBar Protein PlusTM, Protein Nut2TM and PowerBar EnergizeTM, are currently the property of, or are under license by, BellRing or one of its subsidiaries. BellRing or one of its subsidiaries owns or has rights to use the trademarks, service marks and trade names that are used in conjunction with the operation of BellRing or its subsidiaries’ businesses. Some of the more important trademarks that BellRing or one of its subsidiaries owns or has rights to use that appear in this presentation may be registered in the United States (“U.S.”) and other jurisdictions. Each logo, trademark, trade name or service mark of any other company appearing in this presentation is owned or used under license by such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Q3 FY2024 Consumption and Key Metrics Executive Summary ● The convenient nutrition category slightly accelerated (+7%)1, with strong ready-to-drink (“RTD”) and ready-to-mix (“RTM”) growth, continuing to be partly offset by slower ready-to-eat (“RTE”) growth. ● Premier Protein RTD shake brand metrics and consumption were strong. o Consumption grew (+10%)2 in Q3 FY2024, with volumes up (+14%)2. All key channels had strong consumption growth driven by strong velocities and distribution gains. Club was the exception, with flat dollar consumption, impacted by temporary changes in assortment when compared to prior year and flavor specific out of stocks. Overall and club consumption began to accelerate in June and into July, slightly later than expected, as retailer in stocks improved and we regained distribution. o Premier Protein continued to lead the RTD shake (21%)1 and convenient nutrition category in tracked market share1. o Total household penetration grew significantly (+24%)3 with total distribution points (“TDPs”) up (+27%), both of which reached a new all-time high. ● BellRing’s powder brands continue to represent a meaningful share of the RTM category, driven by strong Premier Protein momentum. o Premier Protein powders drove strong consumption growth (+44%)2 in Q3 FY2024 and was among the leaders in growing household penetration3. o Despite recent headwinds, Dymatize remains one of the strongest brands in the category with velocities remaining in the top tertile of key customers1, and household penetration3 and distribution levels steady. ▪ Dymatize Q3 FY2024 powder consumption declined (-11%)2, weighed down by increased competitive activity, specialty softness and a tougher prior year comparable in mass and club. Notes: 1. U.S. Circana Multi Outlet + Convenience 13 weeks ended June 30, 2024. 2. U.S. Circana Multi Outlet + Convenience 13 weeks ended June 30, 2024 and management estimates of untracked channels for the 13 weeks ended July 1, 2024. 3. Numerator HH Panel 52 weeks ending 6/30/2024.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Ready-to-Drink and Ready-to-Mix Saw Strong Growth Notes: Circana U.S. Multi Outlet + Convenience. Growth % L13 L52 Dollar Volume Price/Mix Dollar Volume Price/Mix Ready-to-Drink +11% +8% +3% +14% +8% +6% Ready-to-Mix +8% +7% +1% +10% +4% +6% Ready- to-Drink 23% 19% 19% 20% 22% 20% 19% 15% 15% 17% 10% 9% 8% 12% 10% 12% Ready- to-Mix 26% 17% 19% 22% 21% 14% 14% 14% 8% 11% 6% 2% 0% 6% 14%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Premier Protein RTD Shake Growth Strong Across All Channels, Except for Club, which Accelerated in June and into July as In Stocks Improved and Distribution was Regained Premier Protein RTD Shakes $ Sales vs. Prior Year Channel 13 Weeks 52 Weeks Club -0.1% +16.5% Mass +26.3% +44.5% eCommerce +23.7% +43.8% Food +16.6% +21.8% Total Consumption (tracked + untracked channels) +9.6% +25.1% Total Tracked +12.7% +27.7% Total Untracked +5.6% +22.0% Notes: Total consumption includes tracked channels consumption (Circana U.S. Multi Outlet + Convenience 13 and 52 weeks ended June 30, 2024) and untracked channels consumption (management estimates of untracked channels for the 13 and 52 weeks ended June 30,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Premier Protein RTD Shake Trajectory Strong but Sequentially Decreased as Q2 FY2024 Promotions Cycled Out Notes: Circana U.S. Multi Outlet + Convenience and management estimates of untracked channels. Q4 Q1 Q2 Q3 Q4 Q1 Q2 Q3 -5% +15% +22% +27% +36% +29% +29% +10% YOY % Δ Includes Club Promotions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9Notes: Circana U.S. Multi Outlet + Convenience and management estimates of untracked channels. Shipments Higher than Consumption as Trade Inventory Levels Increased Late in Q3 FY2024 Premier Protein RTD Shake Consumption vs. Shipments (13 Week Quarters) Consumption and shipments closely align Trade Inventory Increase, Seasonality Impact Trade Inventory Increase Consumption Outpaced Shipments Consumption in line with Shipments Trade Inventory Increase, Seasonality Impact Consumption in line with Shipments Trade Inventory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Premier Protein RTD Shake Distribution Increased as a Result of Form and Package Expansion and Improved In Stocks Notes: Circana U.S. Multi Outlet + Convenience.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Numerator HH Panel 52 weeks ending 06/30/2024. Liquids refers to the liquid sub-category of the convenient nutrition category. Calendar Year (“CY”). Numerator metrics such as penetration are subject to potential restatement or revisions due to market definition changes or late reporters. 11 Premier Protein and the RTD Category Continued Strong Household Penetration Gains 14.2 16.5 13.8 17.1 18.9 13.8 15.9 13.3 16.3 18.0 0.0 2.0 4.0 6.0 8.0 10.0 12.0 14.0 16.0 18.0 20.0 CY 2020 CY 2021 CY 2022 CY 2023 P52 WE 06-30-24 Premier Protein Total Brand and RTD Shake Penetration HH Pen - Premier Protein Brand HH Pen - Premier Protein RTD Shakes 30g Shake Repeat Rate 51% 51% 49% 50% 51% 30g Shake Buy Rate $74 $78 $79 $85 $87 RTD 39.7 HH Pen RTD 46.9 HH Pen RTD 45.4 HH Pen +23% +24%+24%+24%+15% -16%-16%+16%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 21.1 0 5 10 15 20 25 30 4 W E 0 7 -3 1 -2 2 4 W E 0 8 -2 8 -2 2 4 W E 0 9 -2 5 -2 2 4 W E 1 0 -2 3 -2 2 4 W E 1 1 -2 0 -2 2 4 W E 1 2 -1 8 -2 2 4 W E 0 1 -1 5 -2 3 4 W E 0 2 -1 2 -2 3 4 W E 0 3 -1 2 -2 3 4 W E 0 4 -0 9 -2 3 4 W E 0 5 -0 7 -2 3 4 W E 0 6 -0 4 -2 3 4 W E 0 7 -0 2 -2 3 4 W E 0 7 -3 0 -2 3 4 W E 0 8 -2 7 -2 3 4 W E 0 9 -2 4 -2 3 4 W E 1 0 -2 2 -2 3 4 W E 1 1 -1 9 -2 3 4 W E 1 2 -1 7 -2 3 4 W E 0 1 -1 4 -2 4 4 W E 0 2 -1 1 -2 4 4 W E 0 3 -1 0 -2 4 4 W E 0 4 -0 7 -2 4 4 W E 0 5 -0 5 -2 4 4 W E 0 6 -0 2 -2 4 4 W E 0 6 -3 0 -2 4 Premier Protein RTD Shake Share Remained Strong and Rebounded in Q3 FY2024 as Shelf Presence Improved 12Notes: Circana U.S. Multi Outlet + Convenience. Trended Premier Protein RTD Shake $ Share % Club Promotion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Premier Protein Powders Continued Impressive Growth Across All Channels Notes: Total consumption includes tracked channels consumption (Circana U.S. Multi Outlet + Convenience 13 and 52 weeks ended June 30, 2024) and untracked channels consumption (management estimates of untracked channels for the 13 and 52 weeks ended June 30, 2024). Premier Protein Powders $ Sales vs. Prior Year Channel 13 Weeks 52 Weeks Mass +61.0% +69.3% eCommerce +48.1% +81.0% Food +18.5% +12.1% Total Consumption (tracked + untracked channels) +43.6% +53.0% Total Tracked +41.6% +42.7% Total Untracked +48.2% +81.0%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Premier Protein Powders Continued Strong Growth Trajectory and Sustained Consumption Highs 14Notes: Circana U.S. Multi Outlet + Convenience and management estimates of untracked channels. Q1 Q2 Q3 Q4 Q1 Q2 Q3 +59% +122% +86% +55% +66% +52% +44% YOY % Δ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Premier Protein Powders Reached All-Time Distribution Highs Notes: Circana U.S. Multi Outlet + Convenience. 95 180 50 59 0 10 20 30 40 50 60 0 50 100 150 200 % A C V TD P s Total Points of Distribution ACV Weighted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 Tracked and untracked consumption represents ~60% of total global business Dymatize Powders $ Sales vs. Prior Year Channel 13 Weeks 52 Weeks eCommerce -10.6% +6.6% Mass -3.1% +19.6% Food +3.8% +20.6% Specialty/All Other -31.7% -26.4% Club -36.0% +25.4% Total Consumption (tracked + untracked channels) -11.3% +6.2% Total Tracked -5.8% +20.4% Total Untracked -14.9% -1.7% Notes: Total consumption includes tracked channels consumption (Circana U.S. Multi Outlet + Convenience 13 and 52 weeks ended June 30, 2024) and untracked channels consumption (management estimates of untracked channels for the 13 and 52 weeks ended June 30, 2024). Dymatize Consumption Impacted by Competitive Promotions, Specialty Softness and a Tougher Comparable in Mass and Club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Dymatize Sequential Consumption Remained Stable Notes: Circana U.S. Multi Outlet + Convenience and management estimates of untracked channels. Q4 Q1 Q2 Q3 Q4 Q1 Q2 Q3 +35% +30% +38% +39% +38% +16% -8% -11% YOY % Δ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Dymatize Powder TDP Levels Remain Healthy Notes: Circana U.S. Multi Outlet + Convenience.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Trended Powders $ Share % Notes: Circana U.S. Multi Outlet + Convenience. BellRing’s Complementary Powder Portfolio Remains a Strong and Meaningful Category Player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7967</Words>
  <Characters>44892</Characters>
  <CharactersWithSpaces>52594</CharactersWithSpaces>
  <Paragraphs>633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exh992brbr3q24supplement</dc:title>
</cp:coreProperties>
</file>