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7045960" cy="5020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20945"/>
                    </a:xfrm>
                    <a:prstGeom prst="rect">
                      <a:avLst/>
                    </a:prstGeom>
                    <a:noFill/>
                  </pic:spPr>
                </pic:pic>
              </a:graphicData>
            </a:graphic>
          </wp:anchor>
        </w:drawing>
      </w:r>
    </w:p>
    <w:p>
      <w:pPr>
        <w:spacing w:after="0" w:line="49"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40" w:type="dxa"/>
            <w:vAlign w:val="bottom"/>
            <w:gridSpan w:val="7"/>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JOHNSON JENNIFER KUPERMAN</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0"/>
          </w:tcPr>
          <w:p>
            <w:pPr>
              <w:spacing w:after="0" w:line="104"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4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4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4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96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gridSpan w:val="3"/>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07/01/2022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2503 S. HANLEY ROAD</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10"/>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9"/>
          </w:tcPr>
          <w:p>
            <w:pPr>
              <w:ind w:left="260"/>
              <w:spacing w:after="0" w:line="194"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 LOUIS</w:t>
            </w:r>
          </w:p>
        </w:tc>
        <w:tc>
          <w:tcPr>
            <w:tcW w:w="2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87"/>
              </w:rPr>
              <w:t>MO</w:t>
            </w:r>
          </w:p>
        </w:tc>
        <w:tc>
          <w:tcPr>
            <w:tcW w:w="96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7"/>
                <w:szCs w:val="17"/>
                <w:color w:val="0000FF"/>
              </w:rPr>
              <w:t>63144</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00" w:type="dxa"/>
            <w:vAlign w:val="bottom"/>
            <w:gridSpan w:val="3"/>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2"/>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gridSpan w:val="3"/>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20" w:type="dxa"/>
            <w:vAlign w:val="bottom"/>
          </w:tcPr>
          <w:p>
            <w:pPr>
              <w:spacing w:after="0"/>
              <w:rPr>
                <w:sz w:val="14"/>
                <w:szCs w:val="14"/>
                <w:color w:val="auto"/>
              </w:rPr>
            </w:pPr>
          </w:p>
        </w:tc>
        <w:tc>
          <w:tcPr>
            <w:tcW w:w="1060" w:type="dxa"/>
            <w:vAlign w:val="bottom"/>
            <w:gridSpan w:val="5"/>
          </w:tcPr>
          <w:p>
            <w:pPr>
              <w:ind w:left="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jc w:val="right"/>
              <w:ind w:right="4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920" w:type="dxa"/>
            <w:vAlign w:val="bottom"/>
            <w:tcBorders>
              <w:bottom w:val="single" w:sz="8" w:color="2C2C2C"/>
            </w:tcBorders>
            <w:gridSpan w:val="3"/>
          </w:tcPr>
          <w:p>
            <w:pPr>
              <w:spacing w:after="0"/>
              <w:rPr>
                <w:sz w:val="7"/>
                <w:szCs w:val="7"/>
                <w:color w:val="auto"/>
              </w:rPr>
            </w:pPr>
          </w:p>
        </w:tc>
        <w:tc>
          <w:tcPr>
            <w:tcW w:w="1760" w:type="dxa"/>
            <w:vAlign w:val="bottom"/>
            <w:tcBorders>
              <w:bottom w:val="single" w:sz="8" w:color="2C2C2C"/>
            </w:tcBorders>
            <w:gridSpan w:val="5"/>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0" w:type="dxa"/>
            <w:vAlign w:val="bottom"/>
            <w:gridSpan w:val="17"/>
          </w:tcPr>
          <w:p>
            <w:pPr>
              <w:jc w:val="right"/>
              <w:ind w:right="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2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Exercise</w:t>
            </w:r>
          </w:p>
        </w:tc>
        <w:tc>
          <w:tcPr>
            <w:tcW w:w="9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20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BellRing</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Brands,</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Inc.</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280" w:type="dxa"/>
            <w:vAlign w:val="bottom"/>
          </w:tcPr>
          <w:p>
            <w:pPr>
              <w:spacing w:after="0"/>
              <w:rPr>
                <w:sz w:val="12"/>
                <w:szCs w:val="12"/>
                <w:color w:val="auto"/>
              </w:rPr>
            </w:pP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07/01/2022</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870.5</w:t>
            </w:r>
          </w:p>
        </w:tc>
        <w:tc>
          <w:tcPr>
            <w:tcW w:w="32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870.5</w:t>
            </w:r>
          </w:p>
        </w:tc>
        <w:tc>
          <w:tcPr>
            <w:tcW w:w="76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24.89</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8,880.97</w:t>
            </w:r>
            <w:r>
              <w:rPr>
                <w:rFonts w:ascii="Times New Roman" w:cs="Times New Roman" w:eastAsia="Times New Roman" w:hAnsi="Times New Roman"/>
                <w:sz w:val="21"/>
                <w:szCs w:val="21"/>
                <w:color w:val="008000"/>
                <w:vertAlign w:val="superscript"/>
              </w:rPr>
              <w:t>(3)</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28" w:lineRule="auto"/>
        <w:rPr>
          <w:sz w:val="20"/>
          <w:szCs w:val="20"/>
          <w:color w:val="auto"/>
        </w:rPr>
      </w:pPr>
      <w:r>
        <w:rPr>
          <w:rFonts w:ascii="Times New Roman" w:cs="Times New Roman" w:eastAsia="Times New Roman" w:hAnsi="Times New Roman"/>
          <w:sz w:val="13"/>
          <w:szCs w:val="13"/>
          <w:color w:val="0000FF"/>
        </w:rPr>
        <w:t>Stock</w:t>
      </w:r>
    </w:p>
    <w:p>
      <w:pPr>
        <w:ind w:left="80"/>
        <w:spacing w:after="0"/>
        <w:rPr>
          <w:sz w:val="20"/>
          <w:szCs w:val="20"/>
          <w:color w:val="auto"/>
        </w:rPr>
      </w:pPr>
      <w:r>
        <w:rPr>
          <w:rFonts w:ascii="Times New Roman" w:cs="Times New Roman" w:eastAsia="Times New Roman" w:hAnsi="Times New Roman"/>
          <w:sz w:val="13"/>
          <w:szCs w:val="13"/>
          <w:color w:val="0000FF"/>
        </w:rPr>
        <w:t>Equivalents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Person's retainer earned as a Director of Issuer is deferred into Issuer Common Stock equivalents under the Issuer's Deferred Compensation Plan for Directors. Reporting Person is credited with stock equivalents on a quarterly basis as soon as administratively practical following the quarter in which such retainer is earned. The value of these stock equivalents is distributed (on a one-for-one basis) in the form of Issuer Common Stock upon Reporting Person's retirement from the Board of Directors.</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equivalents have no fixed exercisable or expiration dates.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awards under the Old BellRing Deferred Compensation Plan for Directors were adjusted to account for the Cash Consideration paid to holders of Old Bell Ring common stock in the Transactions. The amount of securities beneficially owned following the reported transaction includes 739 additional Common Stock equivalents received in connection with such adjustment, which Common Stock equivalents are subject to the same terms and conditions as the underlying awards.</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07/06/2022</w:t>
            </w:r>
          </w:p>
        </w:tc>
        <w:tc>
          <w:tcPr>
            <w:tcW w:w="0" w:type="dxa"/>
            <w:vAlign w:val="bottom"/>
          </w:tcPr>
          <w:p>
            <w:pPr>
              <w:spacing w:after="0"/>
              <w:rPr>
                <w:sz w:val="1"/>
                <w:szCs w:val="1"/>
                <w:color w:val="auto"/>
              </w:rPr>
            </w:pPr>
          </w:p>
        </w:tc>
      </w:tr>
      <w:tr>
        <w:trPr>
          <w:trHeight w:val="84"/>
        </w:trPr>
        <w:tc>
          <w:tcPr>
            <w:tcW w:w="1520" w:type="dxa"/>
            <w:vAlign w:val="bottom"/>
            <w:tcBorders>
              <w:top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52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2"/>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0648"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2022-07-06T16:19:20Z</dcterms:created>
  <dcterms:modified xsi:type="dcterms:W3CDTF">2022-07-06T16:19:20Z</dcterms:modified>
</cp:coreProperties>
</file>