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Washington, D.C. 20549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88" w:before="3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11-K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lineRule="auto" w:line="288" w:before="0" w:after="0"/>
        <w:ind w:left="0" w:right="0" w:hanging="720"/>
        <w:jc w:val="center"/>
        <w:rPr/>
      </w:pPr>
      <w:r>
        <w:rPr>
          <w:rFonts w:ascii="Wingdings;sans-serif" w:hAnsi="Wingdings;sans-serif"/>
          <w:b w:val="false"/>
          <w:color w:val="000000"/>
          <w:sz w:val="24"/>
        </w:rPr>
        <w:t>x</w:t>
      </w:r>
      <w:r>
        <w:rPr>
          <w:color w:val="000000"/>
        </w:rPr>
        <w:t>    </w:t>
      </w:r>
      <w:r>
        <w:rPr>
          <w:rFonts w:ascii="Times New Roman;sans-serif" w:hAnsi="Times New Roman;sans-serif"/>
          <w:b/>
          <w:color w:val="000000"/>
          <w:sz w:val="24"/>
        </w:rPr>
        <w:t>ANNUAL REPORT PURSUANT TO SECTION 15(d) OF THE SECURITIES EXCHANGE</w:t>
      </w:r>
    </w:p>
    <w:p>
      <w:pPr>
        <w:pStyle w:val="TextBody"/>
        <w:bidi w:val="0"/>
        <w:spacing w:lineRule="auto" w:line="288" w:before="0" w:after="12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ACT OF 1934</w:t>
      </w:r>
    </w:p>
    <w:p>
      <w:pPr>
        <w:pStyle w:val="TextBody"/>
        <w:bidi w:val="0"/>
        <w:spacing w:lineRule="auto" w:line="288" w:before="0" w:after="300"/>
        <w:jc w:val="center"/>
        <w:rPr>
          <w:rFonts w:ascii="Times New Roman;sans-serif" w:hAnsi="Times New Roman;sans-serif"/>
          <w:b/>
          <w:color w:val="000000"/>
          <w:sz w:val="24"/>
        </w:rPr>
      </w:pPr>
      <w:r>
        <w:rPr>
          <w:rFonts w:ascii="Times New Roman;sans-serif" w:hAnsi="Times New Roman;sans-serif"/>
          <w:b/>
          <w:color w:val="000000"/>
          <w:sz w:val="24"/>
        </w:rPr>
        <w:t>For the year ended December 31, 2022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bidi w:val="0"/>
        <w:spacing w:lineRule="auto" w:line="288" w:before="300" w:after="283"/>
        <w:ind w:left="0" w:right="0" w:hanging="720"/>
        <w:jc w:val="center"/>
        <w:rPr/>
      </w:pPr>
      <w:r>
        <w:rPr>
          <w:rFonts w:ascii="Wingdings;sans-serif" w:hAnsi="Wingdings;sans-serif"/>
          <w:b w:val="false"/>
          <w:color w:val="000000"/>
          <w:sz w:val="24"/>
        </w:rPr>
        <w:t>o</w:t>
      </w:r>
      <w:r>
        <w:rPr>
          <w:color w:val="000000"/>
        </w:rPr>
        <w:t>    </w:t>
      </w:r>
      <w:r>
        <w:rPr>
          <w:rFonts w:ascii="Times New Roman;sans-serif" w:hAnsi="Times New Roman;sans-serif"/>
          <w:b/>
          <w:color w:val="000000"/>
          <w:sz w:val="24"/>
        </w:rPr>
        <w:t>TRANSITION REPORT PURSUANT TO SECTION 15(d) OF THE SECURITIES</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EXCHANGE ACT OF 1934</w:t>
      </w:r>
    </w:p>
    <w:p>
      <w:pPr>
        <w:pStyle w:val="TextBody"/>
        <w:bidi w:val="0"/>
        <w:spacing w:lineRule="auto" w:line="288" w:before="0" w:after="30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_____ to _____</w:t>
      </w:r>
    </w:p>
    <w:p>
      <w:pPr>
        <w:pStyle w:val="TextBody"/>
        <w:bidi w:val="0"/>
        <w:spacing w:lineRule="auto" w:line="288" w:before="0" w:after="300"/>
        <w:jc w:val="center"/>
        <w:rPr/>
      </w:pPr>
      <w:r>
        <w:rPr>
          <w:rFonts w:ascii="Times New Roman;sans-serif" w:hAnsi="Times New Roman;sans-serif"/>
          <w:b/>
          <w:color w:val="000000"/>
          <w:sz w:val="24"/>
        </w:rPr>
        <w:t xml:space="preserve">Commission File Number: </w:t>
      </w:r>
      <w:r>
        <w:rPr>
          <w:rFonts w:ascii="Times New Roman;sans-serif" w:hAnsi="Times New Roman;sans-serif"/>
          <w:b/>
          <w:color w:val="000000"/>
          <w:sz w:val="24"/>
          <w:u w:val="single"/>
        </w:rPr>
        <w:t>1-39093</w:t>
      </w:r>
    </w:p>
    <w:p>
      <w:pPr>
        <w:pStyle w:val="TextBody"/>
        <w:bidi w:val="0"/>
        <w:spacing w:lineRule="auto" w:line="288" w:before="0" w:after="30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     Full title of the plan and the address of the plan, if different from that of the issuer named below: </w:t>
      </w:r>
    </w:p>
    <w:p>
      <w:pPr>
        <w:pStyle w:val="TextBody"/>
        <w:bidi w:val="0"/>
        <w:spacing w:lineRule="auto" w:line="288" w:before="0" w:after="300"/>
        <w:jc w:val="center"/>
        <w:rPr>
          <w:rFonts w:ascii="Times New Roman;sans-serif" w:hAnsi="Times New Roman;sans-serif"/>
          <w:b/>
          <w:color w:val="000000"/>
          <w:sz w:val="32"/>
        </w:rPr>
      </w:pPr>
      <w:r>
        <w:rPr>
          <w:rFonts w:ascii="Times New Roman;sans-serif" w:hAnsi="Times New Roman;sans-serif"/>
          <w:b/>
          <w:color w:val="000000"/>
          <w:sz w:val="32"/>
        </w:rPr>
        <w:t>BellRing Brands, Inc. 401(k) Plan</w:t>
      </w:r>
    </w:p>
    <w:p>
      <w:pPr>
        <w:pStyle w:val="TextBody"/>
        <w:bidi w:val="0"/>
        <w:spacing w:lineRule="auto" w:line="288" w:before="0" w:after="0"/>
        <w:ind w:left="0" w:right="0" w:hanging="72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B.     Name of issuer of the securities held pursuant to the plan and the address of its principal executive office: </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962025"/>
                    </a:xfrm>
                    <a:prstGeom prst="rect">
                      <a:avLst/>
                    </a:prstGeom>
                  </pic:spPr>
                </pic:pic>
              </a:graphicData>
            </a:graphic>
          </wp:inline>
        </w:drawing>
      </w:r>
    </w:p>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BellRing Brands, Inc.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2503 S. Hanley Road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St. Louis, MO 63144</w:t>
      </w:r>
    </w:p>
    <w:p>
      <w:pPr>
        <w:pStyle w:val="TextBody"/>
        <w:bidi w:val="0"/>
        <w:spacing w:lineRule="auto" w:line="288" w:before="0" w:after="3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(314) 644-7600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BellRing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5401" w:type="dxa"/>
        <w:jc w:val="center"/>
        <w:tblInd w:w="0" w:type="dxa"/>
        <w:tblLayout w:type="fixed"/>
        <w:tblCellMar>
          <w:top w:w="28" w:type="dxa"/>
          <w:left w:w="28" w:type="dxa"/>
          <w:bottom w:w="28" w:type="dxa"/>
          <w:right w:w="28" w:type="dxa"/>
        </w:tblCellMar>
      </w:tblPr>
      <w:tblGrid>
        <w:gridCol w:w="1759"/>
        <w:gridCol w:w="1546"/>
        <w:gridCol w:w="1555"/>
        <w:gridCol w:w="158"/>
        <w:gridCol w:w="158"/>
        <w:gridCol w:w="225"/>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7">
              <w:r>
                <w:rPr>
                  <w:rStyle w:val="InternetLink"/>
                  <w:rFonts w:ascii="Times New Roman;sans-serif" w:hAnsi="Times New Roman;sans-serif"/>
                  <w:b w:val="false"/>
                  <w:color w:val="0000FF"/>
                  <w:sz w:val="20"/>
                  <w:u w:val="single"/>
                </w:rPr>
                <w:t>Report of Independent Registered Public Accounting Firm</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7">
              <w:r>
                <w:rPr>
                  <w:rStyle w:val="InternetLink"/>
                  <w:rFonts w:ascii="Times New Roman;sans-serif" w:hAnsi="Times New Roman;sans-serif"/>
                  <w:b w:val="false"/>
                  <w:color w:val="0000FF"/>
                  <w:sz w:val="20"/>
                  <w:u w:val="single"/>
                </w:rPr>
                <w:t>1</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10">
              <w:r>
                <w:rPr>
                  <w:rStyle w:val="InternetLink"/>
                  <w:rFonts w:ascii="Times New Roman;sans-serif" w:hAnsi="Times New Roman;sans-serif"/>
                  <w:b w:val="false"/>
                  <w:color w:val="0000FF"/>
                  <w:sz w:val="20"/>
                  <w:u w:val="single"/>
                </w:rPr>
                <w:t>Statements of Net Assets Available for Benefits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10">
              <w:r>
                <w:rPr>
                  <w:rStyle w:val="InternetLink"/>
                  <w:rFonts w:ascii="Times New Roman;sans-serif" w:hAnsi="Times New Roman;sans-serif"/>
                  <w:b w:val="false"/>
                  <w:color w:val="0000FF"/>
                  <w:sz w:val="20"/>
                  <w:u w:val="single"/>
                </w:rPr>
                <w:t>2</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13">
              <w:r>
                <w:rPr>
                  <w:rStyle w:val="InternetLink"/>
                  <w:rFonts w:ascii="Times New Roman;sans-serif" w:hAnsi="Times New Roman;sans-serif"/>
                  <w:b w:val="false"/>
                  <w:color w:val="0000FF"/>
                  <w:sz w:val="20"/>
                  <w:u w:val="single"/>
                </w:rPr>
                <w:t>Statement of Changes in Net Assets Available for Benefits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13">
              <w:r>
                <w:rPr>
                  <w:rStyle w:val="InternetLink"/>
                  <w:rFonts w:ascii="Times New Roman;sans-serif" w:hAnsi="Times New Roman;sans-serif"/>
                  <w:b w:val="false"/>
                  <w:color w:val="0000FF"/>
                  <w:sz w:val="20"/>
                  <w:u w:val="single"/>
                </w:rPr>
                <w:t>3</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16">
              <w:r>
                <w:rPr>
                  <w:rStyle w:val="InternetLink"/>
                  <w:rFonts w:ascii="Times New Roman;sans-serif" w:hAnsi="Times New Roman;sans-serif"/>
                  <w:b w:val="false"/>
                  <w:color w:val="0000FF"/>
                  <w:sz w:val="20"/>
                  <w:u w:val="single"/>
                </w:rPr>
                <w:t>Notes to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16">
              <w:r>
                <w:rPr>
                  <w:rStyle w:val="InternetLink"/>
                  <w:rFonts w:ascii="Times New Roman;sans-serif" w:hAnsi="Times New Roman;sans-serif"/>
                  <w:b w:val="false"/>
                  <w:color w:val="0000FF"/>
                  <w:sz w:val="20"/>
                  <w:u w:val="single"/>
                </w:rPr>
                <w:t>4</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37">
              <w:r>
                <w:rPr>
                  <w:rStyle w:val="InternetLink"/>
                  <w:rFonts w:ascii="Times New Roman;sans-serif" w:hAnsi="Times New Roman;sans-serif"/>
                  <w:b w:val="false"/>
                  <w:color w:val="0000FF"/>
                  <w:sz w:val="20"/>
                  <w:u w:val="single"/>
                </w:rPr>
                <w:t>Schedule of Assets (Held at End of Year)</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37">
              <w:r>
                <w:rPr>
                  <w:rStyle w:val="InternetLink"/>
                  <w:rFonts w:ascii="Times New Roman;sans-serif" w:hAnsi="Times New Roman;sans-serif"/>
                  <w:b w:val="false"/>
                  <w:color w:val="0000FF"/>
                  <w:sz w:val="20"/>
                  <w:u w:val="single"/>
                </w:rPr>
                <w:t>9</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40">
              <w:r>
                <w:rPr>
                  <w:rStyle w:val="InternetLink"/>
                  <w:rFonts w:ascii="Times New Roman;sans-serif" w:hAnsi="Times New Roman;sans-serif"/>
                  <w:b w:val="false"/>
                  <w:color w:val="0000FF"/>
                  <w:sz w:val="20"/>
                  <w:u w:val="single"/>
                </w:rPr>
                <w:t>Exhibit Index</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40">
              <w:r>
                <w:rPr>
                  <w:rStyle w:val="InternetLink"/>
                  <w:rFonts w:ascii="Times New Roman;sans-serif" w:hAnsi="Times New Roman;sans-serif"/>
                  <w:b w:val="false"/>
                  <w:color w:val="0000FF"/>
                  <w:sz w:val="20"/>
                  <w:u w:val="single"/>
                </w:rPr>
                <w:t>10</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3b9a219b27246a2b38dc53467752daa_43">
              <w:r>
                <w:rPr>
                  <w:rStyle w:val="InternetLink"/>
                  <w:rFonts w:ascii="Times New Roman;sans-serif" w:hAnsi="Times New Roman;sans-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3b9a219b27246a2b38dc53467752daa_43">
              <w:r>
                <w:rPr>
                  <w:rStyle w:val="InternetLink"/>
                  <w:rFonts w:ascii="Times New Roman;sans-serif" w:hAnsi="Times New Roman;sans-serif"/>
                  <w:b w:val="false"/>
                  <w:color w:val="0000FF"/>
                  <w:sz w:val="20"/>
                  <w:u w:val="single"/>
                </w:rPr>
                <w:t>11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Employee Benefit Trustees Committee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BellRing Brands, Inc. and Administrator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Brands, Inc. 401(k) Plan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 Louis, Missouri</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statements of net assets available for benefits of the BellRing Brands, Inc. 401(k) Plan (the “Plan”) as of December 31, 2022 and 2021, and the related statement of changes in net assets available for benefits for the year ended December 31, 2022, and the related notes and schedule (collectively referred to as the financial statements). In our opinion, the financial statements present fairly, in all material respects, the net assets available for benefits for the Plan as of December 31, 2022 and 2021, and the changes in net assets available for benefits for the year ended December 31, 2022, in conformity with accounting principles generally accepted in the United States of America.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Supplemental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supplemental information contained in the Schedule H, Line 4i-Schedule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Armanino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 Louis, Missouri</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23,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BellRing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Net Assets Available for Benefits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5567" w:type="dxa"/>
        <w:jc w:val="center"/>
        <w:tblInd w:w="0" w:type="dxa"/>
        <w:tblLayout w:type="fixed"/>
        <w:tblCellMar>
          <w:top w:w="28" w:type="dxa"/>
          <w:left w:w="28" w:type="dxa"/>
          <w:bottom w:w="28" w:type="dxa"/>
          <w:right w:w="28" w:type="dxa"/>
        </w:tblCellMar>
      </w:tblPr>
      <w:tblGrid>
        <w:gridCol w:w="1048"/>
        <w:gridCol w:w="921"/>
        <w:gridCol w:w="926"/>
        <w:gridCol w:w="211"/>
        <w:gridCol w:w="721"/>
        <w:gridCol w:w="109"/>
        <w:gridCol w:w="109"/>
        <w:gridCol w:w="109"/>
        <w:gridCol w:w="109"/>
        <w:gridCol w:w="211"/>
        <w:gridCol w:w="721"/>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participants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assets available for benefits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BellRing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Changes in Net Assets Available for Benefits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138" w:type="dxa"/>
        <w:jc w:val="center"/>
        <w:tblInd w:w="0" w:type="dxa"/>
        <w:tblLayout w:type="fixed"/>
        <w:tblCellMar>
          <w:top w:w="28" w:type="dxa"/>
          <w:left w:w="28" w:type="dxa"/>
          <w:bottom w:w="28" w:type="dxa"/>
          <w:right w:w="28" w:type="dxa"/>
        </w:tblCellMar>
      </w:tblPr>
      <w:tblGrid>
        <w:gridCol w:w="1656"/>
        <w:gridCol w:w="1457"/>
        <w:gridCol w:w="1461"/>
        <w:gridCol w:w="498"/>
        <w:gridCol w:w="1703"/>
        <w:gridCol w:w="363"/>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Additions (Reductions)</w:t>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(loss):</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 investments</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depreciation in fair value of investments</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Rollovers</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contributions</w:t>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notes receivable from participants</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additions</w:t>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Deductions</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benefits</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deductions</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deductions</w:t>
            </w:r>
          </w:p>
        </w:tc>
        <w:tc>
          <w:tcPr>
            <w:tcW w:w="2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assets available for benefits</w:t>
            </w:r>
          </w:p>
        </w:tc>
        <w:tc>
          <w:tcPr>
            <w:tcW w:w="2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BellRing Brands, Inc. 401(k) Plan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PLAN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the BellRing Brands, Inc. 401(k) Plan (the “Plan”) provides only general information. Participants should refer to the Plan document for a more complete description of the Plan’s provisions. </w:t>
      </w:r>
    </w:p>
    <w:p>
      <w:pPr>
        <w:pStyle w:val="TextBody"/>
        <w:bidi w:val="0"/>
        <w:spacing w:lineRule="auto" w:line="288" w:before="0" w:after="120"/>
        <w:jc w:val="both"/>
        <w:rPr/>
      </w:pPr>
      <w:r>
        <w:rPr>
          <w:rFonts w:ascii="Times New Roman;sans-serif" w:hAnsi="Times New Roman;sans-serif"/>
          <w:b/>
          <w:color w:val="000000"/>
          <w:sz w:val="20"/>
        </w:rPr>
        <w:t>General</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2019, BellRing Intermediate Holdings, Inc. (formerly known as BellRing Brands, Inc.) (“Old BellRing”) closed its initial public offering (the “IPO”) of its Class A common stock, $0.01 par value per share (the “Old BellRing Class A Common Stock”) and contributed the net proceeds from the IPO to BellRing Brands, LLC, a Delaware limited liability company and subsidiary of Old BellRing (“BellRing LLC”), in exchange for BellRing LLC non-voting membership units (the “BellRing LLC units”) which represented 28.5% of the economic interest in BellRing LLC as of December 31, 2021. As a result of the IPO and certain other transactions completed in connection with the IPO, BellRing LLC became the holder of the active nutrition business of Post Holdings, Inc. (“Post”). Post’s ownership of BellRing LLC units represented 71.5% of the economic interest in BellRing LLC as of December 31, 2021.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Post completed its distribution of 80.1% of its ownership interest in BellRing Brands, Inc. (formerly known as BellRing Distribution, LLC) (“BellRing”) to Post shareholders pursuant to the terms of a Transaction Agreement and Plan of Merger by and among Post, Old BellRing, BellRing and BellRing Merger Sub Corporation, a wholly-owned subsidiary of BellRing (“BellRing Merger Sub”).</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2022, BellRing converted into a Delaware corporation and changed its name to “BellRing Brands, Inc.”, and Post distributed 80.1% of its shares of BellRing common stock, $0.01 par value per share (“BellRing Common Stock”) to Post shareholders in a pro-rata distribution (the “Distribution”). Post shareholders, including Plan participants who held investments in Post common stock (see Note 4 for additional information on Post common stock), received 1.267788 shares of BellRing Common Stock for every one share of Post common stock held as of February 25,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including shares held in the Plan, was converted into one share of BellRing Common Stock and $2.97 in cash.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 The cash received by Plan participants who held investments in Old BellRing Class A Common Stock prior to the Merger was invested in age-appropriate target date retirement funds within the Plan. Subsequent to the Spin-off, Plan participants had the option to reallocate these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or the context otherwise requires, all references in this report to “the Company” refer to Old BellRing and its consolidated subsidiaries during the periods prior to the Spin-off and BellRing and its consolidated subsidiaries during the periods subsequent to the Spin-off. The term “BellRing Inc.” refers to Old BellRing during the periods prior to the Spin-off and BellRing during the periods subsequent to the Spin-off. The term “the BellRing Inc. Common Stock” generally refers to Old BellRing Class A Common Stock during the periods prior to the Spin-off and to BellRing Common Stock during the periods subsequent to the Spin-off.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consumer products holding company operating in the global convenient nutrition category and is a provider of ready-to-drink (“RTD”) protein shakes, other RTD beverages and powders.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Plan is a defined contribution plan, the purpose of which is to permit deferrals of compensation by eligible employees of the Company and of participating subsidiaries and affiliates and to provide these employees with the opportunity to invest in funds for the purpose of saving for retirement.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BellRing Inc. adopted the Plan on January 1, 2020 (the “Effective Date”).The Company employees who were participants in the Post Holdings, Inc. Savings Investment Plan (the “Post Plan”) at the Effective Date ceased participation in the Post Plan and were no longer eligible to make contributions to the Post Plan. The Company’s current employees’ account balances in the Post Plan at the time of adoption were transferred from the trust for the Post Plan to the trust for the Plan (“trust-to-trust transfer”) following the Effective Date. The Company’s former employees’ account balances that were still in the Post Plan prior to the Effective Date were not transferred in the trust-to-trust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intended to qualify as a cash or deferred profit sharing plan under section 401(k) of the Code. Certain reclassifications have been made to previously reported financial information to conform to the current period presentation.</w:t>
      </w:r>
    </w:p>
    <w:p>
      <w:pPr>
        <w:pStyle w:val="TextBody"/>
        <w:bidi w:val="0"/>
        <w:spacing w:lineRule="auto" w:line="288" w:before="0" w:after="120"/>
        <w:jc w:val="both"/>
        <w:rPr/>
      </w:pPr>
      <w:r>
        <w:rPr>
          <w:rFonts w:ascii="Times New Roman;sans-serif" w:hAnsi="Times New Roman;sans-serif"/>
          <w:b/>
          <w:color w:val="000000"/>
          <w:sz w:val="20"/>
        </w:rPr>
        <w:t>Plan Participation</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regular domestic employees are eligible to participate in the Plan subject to the Plan’s eligibility rules. Eligible employees generally may begin making employee deferrals on their date of hire. Eligibility for Company matching contributions generally begins on the first day of the calendar month following 12 months of service.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Plan Administration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 is administered by BellRing Inc., with certain ministerial functions associated with day-to-day administration delegated to Post following the IPO and during a transitional period following the Spin-off. Except for matters required by the terms of the Plan to be decided by the trustee or matters delegated to the BellRing Inc.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Contributions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pre-tax contribution amount, Roth contribution (after-tax) amount or combination of pre-tax and Roth contributions was limited to $20,500 per calendar year for each participant, and a catch-up contribution for individuals ages 50 or over was limited to $6,500 per calendar year for each participant. Subject to such limitations, participants may generally make Roth or pre-tax contributions of 1% to 50% of their compensation in 1% increments.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 contributions may be invested in any of the available investment funds. Participant contributions and earnings thereon are vested and non-forfeitable from the time made.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matches a percentage of compensation that a participant contributes to the Plan up to 6% of compensation, beginning on the first month following one year of service. Company contributions and earnings generally vest 100% upon eligibility.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Investment Options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contributions are deposited by the Company in trust funds held by Vanguard Fiduciary Trust Company (“Vanguard”) or any successor trustee as may be selected by the EBTC. The values of the trust funds change according to increases or decreases in the values of the investments, gains or losses on sales of investments held therein and income from dividends and interest. In addition, Vanguard performs all record-keeping functions for the Plan. The trustee maintains as many separate investment funds within its trust funds, with such different investment objectives, as the EBTC deems advisable. During the year ended December 31, 2022, participants were able to allocate their contributions among the available investment options, including mutual funds, collective trust funds and a BellRing Brands, Inc. Common Stock Fund.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Withdrawals, Loans and Forfeitures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 1/2 or for cases of hardship. Hardship withdrawals are limited to the amount required to meet the need created by the hardship and are made in accordance with guidelines determined by BellRing Inc., as defined within the Plan document.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due to the enactment of the Coronavirus Aid, Relief, and Economic Security Act (the “CARES Act”) on March 27, 2020, certain Plan participants qualified for a new COVID-related distribution option through December 31, 2020. Individuals who were diagnosed with (or those whose spouse or dependent was diagnosed with) COVID-19, or who experienced adverse financial consequences as a result of being quarantined, furloughed or laid off, having work hours reduced or being unable to work due to lack of childcare due to COVID-19 (“Qualified Individuals”), could choose to take COVID-related distributions of up to $100,000 in 2020 without being subject to either the usual early distribution penalty applicable to those who have not yet reached age 59 1/2 or the mandatory withholding requirement. The distribution may be returned to the Plan during a three-year period following the distribution.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 subject to certain rules and regulations, permits participants to borrow from their vested account balances. Such loans will be permitted for any purpose, provided certain Plan conditions and certain other conditions as prescribed by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law are met. Generally, participants may borrow a minimum of $1,000 up to a maximum equal to the lesser of $50,000 or 50%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termination of employment, any Company matching contributions and the earnings thereon which are not vested will be forfeited, but will be restored if the participant again becomes an eligible employee within five years after termination. Amounts forfeited are used to reduce Company matching contributions required under the Plan. Forfeitures, net of amounts restored, were immaterial during the years ended December 31, 2022 and 2021.</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Amendments and Termination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BellRing Inc. delegated authority to amend the Plan to 1) the President and Chief Executive Officer, General Counsel and Vice President of People of BellRing Inc., provided that any such amendment is not reasonably expected to increase BellRing Inc.'s liability with respect to the Plan by more than $5,000,000, determined on a present value basis, and 2) the chairman of the EBTC, provided that any such amendment is not reasonably expected to increase BellRing Inc.’s liability with respect to the Plan by more than $15,000,000, determined on a present value basis. BellRing Inc. may terminate the Plan or amend the Plan so that Company matching contributions cease. In the case of Plan termination, non-forfeitable rights to the Company matching contributions credited to a participant’s account shall automatically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are prepared using the accrual basis of accounting.</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Notes Receivable from Participants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receivable from participants are measured at their unpaid principal balance plus any accrued but unpaid interest. Delinquent participant loans are reclassified as distributions based upon the terms of the Plan document.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Payment of Benefits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Benefits are recorded upon distribution.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Investment Valuation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Plan’s investments are stated at fair value or net asset value (“NAV”) for mutual funds and collective trust funds.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are recorded on a trade-date basis. Net appreciation or depreciation in fair value of investments is comprised of net realized and unrealized gains and losses. Capital gain distributions are included in dividend income. Investment securities are exposed to various risks, such as interest rate, market and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Plan’s assets measured at fair value on a recurring basis and the basis for that measurement according to the levels in the fair value hierarchy in Accounting Standards Codification (“ASC”) Topic 820, “Fair Value Measurement.”</w:t>
      </w:r>
    </w:p>
    <w:tbl>
      <w:tblPr>
        <w:tblW w:w="6824" w:type="dxa"/>
        <w:jc w:val="left"/>
        <w:tblInd w:w="0" w:type="dxa"/>
        <w:tblLayout w:type="fixed"/>
        <w:tblCellMar>
          <w:top w:w="28" w:type="dxa"/>
          <w:left w:w="28" w:type="dxa"/>
          <w:bottom w:w="28" w:type="dxa"/>
          <w:right w:w="28" w:type="dxa"/>
        </w:tblCellMar>
      </w:tblPr>
      <w:tblGrid>
        <w:gridCol w:w="592"/>
        <w:gridCol w:w="519"/>
        <w:gridCol w:w="52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(a)As of both December 31, 2022 and 2021, the Plan’s common stock consisted of BellRing Inc. Common Stock and Post common stock transferred from the Post Plan. See Notes 1 and 4 for information regarding Post’s relationship to the Company.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valuation methodologies used for assets measured at fair value.</w:t>
      </w:r>
    </w:p>
    <w:p>
      <w:pPr>
        <w:pStyle w:val="TextBody"/>
        <w:bidi w:val="0"/>
        <w:spacing w:lineRule="auto" w:line="288" w:before="0" w:after="120"/>
        <w:jc w:val="both"/>
        <w:rPr/>
      </w:pPr>
      <w:r>
        <w:rPr>
          <w:rFonts w:ascii="Times New Roman;sans-serif" w:hAnsi="Times New Roman;sans-serif"/>
          <w:b w:val="false"/>
          <w:i/>
          <w:color w:val="000000"/>
          <w:sz w:val="20"/>
        </w:rPr>
        <w:t xml:space="preserve">Mutual Funds </w:t>
      </w:r>
      <w:r>
        <w:rPr>
          <w:color w:val="000000"/>
          <w:shd w:fill="FFFFFF" w:val="clear"/>
        </w:rPr>
        <w:t xml:space="preserve">— </w:t>
      </w:r>
      <w:r>
        <w:rPr>
          <w:rFonts w:ascii="Times New Roman;sans-serif" w:hAnsi="Times New Roman;sans-serif"/>
          <w:b w:val="false"/>
          <w:color w:val="000000"/>
          <w:sz w:val="20"/>
        </w:rPr>
        <w:t>Shares of mutual funds are valued at the daily closing price as reported by the fund. Mutual funds held by the Plan are open-ended mutual funds that are registered with the Securities and Exchange Commission. These funds are required to publish their daily NAV and to transact at that price. The mutual funds held by the Plan are deemed to be actively traded.</w:t>
      </w:r>
    </w:p>
    <w:p>
      <w:pPr>
        <w:pStyle w:val="TextBody"/>
        <w:bidi w:val="0"/>
        <w:spacing w:lineRule="auto" w:line="288" w:before="0" w:after="120"/>
        <w:jc w:val="both"/>
        <w:rPr/>
      </w:pPr>
      <w:r>
        <w:rPr>
          <w:rFonts w:ascii="Times New Roman;sans-serif" w:hAnsi="Times New Roman;sans-serif"/>
          <w:b w:val="false"/>
          <w:i/>
          <w:color w:val="000000"/>
          <w:sz w:val="20"/>
        </w:rPr>
        <w:t xml:space="preserve">Common Stock </w:t>
      </w:r>
      <w:r>
        <w:rPr>
          <w:color w:val="000000"/>
          <w:shd w:fill="FFFFFF" w:val="clear"/>
        </w:rPr>
        <w:t xml:space="preserve">— </w:t>
      </w:r>
      <w:r>
        <w:rPr>
          <w:rFonts w:ascii="Times New Roman;sans-serif" w:hAnsi="Times New Roman;sans-serif"/>
          <w:b w:val="false"/>
          <w:color w:val="000000"/>
          <w:sz w:val="20"/>
        </w:rPr>
        <w:t>The BellRing Brands, Inc. Common Stock Fund and Post Holdings, Inc. Common Stock Fund are valued at quoted market prices of shares held by the Plan on the last business day of the Plan year plus any uninvested cash holdings.</w:t>
      </w:r>
    </w:p>
    <w:p>
      <w:pPr>
        <w:pStyle w:val="TextBody"/>
        <w:bidi w:val="0"/>
        <w:spacing w:lineRule="auto" w:line="288" w:before="0" w:after="120"/>
        <w:jc w:val="both"/>
        <w:rPr/>
      </w:pPr>
      <w:r>
        <w:rPr>
          <w:rFonts w:ascii="Times New Roman;sans-serif" w:hAnsi="Times New Roman;sans-serif"/>
          <w:b w:val="false"/>
          <w:i/>
          <w:color w:val="000000"/>
          <w:sz w:val="20"/>
        </w:rPr>
        <w:t xml:space="preserve">Collective Trusts </w:t>
      </w:r>
      <w:r>
        <w:rPr>
          <w:color w:val="000000"/>
          <w:shd w:fill="FFFFFF" w:val="clear"/>
        </w:rPr>
        <w:t xml:space="preserve">— </w:t>
      </w:r>
      <w:r>
        <w:rPr>
          <w:rFonts w:ascii="Times New Roman;sans-serif" w:hAnsi="Times New Roman;sans-serif"/>
          <w:b w:val="false"/>
          <w:color w:val="000000"/>
          <w:sz w:val="20"/>
        </w:rPr>
        <w:t>The collective trusts are valued at the NAV of the units held by the Plan, which is based on the daily closing price as reported by the collective trust. These investments are determined to have a readily determinable fair value as the NAV per unit is determined and published daily and is the basis for current transactions. The collective trusts held by the Plan are deemed to be actively traded.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Statements of Net Assets Available for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4 – RELATED PARTY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Plan investments are shares of BellRing Inc. Common Stock. BellRing Inc. is the Plan sponsor and, therefore, these transactions qualify as party-in-interest transactions under the provisions of ERISA. At December 31, 2022, these shares had a total cost basis of $687,544 and a fair market value of $850,362. During 2022, the Plan purchased $121,537 and sold $83,627 of such assets, and received such assets in connection with the Spin-off with a cost basis of $126,788 and a fair market value of $183,844 (see Note 1 for further information). At December 31, 2021, these shares had a total cost basis of $509,522 and a fair market value of $630,187. During 2021, the Plan purchased $192,200 and sold $2,272 of such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Plan investments are shares of Post common stock. Prior to the Plan’s Effective Date, the Company’s employees participated in the Post Plan, which included investments in Post common stock. These investments were transferred to the Plan in the trust-to-trust transfer. Prior to the Spin-off, Post was a member of BellRing LLC and indirectly held 71.5% of the economic interest in the Company. Subsequent to the Spin-off, certain of the Company’s directors continue to serve as officers or directors of Post. As such, both prior to and subsequent to the Spin-off, transactions of Post common stock qualified as party-in-interest transactions under the provisions of ERISA. At December 31, 2022, the Company’s shares of Post common stock had a total cost basis of $260,630 and a market value of $477,859. During 2022, the Plan made no purchases of Post common stock and sold $10,731 of such assets. In addition, the cost basis of Post common stock was reduced by $126,788 in connection with the Spin-off during 2022. At December 31, 2021, these shares had a total cost basis of $396,752 and a fair market value of $609,002. During 2021, the Plan made no purchases of Post common stock and sold $113,675 of such assets.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Fees paid by the Plan for administrative services were</w:t>
      </w:r>
      <w:r>
        <w:rPr>
          <w:color w:val="EE2724"/>
        </w:rPr>
        <w:t xml:space="preserve"> </w:t>
      </w:r>
      <w:r>
        <w:rPr>
          <w:rFonts w:ascii="Times New Roman;sans-serif" w:hAnsi="Times New Roman;sans-serif"/>
          <w:b w:val="false"/>
          <w:color w:val="000000"/>
          <w:sz w:val="20"/>
        </w:rPr>
        <w:t>$19,339</w:t>
      </w:r>
      <w:r>
        <w:rPr>
          <w:color w:val="EE2724"/>
        </w:rPr>
        <w:t xml:space="preserve"> </w:t>
      </w:r>
      <w:r>
        <w:rPr>
          <w:rFonts w:ascii="Times New Roman;sans-serif" w:hAnsi="Times New Roman;sans-serif"/>
          <w:b w:val="false"/>
          <w:color w:val="000000"/>
          <w:sz w:val="20"/>
        </w:rPr>
        <w:t>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5 – INCOME TAX STATUS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 has been amended since receiving the most recent determination letter. The Plan’s administrator and legal counsel believe the Plan is currently designed and being operated in compliance with the applicable requirements of the Code.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2022,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BellRing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EIN 87-3296749 Plan 001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H, Line 4i - Schedule of Assets (Held at End of Year)</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December 31, 2022</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19"/>
        <w:gridCol w:w="1088"/>
        <w:gridCol w:w="1093"/>
        <w:gridCol w:w="1511"/>
        <w:gridCol w:w="1469"/>
        <w:gridCol w:w="1473"/>
        <w:gridCol w:w="203"/>
        <w:gridCol w:w="203"/>
        <w:gridCol w:w="156"/>
        <w:gridCol w:w="211"/>
        <w:gridCol w:w="1081"/>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445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Identity of Issuer, Borrower, Lessor or Similar Party</w:t>
            </w:r>
          </w:p>
        </w:tc>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Investment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 Value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445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Explorer Fund Admiral Shares</w:t>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Extended Market Index Fund Institutional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Federal Money Market Fund</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Institutional Index Fund</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International Growth Fund Admiral Shares</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PRIMECAP Fund Admiral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REIT Index Fund Institutional Shares</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Small-Cap Index Fund Institutional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Strategic Small-Cap Equity Fund</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Total Bond Market Index Fund Institutional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Total International Bond Index Fund Admiral Shares</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Total International Stock Index Fund Institutional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Wellington Fund Admiral Shares</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Windsor II Fund Admiral Shares</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 Shares in Registered Investment Companies</w:t>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10,636,916 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445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2020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2025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2030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2035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2040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2045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2050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2055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2060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2065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2070 Trust 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Target Retirement Income Trust I</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Trust - Vanguard Retirement Savings Trust III</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 Shares in Collective Trusts</w:t>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12,707,820 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Holdings, Inc.</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Post Holdings, Inc. Common Stock Fund</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BellRing Brands, Inc.</w:t>
            </w:r>
          </w:p>
        </w:tc>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BellRing Brands, Inc. Common Stock Fund</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w:t>
            </w:r>
          </w:p>
        </w:tc>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 (various maturity dates, 4.25% - 7.25% interest)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24,957,312 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Party-in-Interest</w:t>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Participant-directed investment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60"/>
        <w:jc w:val="center"/>
        <w:rPr/>
      </w:pPr>
      <w:r>
        <w:rPr/>
      </w:r>
    </w:p>
    <w:p>
      <w:pPr>
        <w:pStyle w:val="TextBody"/>
        <w:bidi w:val="0"/>
        <w:spacing w:lineRule="auto" w:line="331"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6073" w:type="dxa"/>
        <w:jc w:val="center"/>
        <w:tblInd w:w="0" w:type="dxa"/>
        <w:tblLayout w:type="fixed"/>
        <w:tblCellMar>
          <w:top w:w="28" w:type="dxa"/>
          <w:left w:w="28" w:type="dxa"/>
          <w:bottom w:w="28" w:type="dxa"/>
          <w:right w:w="28" w:type="dxa"/>
        </w:tblCellMar>
      </w:tblPr>
      <w:tblGrid>
        <w:gridCol w:w="385"/>
        <w:gridCol w:w="338"/>
        <w:gridCol w:w="341"/>
        <w:gridCol w:w="1463"/>
        <w:gridCol w:w="1463"/>
        <w:gridCol w:w="208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ex23-12312022.htm">
              <w:r>
                <w:rPr>
                  <w:rStyle w:val="InternetLink"/>
                  <w:rFonts w:ascii="Times New Roman;sans-serif" w:hAnsi="Times New Roman;sans-serif"/>
                  <w:b w:val="false"/>
                  <w:color w:val="0000FF"/>
                  <w:sz w:val="20"/>
                  <w:u w:val="single"/>
                </w:rPr>
                <w:t>Consent of Independent Registered Public Accounting Firm</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members of the BellRing Brands, Inc. Employee Benefit Trustees Committee have duly caused this annual report to be signed on their behalf by the undersigned hereunto duly authorized. </w:t>
      </w:r>
    </w:p>
    <w:p>
      <w:pPr>
        <w:pStyle w:val="TextBody"/>
        <w:bidi w:val="0"/>
        <w:spacing w:before="0" w:after="0"/>
        <w:jc w:val="left"/>
        <w:rPr/>
      </w:pPr>
      <w:r>
        <w:rPr/>
      </w:r>
    </w:p>
    <w:tbl>
      <w:tblPr>
        <w:tblW w:w="5966" w:type="dxa"/>
        <w:jc w:val="center"/>
        <w:tblInd w:w="0" w:type="dxa"/>
        <w:tblLayout w:type="fixed"/>
        <w:tblCellMar>
          <w:top w:w="28" w:type="dxa"/>
          <w:left w:w="28" w:type="dxa"/>
          <w:bottom w:w="28" w:type="dxa"/>
          <w:right w:w="28" w:type="dxa"/>
        </w:tblCellMar>
      </w:tblPr>
      <w:tblGrid>
        <w:gridCol w:w="629"/>
        <w:gridCol w:w="554"/>
        <w:gridCol w:w="557"/>
        <w:gridCol w:w="314"/>
        <w:gridCol w:w="314"/>
        <w:gridCol w:w="314"/>
        <w:gridCol w:w="955"/>
        <w:gridCol w:w="955"/>
        <w:gridCol w:w="137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23, 2023</w:t>
            </w:r>
          </w:p>
        </w:tc>
        <w:tc>
          <w:tcPr>
            <w:tcW w:w="4226" w:type="dxa"/>
            <w:gridSpan w:val="6"/>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color w:val="000000"/>
                <w:sz w:val="20"/>
              </w:rPr>
              <w:t>BellRing Brands, Inc.</w:t>
            </w:r>
            <w:r>
              <w:rPr>
                <w:color w:val="000000"/>
              </w:rPr>
              <w:t xml:space="preserve">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401(k) Plan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Rode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Paul A. Rode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BellRing Brands,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Trustees Committee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12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33" w:before="0" w:after="12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incorporation by reference in the Registration Statement Form S-8 (No. 333-238306) of BellRing Brands, Inc. of our report dated June 23, 2023, relating to our audit of the BellRing Brands, Inc. 401(k) Plan financial statements and the related supplemental Schedule of Assets (Held at End of Year) which appears in this Annual Report on Form 11-K of the BellRing Brands, Inc. 401(k) Plan for the year ended December 31, 2022.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Armanino LLP</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 Louis, Missouri</w:t>
      </w:r>
    </w:p>
    <w:p>
      <w:pPr>
        <w:pStyle w:val="TextBody"/>
        <w:bidi w:val="0"/>
        <w:spacing w:lineRule="auto" w:line="333"/>
        <w:jc w:val="both"/>
        <w:rPr>
          <w:rFonts w:ascii="Times New Roman;sans-serif" w:hAnsi="Times New Roman;sans-serif"/>
          <w:b w:val="false"/>
          <w:color w:val="000000"/>
          <w:sz w:val="20"/>
        </w:rPr>
      </w:pPr>
      <w:r>
        <w:rPr>
          <w:rFonts w:ascii="Times New Roman;sans-serif" w:hAnsi="Times New Roman;sans-serif"/>
          <w:b w:val="false"/>
          <w:color w:val="000000"/>
          <w:sz w:val="20"/>
        </w:rPr>
        <w:t>June 23, 2023</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4865</Words>
  <Characters>26448</Characters>
  <CharactersWithSpaces>31018</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