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sz w:val="24"/>
          <w:szCs w:val="24"/>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0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582295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-44450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-27305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On May 5, 2022, BellRing Brands, Inc. (the "Company") issued a press release announcing results for its second fiscal quarter ended March 31, 2022 and providing a financial outlook for fiscal year 2022. A copy of the press release is attached hereto as Exhibit 99.1 and incorporated herein by reference. In addition, on May 5, 2022, the Company published to the "Investor Relations" section of its website, www.bellringbrands.com, a supplemental presentation related to results for its second fiscal quarter ended March 31, 2022. A copy of the presentation is attached hereto as Exhibit 99.2 and incorporated herein by reference.</w:t>
      </w:r>
    </w:p>
    <w:p>
      <w:pPr>
        <w:spacing w:after="0" w:line="1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1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Press Release dated May 5, 2022</w:t>
            </w:r>
          </w:p>
        </w:tc>
        <w:tc>
          <w:tcPr>
            <w:tcW w:w="7460" w:type="dxa"/>
            <w:vAlign w:val="bottom"/>
            <w:gridSpan w:val="2"/>
          </w:tcPr>
          <w:p>
            <w:pPr>
              <w:spacing w:after="0"/>
              <w:rPr>
                <w:sz w:val="20"/>
                <w:szCs w:val="20"/>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Second Fiscal Quarter Ended March 31, 2022 Supplemental Presentation</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Date: May 5, 2022</w:t>
            </w:r>
          </w:p>
        </w:tc>
        <w:tc>
          <w:tcPr>
            <w:tcW w:w="786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220" w:type="dxa"/>
            <w:vAlign w:val="bottom"/>
          </w:tcPr>
          <w:p>
            <w:pPr>
              <w:spacing w:after="0"/>
              <w:rPr>
                <w:sz w:val="19"/>
                <w:szCs w:val="19"/>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220" w:type="dxa"/>
            <w:vAlign w:val="bottom"/>
          </w:tcPr>
          <w:p>
            <w:pPr>
              <w:spacing w:after="0"/>
              <w:rPr>
                <w:sz w:val="24"/>
                <w:szCs w:val="24"/>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220" w:type="dxa"/>
            <w:vAlign w:val="bottom"/>
          </w:tcPr>
          <w:p>
            <w:pPr>
              <w:spacing w:after="0"/>
              <w:rPr>
                <w:sz w:val="17"/>
                <w:szCs w:val="17"/>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220" w:type="dxa"/>
            <w:vAlign w:val="bottom"/>
          </w:tcPr>
          <w:p>
            <w:pPr>
              <w:spacing w:after="0"/>
              <w:rPr>
                <w:sz w:val="13"/>
                <w:szCs w:val="13"/>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10001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Second Quarter of Fiscal Year 2022; Raises Fiscal Year 2022 Outlook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May 5, 2022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second fiscal quarter ended March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Second quarter net sales of $315.2 million</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$33.2 million; net earnings available to common stockholders of $1.3 million and Adjusted EBITDA of $50.9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Raised fiscal year 2022 net sales guidance to $1.39-$1.43 billion and Adjusted EBITDA (non-GAAP) guidance to $258-$268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118"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2"/>
          <w:szCs w:val="12"/>
          <w:color w:val="auto"/>
        </w:rPr>
        <w:t>On March 10, 2022, Post Holdings, Inc.’s (“Post”) distribution to its shareholders of 80.1% of its interest in BellRing was completed (the “Distribution” and, together with the other transactions described in “Spin-off from Post,” the “Spin-off”). As a result of the Spin-off, BellRing became the new public parent company of, and successor issuer to, BellRing Intermediate Holdings, Inc. (which was previously named “BellRing Brands, Inc.” and is now a wholly-owned subsidiary of BellRing) (“Old BellRing”). BellRing was previously named “BellRing Distribution, LLC” and was renamed “BellRing Brands, Inc.” upon conversion to a Delaware corporation. Please see “Spin-off from Post” later in this release for more information.</w:t>
      </w:r>
    </w:p>
    <w:p>
      <w:pPr>
        <w:spacing w:after="0" w:line="8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From October 21, 2019 through March 10, 2022, BellRing allocated a portion of the consolidated net earnings of BellRing Brands, LLC (“BellRing LLC”) to its redeemable noncontrolling interest (“NCI”), reflecting the entitlement of Post to a portion of the consolidated net earnings. Subsequent to the Spin-off, there was no NCI in the consolidated net earnings of BellRing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Second Quarter Operating Results</w:t>
      </w:r>
    </w:p>
    <w:p>
      <w:pPr>
        <w:spacing w:after="0" w:line="1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2"/>
          <w:szCs w:val="12"/>
          <w:color w:val="auto"/>
        </w:rPr>
        <w:t xml:space="preserve">Net sales were $315.2 million, an increase of 11.7%, or $33.1 million, compared to the prior year period.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6.5% and volumes declined 4.4%;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 net sales increased 8.4% and volumes declined 3.9%.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benefited from higher average net selling prices driven by reduced promotional activity and price increases. As discussed in previous earnings releases, capacity constraints across the broader shake contract manufacturer network have resulted in certain products placed on allocation and reduced demand-driving promotional activity which caused an expected reduction in volumes sold when compared to the prior year period.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54.9%, with volumes up 25.1%, and benefited from (i) higher average net selling prices (driven by price increases and a favorable product and customer mix), (ii) strong velocities driven in part by continued category momentum and (iii) distribution gains. Net sales of all other products decreased 12.9%.</w:t>
      </w:r>
    </w:p>
    <w:p>
      <w:pPr>
        <w:spacing w:after="0" w:line="86"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RTD shakes decreased 2.0%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United States (“U.S.”) powder products increased 45.6% in the 13-week period ended April 2, 2022, as compared to the same period in 2021 (inclusive of NielsenIQ Total US xAOC including Convenience and management estimates of untracked channels).</w:t>
      </w:r>
    </w:p>
    <w:p>
      <w:pPr>
        <w:spacing w:after="0" w:line="73"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Gross profit was $87.0 million, or 27.6% of net sales, flat compared to $87.0 million, or 30.8% of net sales, in the prior year period. The lower gross profit margin was driven by higher raw material costs (predominantly dairy-based proteins) and freight, as well as higher-than-expected logistics inefficiencies (which resulted from capacity constraints).</w:t>
      </w:r>
    </w:p>
    <w:p>
      <w:pPr>
        <w:spacing w:after="0" w:line="75"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(“SG&amp;A”) expenses were $48.9 million, or 15.5% of net sales, an increase of $0.7 million compared to $48.2 million, or 17.1% of net sales, in the prior year period. SG&amp;A expenses in the second quarter of 2022 included $10.3 million of separation costs related to the Spin-off. SG&amp;A expenses in the second quarter of 2021 included $0.7</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color w:val="auto"/>
        </w:rPr>
        <w:t>million of restructuring and facility closure costs. Separation costs and restructuring and facility closure costs were treated as adjustments for non-GAAP measures.</w:t>
      </w:r>
    </w:p>
    <w:p>
      <w:pPr>
        <w:spacing w:after="0" w:line="11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Operating profit was $33.2 million, an increase of 112.8%, or $17.6 million, compared to $15.6 million in the prior year period. Operating profit in the second quarter of 2021 was negatively impacted by $17.7 million of accelerated amortization, which was incurred in connection with the discontinuance of a brand and was treated as an adjustment for non-GAAP measures.</w:t>
      </w:r>
    </w:p>
    <w:p>
      <w:pPr>
        <w:spacing w:after="0" w:line="7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Net earnings available to common stockholders was $1.3 million, an increase of 116.7%, or $0.7 million, compared to $0.6 million in the prior year period. Net earnings included loss on extinguishment and refinancing of debt of $17.6 million and $1.5 million in the second quarter of 2022 and 2021, respectively, which is discussed later in this release and was treated as an adjustment for non-GAAP measures. Net earnings available to common stockholders excluded $2.6 million of net earnings attributable to the Company’s redeemable NCI, compared to $1.9 million excluded in the prior year period. Net earnings per diluted share of common stock were $0.02 in both the second quarter of 2022 and 2021. Adjusted net earnings available to common stockholders were $14.5 million, or $0.23 per diluted share of common stock, compared to $5.0 million, or $0.13 per diluted share of common stock, in the prior year period.</w:t>
      </w:r>
    </w:p>
    <w:p>
      <w:pPr>
        <w:spacing w:after="0" w:line="8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Adjusted EBITDA was $50.9 million, an increase of 20.6%, or $8.7 million, compared to $42.2 million in the prior year period. Adjusted EBITDA in both periods included an adjustment for the portion of BellRing LLC’s consolidated net earnings which was allocated to NCI in the periods prior to the Spin-off, resulting in the calculation of Adjusted EBITDA including 100% of BellRing.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Six Month Operating Results</w:t>
      </w:r>
    </w:p>
    <w:p>
      <w:pPr>
        <w:spacing w:after="0" w:line="116"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2"/>
          <w:szCs w:val="12"/>
          <w:color w:val="auto"/>
        </w:rPr>
        <w:t xml:space="preserve">Net sales were $621.7 million, an increase of 10.1%, or $57.2 million, compared to the prior year period.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5.5%, with volumes down 5.6%.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48.2%, with volumes up 16.3%. Net sales of all other products decreased 5.5%.</w:t>
      </w:r>
    </w:p>
    <w:p>
      <w:pPr>
        <w:spacing w:after="0" w:line="73"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Gross profit was $179.3 million, or 28.8% of net sales, an increase of 0.2%, or $0.4 million, compared to $178.9 million, or 31.7% of net sales, in the prior year period. The lower gross profit margin was driven by higher raw material costs (predominantly dairy-based proteins) and freight, as well as logistics inefficiencies (which resulted from capacity constraints).</w:t>
      </w:r>
    </w:p>
    <w:p>
      <w:pPr>
        <w:spacing w:after="0" w:line="7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SG&amp;A expenses were $85.7 million, or 13.8% of net sales, a decrease of $0.8 million compared to $86.5 million, or 15.3% of net sales, in the prior year period. SG&amp;A expenses in the six months ended March 31, 2022 included $12.3 million of separation costs related to the Spin-off. SG&amp;A expenses in the six months ended March 31, 2021 included $5.3 million of restructuring and facility closure costs. Separation costs and restructuring and facility closure costs were treated as adjustments for non-GAAP measures.</w:t>
      </w:r>
    </w:p>
    <w:p>
      <w:pPr>
        <w:spacing w:after="0" w:line="83"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Operating profit was $83.8 million, an increase of 32.2%, or $20.4 million, compared to $63.4 million in the prior year period. Operating profit in the six months ended March 31, 2021 was negatively impacted by $18.1 million of accelerated amortization, which was incurred in connection with the discontinuance of a brand and was treated as an adjustment for non-GAAP measures.</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Net earnings available to common stockholders were $9.5 million, an increase of 13.1%, or $1.1 million, compared to $8.4 million in the prior year period. Net earnings included loss on extinguishment and refinancing of debt of $17.6 million and $1.5 million in the six months ended March 31, 2022 and 2021, respectively, which is discussed later in this release and was treated as an adjustment for non-GAAP measures. Net earnings available to common stockholders excluded $33.7 million of net earnings attributable to the Company’s redeemable NCI, compared to $27.0 million excluded in the prior year period. Net earnings per diluted share of common stock were $0.19, compared to $0.21 in the prior year period. Adjusted net earnings available to common stockholders were $24.5 million, or $0.48 per diluted share of common stock, compared to $13.8 million, or $0.35 per diluted share of common stock, in the prior year period.</w:t>
      </w:r>
    </w:p>
    <w:p>
      <w:pPr>
        <w:spacing w:after="0" w:line="89"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12"/>
          <w:szCs w:val="12"/>
          <w:color w:val="auto"/>
        </w:rPr>
        <w:t>Adjusted EBITDA was $110.7 million, an increase of 7.6%, or $7.8 million, compared to $102.9 million in the prior year period. Adjusted EBITDA in both periods included an adjustment for the portion of BellRing LLC’s consolidated net earnings which was allocated to NCI in the periods prior to the Spin-off, resulting in the calculation of Adjusted EBITDA including 100% of BellRing.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Loss on Extinguishment and Refinancing of Debt and Income Tax</w:t>
      </w:r>
    </w:p>
    <w:p>
      <w:pPr>
        <w:spacing w:after="0" w:line="118"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Interest expense, net was $8.5 million in the second quarter of 2022, compared to $11.3 million in the second quarter of 2021. Interest expense, net was $16.9 million in the six months ended March 31, 2022, compared to $24.1 million in the six months ended March 31, 2021. The decrease in both periods was primarily driven by a reduction in the average amount of aggregate principal amount of debt outstanding during the current year period when compared to the prior year period. As of March 31,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80"/>
          </w:cols>
          <w:pgMar w:left="300" w:top="64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2022, BellRing had $949.0 million in total principal value of debt. Please see “Spin-off from Post” later in this release for more information on the change in debt that occurred in the second quarter of 2022.</w:t>
      </w:r>
    </w:p>
    <w:p>
      <w:pPr>
        <w:spacing w:after="0" w:line="11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Loss on extinguishment of debt, net of $17.6 million was recorded in the three and six months ended March 31, 2022 in connection with BellRing LLC’s repayment of the entire principal balance of its term loan and termination of its prior credit agreement. Loss on refinancing of debt, net of $1.5 million was recorded in the three and six months ended March 31, 2021 in connection with an opportunistic repricing of BellRing LLC’s term loan.</w:t>
      </w:r>
    </w:p>
    <w:p>
      <w:pPr>
        <w:spacing w:after="0" w:line="7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Income tax expense was $3.2 million in the second quarter of 2022, an effective income tax rate of 45.1%, compared to $0.3 million in the second quarter of 2021, an effective income tax rate of 10.7%. Income tax expense was $6.1 million in the six months ended March 31, 2022, an effective income tax rate of 12.4%, compared to $2.4 million in the six months ended March 31, 2021, an effective income tax rate of 6.3% in the prior year period. In the three and six months ended March 31, 2022, the increase in the effective income tax rate was driven primarily by (i) certain separation-related expenses incurred in connection with the Spin-off that were treated as non-deductible and (ii) inclusion of 100% of the items of income, gain, loss and deduction of BellRing LLC in the periods subsequent to the Spin-off. In the three and six months ended March 31, 2021, the effective income tax rate differed significantly from the statutory rate as a result of taking into account for U.S. federal, state and local income tax purposes its distributive share of the items of income, gain, loss and deduction of BellRing LLC in the periods prior to the Spin-off.</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BellRing did not repurchase any shares of its common stock during the second quarter of 2022. During the six months ended March 31, 2022, BellRing repurchased 0.8 million shares of its common stock for $18.1 million at an average price of $23.34 per share. In connection with the Spin-off, the 0.8 million shares held in treasury stock were cancelled.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Spin-off from Post</w:t>
      </w:r>
    </w:p>
    <w:p>
      <w:pPr>
        <w:spacing w:after="0" w:line="118"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On March 10, 2022, Post completed the Distribution of 80.1% of Post’s interest in the BellRing business to Post shareholders through a distribution of 78.1 million shares of common stock of BellRing on a pro rata basis in which Post shareholders received 1.267788 shares of BellRing common stock for each share of Post common stock held as of February 25, 2022. Post retained 19.4 million shares of BellRing common stock and as of March 31, 2022, Post owned 14.2% of BellRing common stock. As of March 31, 2022, there were 136.4 million shares of BellRing common stock outstanding.</w:t>
      </w:r>
    </w:p>
    <w:p>
      <w:pPr>
        <w:spacing w:after="0" w:line="8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At the time of the Distribution, a subsidiary of BellRing merged with and into Old BellRing and each outstanding share of Old BellRing Class A common stock was converted into one share of BellRing common stock and $2.97 in cash. As a result of certain contributions made in connection with the transaction, BellRing received $550.4 million from Post in exchange for certain limited liability company interests of BellRing (prior to the conversion of BellRing into a Delaware corporation) and the right to receive $840.0 million in aggregate principal amount of BellRing’s senior notes described below.</w:t>
      </w:r>
    </w:p>
    <w:p>
      <w:pPr>
        <w:spacing w:after="0" w:line="8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connection with the Spin-off, (i) BellRing issued $840.0 million in aggregate principal amount of 7.00% senior notes due 2030 and borrowed $109.0 million in aggregate principal amount under a new revolving credit agreement, and (ii) BellRing LLC repaid the entire principal balance of $519.8 million outstanding under its term loan.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COVID-19 Commentary</w:t>
      </w:r>
    </w:p>
    <w:p>
      <w:pPr>
        <w:spacing w:after="0" w:line="11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BellRing continues to closely monitor the impact of the COVID-19 pandemic on its business and remains focused on ensuring the health and safety of its employees and serving customers and consumers. BellRing’s primary categories returned to growth rates in line with their pre-pandemic levels during the fourth quarter of fiscal year 2020 and have remained strong in subsequent periods.</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As the overall economy continues to recover from the impact of the COVID-19 pandemic, input and freight inflation and labor and input availability are pressuring BellRing’s supply chain. Lower than anticipated production and delays in capacity expansion across the broader third party shake contract manufacturer network have resulted in low inventories and missed sales. Service levels and fill rates remain below normal levels, and certain products have been placed on allocation. These factors are improving but expected to persist throughout fiscal year 2022 and are dependent upon BellRing’s contract manufacturer partners’ ability to deliver committed volumes, add capacity on expected timelines, retain manufacturing staff and rebuild inventory levels. Raw material, packaging and freight inflation has been widespread, rapid and significant, and has put downward pressure on profit margins. As a result, BellRing has taken pricing actions on nearly all products.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80"/>
          </w:cols>
          <w:pgMar w:left="300" w:top="64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For fiscal year 2022, BellRing management has raised its guidance range for net sales to $1.39-$1.43 billion from $1.36-$1.41 billion and Adjusted EBITDA to $258-$268 million from $255-$265 million (resulting in net sales and Adjusted EBITDA growth of 11%-15% and 10%-15%, respectively, over fiscal year 2021). Gross margins are expected to improve in the second half of fiscal year 2022 when compared to the first half of fiscal year 2022 as a result of recent pricing actions. BellRing management expects fiscal year 2022 capital expenditures of approximately $3 million.</w:t>
      </w:r>
    </w:p>
    <w:p>
      <w:pPr>
        <w:spacing w:after="0" w:line="8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loss on extinguishment and refinancing of debt, separation costs, restructuring and facility closures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Friday, May 6, 2022 at 10:30 a.m. EDT to discuss financial results for the second quarter of fiscal year 2022 and fiscal year 2022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dialing (866) 831-8713 in the United States and (203) 518-9713 from outside of the United States. The conference identification number is BRBRQ222.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8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A replay of the conference call will be available through Friday, May 13, 2022 by dialing (800) 934-7879 in the United States and (402) 220-6986 from outside of the United States. A webcast replay also will be available for a limited period on BellRing’s website in the Investor Relations section.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60"/>
          </w:cols>
          <w:pgMar w:left="300" w:top="63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Adjusted EBITDA and capital expenditures outlook for fiscal year 2022, the effect of the COVID-19 pandemic on BellRing’s business and BellRing’s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1" w:lineRule="exact"/>
        <w:rPr>
          <w:sz w:val="20"/>
          <w:szCs w:val="20"/>
          <w:color w:val="auto"/>
        </w:rPr>
      </w:pPr>
    </w:p>
    <w:p>
      <w:pPr>
        <w:ind w:left="420" w:right="10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COVID-19 pandemic, including negative impacts on the global economy and capital markets, the health of BellRing’s employees, BellRing’s ability and the ability of its third party contract manufacturers to manufacture and deliver its products, operating costs, demand for its on-the-go products and its operations generally;</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jc w:val="both"/>
        <w:ind w:left="420" w:right="6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a limited number of third party contract manufacturers for the manufacturing of most of its products, including one manufacturer for the substantial majority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 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 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16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high leverage, its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estimates in critical accounting judgments;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downturns that limit customer and consumer demand for BellRing’s products;</w:t>
      </w:r>
    </w:p>
    <w:p>
      <w:pPr>
        <w:spacing w:after="0" w:line="6" w:lineRule="exact"/>
        <w:rPr>
          <w:rFonts w:ascii="Times New Roman" w:cs="Times New Roman" w:eastAsia="Times New Roman" w:hAnsi="Times New Roman"/>
          <w:sz w:val="12"/>
          <w:szCs w:val="12"/>
          <w:color w:val="auto"/>
        </w:rPr>
      </w:pPr>
    </w:p>
    <w:p>
      <w:pPr>
        <w:ind w:left="420" w:right="16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following the Spin-off, including BellRing’s obligations under various agreements with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 including BellRing’s inability to take certain actions because such actions could jeopardize the tax-free status of the Distribution and BellRing’s possible responsibility for U.S. federal tax liabilities related to the Distribution;</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 party intellectual property subject to intellectual property licenses;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80"/>
          </w:cols>
          <w:pgMar w:left="300" w:top="638" w:right="319" w:bottom="1440" w:gutter="0" w:footer="0" w:header="0"/>
        </w:sectPr>
      </w:pPr>
    </w:p>
    <w:bookmarkStart w:id="8" w:name="page9"/>
    <w:bookmarkEnd w:id="8"/>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information technology failures, cybersecurity incidents and/or information security breaches;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BellRing’s guidance regarding its performance;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(314) 644-7665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 Hanly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(314) 665-3180</w:t>
      </w:r>
    </w:p>
    <w:p>
      <w:pPr>
        <w:spacing w:after="0" w:line="3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160"/>
          </w:cols>
          <w:pgMar w:left="300" w:top="642"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660" w:type="dxa"/>
            <w:vAlign w:val="bottom"/>
          </w:tcPr>
          <w:p>
            <w:pPr>
              <w:spacing w:after="0"/>
              <w:rPr>
                <w:sz w:val="10"/>
                <w:szCs w:val="10"/>
                <w:color w:val="auto"/>
              </w:rPr>
            </w:pPr>
          </w:p>
        </w:tc>
      </w:tr>
      <w:tr>
        <w:trPr>
          <w:trHeight w:val="143"/>
        </w:trPr>
        <w:tc>
          <w:tcPr>
            <w:tcW w:w="6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6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282.1</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621.7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w:t>
            </w:r>
          </w:p>
        </w:tc>
      </w:tr>
      <w:tr>
        <w:trPr>
          <w:trHeight w:val="153"/>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228.2</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195.1</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442.4</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385.6</w:t>
            </w:r>
          </w:p>
        </w:tc>
      </w:tr>
      <w:tr>
        <w:trPr>
          <w:trHeight w:val="142"/>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179.3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178.9</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85.7</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9.8</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Other operating income, net</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83.8</w:t>
            </w: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16.9</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17.6</w:t>
            </w:r>
          </w:p>
        </w:tc>
        <w:tc>
          <w:tcPr>
            <w:tcW w:w="2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2"/>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6.1</w:t>
            </w:r>
          </w:p>
        </w:tc>
        <w:tc>
          <w:tcPr>
            <w:tcW w:w="2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42"/>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Earnings Including Redeemable Noncontrolling Interest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43.2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earnings attributable to redeemable noncontrolling interest</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33.7</w:t>
            </w:r>
          </w:p>
        </w:tc>
        <w:tc>
          <w:tcPr>
            <w:tcW w:w="2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r>
      <w:tr>
        <w:trPr>
          <w:trHeight w:val="158"/>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9.5</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53"/>
        </w:trPr>
        <w:tc>
          <w:tcPr>
            <w:tcW w:w="6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per share of Common Stock:</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0.19</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0.21</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4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34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0.19</w:t>
            </w:r>
          </w:p>
        </w:tc>
        <w:tc>
          <w:tcPr>
            <w:tcW w:w="22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0.21</w:t>
            </w:r>
          </w:p>
        </w:tc>
      </w:tr>
      <w:tr>
        <w:trPr>
          <w:trHeight w:val="171"/>
        </w:trPr>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shares of Common Stock Outstanding:</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51.0</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r>
      <w:tr>
        <w:trPr>
          <w:trHeight w:val="155"/>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51.2</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20"/>
          </w:cols>
          <w:pgMar w:left="340" w:top="638"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September 30, 2021</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320" w:type="dxa"/>
            <w:vAlign w:val="bottom"/>
            <w:gridSpan w:val="2"/>
            <w:shd w:val="clear" w:color="auto" w:fill="CCEEFF"/>
          </w:tcPr>
          <w:p>
            <w:pPr>
              <w:jc w:val="center"/>
              <w:ind w:right="462"/>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20" w:type="dxa"/>
            <w:vAlign w:val="bottom"/>
            <w:gridSpan w:val="2"/>
            <w:shd w:val="clear" w:color="auto" w:fill="CCEEFF"/>
          </w:tcPr>
          <w:p>
            <w:pPr>
              <w:jc w:val="right"/>
              <w:ind w:right="124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152.6</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132.5</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144.7</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3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359.5</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388.1</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213.3</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223.1</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3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24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657.7</w:t>
            </w:r>
          </w:p>
        </w:tc>
        <w:tc>
          <w:tcPr>
            <w:tcW w:w="3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696.5</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jc w:val="center"/>
              <w:ind w:right="462"/>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5320" w:type="dxa"/>
            <w:vAlign w:val="bottom"/>
            <w:gridSpan w:val="2"/>
            <w:shd w:val="clear" w:color="auto" w:fill="CCEEFF"/>
          </w:tcPr>
          <w:p>
            <w:pPr>
              <w:jc w:val="right"/>
              <w:ind w:right="124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3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251.3</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938.8</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481.2</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3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1,086.5</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762.0</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Redeemable noncontrolling interest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2,997.3</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stock</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(428.4)</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(3,059.7)</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(428.8)</w:t>
            </w:r>
          </w:p>
        </w:tc>
        <w:tc>
          <w:tcPr>
            <w:tcW w:w="3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(3,062.8)</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24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657.7</w:t>
            </w:r>
          </w:p>
        </w:tc>
        <w:tc>
          <w:tcPr>
            <w:tcW w:w="3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696.5</w:t>
            </w:r>
          </w:p>
        </w:tc>
        <w:tc>
          <w:tcPr>
            <w:tcW w:w="0" w:type="dxa"/>
            <w:vAlign w:val="bottom"/>
          </w:tcPr>
          <w:p>
            <w:pPr>
              <w:spacing w:after="0"/>
              <w:rPr>
                <w:sz w:val="1"/>
                <w:szCs w:val="1"/>
                <w:color w:val="auto"/>
              </w:rPr>
            </w:pPr>
          </w:p>
        </w:tc>
      </w:tr>
      <w:tr>
        <w:trPr>
          <w:trHeight w:val="502"/>
        </w:trPr>
        <w:tc>
          <w:tcPr>
            <w:tcW w:w="3200" w:type="dxa"/>
            <w:vAlign w:val="bottom"/>
          </w:tcPr>
          <w:p>
            <w:pPr>
              <w:spacing w:after="0"/>
              <w:rPr>
                <w:sz w:val="24"/>
                <w:szCs w:val="24"/>
                <w:color w:val="auto"/>
              </w:rPr>
            </w:pPr>
          </w:p>
        </w:tc>
        <w:tc>
          <w:tcPr>
            <w:tcW w:w="5320" w:type="dxa"/>
            <w:vAlign w:val="bottom"/>
            <w:gridSpan w:val="2"/>
          </w:tcPr>
          <w:p>
            <w:pPr>
              <w:jc w:val="center"/>
              <w:ind w:right="462"/>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5320" w:type="dxa"/>
            <w:vAlign w:val="bottom"/>
            <w:gridSpan w:val="2"/>
          </w:tcPr>
          <w:p>
            <w:pPr>
              <w:jc w:val="center"/>
              <w:ind w:right="462"/>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80" w:type="dxa"/>
            <w:vAlign w:val="bottom"/>
            <w:gridSpan w:val="3"/>
          </w:tcPr>
          <w:p>
            <w:pPr>
              <w:jc w:val="right"/>
              <w:ind w:right="60"/>
              <w:spacing w:after="0" w:line="121" w:lineRule="exact"/>
              <w:rPr>
                <w:sz w:val="20"/>
                <w:szCs w:val="20"/>
                <w:color w:val="auto"/>
              </w:rPr>
            </w:pPr>
            <w:r>
              <w:rPr>
                <w:rFonts w:ascii="Times New Roman" w:cs="Times New Roman" w:eastAsia="Times New Roman" w:hAnsi="Times New Roman"/>
                <w:sz w:val="11"/>
                <w:szCs w:val="11"/>
                <w:b w:val="1"/>
                <w:bCs w:val="1"/>
                <w:color w:val="auto"/>
              </w:rPr>
              <w:t>Six Months Ended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34"/>
        </w:trPr>
        <w:tc>
          <w:tcPr>
            <w:tcW w:w="32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320" w:type="dxa"/>
            <w:vAlign w:val="bottom"/>
            <w:gridSpan w:val="2"/>
          </w:tcPr>
          <w:p>
            <w:pPr>
              <w:jc w:val="right"/>
              <w:ind w:right="124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34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decrease in cash and cash equivalents</w:t>
            </w:r>
          </w:p>
        </w:tc>
        <w:tc>
          <w:tcPr>
            <w:tcW w:w="3940" w:type="dxa"/>
            <w:vAlign w:val="bottom"/>
          </w:tcPr>
          <w:p>
            <w:pPr>
              <w:spacing w:after="0"/>
              <w:rPr>
                <w:sz w:val="12"/>
                <w:szCs w:val="12"/>
                <w:color w:val="auto"/>
              </w:rPr>
            </w:pPr>
          </w:p>
        </w:tc>
        <w:tc>
          <w:tcPr>
            <w:tcW w:w="1380" w:type="dxa"/>
            <w:vAlign w:val="bottom"/>
            <w:tcBorders>
              <w:bottom w:val="single" w:sz="8" w:color="auto"/>
            </w:tcBorders>
          </w:tcPr>
          <w:p>
            <w:pPr>
              <w:jc w:val="right"/>
              <w:ind w:right="1242"/>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3"/>
              <w:spacing w:after="0"/>
              <w:rPr>
                <w:sz w:val="20"/>
                <w:szCs w:val="20"/>
                <w:color w:val="auto"/>
              </w:rPr>
            </w:pPr>
            <w:r>
              <w:rPr>
                <w:rFonts w:ascii="Times New Roman" w:cs="Times New Roman" w:eastAsia="Times New Roman" w:hAnsi="Times New Roman"/>
                <w:sz w:val="12"/>
                <w:szCs w:val="12"/>
                <w:color w:val="auto"/>
                <w:w w:val="99"/>
              </w:rPr>
              <w:t>8</w:t>
            </w: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38"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available to common stockholders and Adjusted diluted earnings per share of common stock</w:t>
      </w:r>
    </w:p>
    <w:p>
      <w:pPr>
        <w:spacing w:after="0" w:line="1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available to common stockholders and Adjusted diluted earnings per share of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available to common stockholders and Adjusted diluted earnings per share of common stock are adjusted for the following items:</w:t>
      </w:r>
    </w:p>
    <w:p>
      <w:pPr>
        <w:spacing w:after="0" w:line="17" w:lineRule="exact"/>
        <w:rPr>
          <w:sz w:val="20"/>
          <w:szCs w:val="20"/>
          <w:color w:val="auto"/>
        </w:rPr>
      </w:pPr>
    </w:p>
    <w:p>
      <w:pPr>
        <w:jc w:val="both"/>
        <w:ind w:left="420" w:right="180" w:hanging="212"/>
        <w:spacing w:after="0" w:line="250" w:lineRule="auto"/>
        <w:tabs>
          <w:tab w:leader="none" w:pos="41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Accelerated amortization</w:t>
      </w:r>
      <w:r>
        <w:rPr>
          <w:rFonts w:ascii="Times New Roman" w:cs="Times New Roman" w:eastAsia="Times New Roman" w:hAnsi="Times New Roman"/>
          <w:sz w:val="12"/>
          <w:szCs w:val="12"/>
          <w:color w:val="auto"/>
        </w:rPr>
        <w:t>: BellRing has excluded non-cash accelerated amortization charges recorded in connection with the discontinuation of certain brands as the amount and frequency of such charges are not consistent.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20" w:hanging="212"/>
        <w:spacing w:after="0" w:line="250"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Loss on extinguishment and refinancing of debt, net</w:t>
      </w:r>
      <w:r>
        <w:rPr>
          <w:rFonts w:ascii="Times New Roman" w:cs="Times New Roman" w:eastAsia="Times New Roman" w:hAnsi="Times New Roman"/>
          <w:sz w:val="12"/>
          <w:szCs w:val="12"/>
          <w:color w:val="auto"/>
        </w:rPr>
        <w:t>: BellRing has excluded losses recorded on extinguishment and refinancing of debt, inclusive of the write-off of debt issuance costs and deferred financing fees and the write-off of net unamortized debt discounts, as such losses are inconsistent in amount and frequency. Additionally, BellRing 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120" w:hanging="212"/>
        <w:spacing w:after="0" w:line="250" w:lineRule="auto"/>
        <w:tabs>
          <w:tab w:leader="none" w:pos="41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Separation costs</w:t>
      </w:r>
      <w:r>
        <w:rPr>
          <w:rFonts w:ascii="Times New Roman" w:cs="Times New Roman" w:eastAsia="Times New Roman" w:hAnsi="Times New Roman"/>
          <w:sz w:val="12"/>
          <w:szCs w:val="12"/>
          <w:color w:val="auto"/>
        </w:rPr>
        <w:t>: BellRing has excluded certain expenses incurred (i) to effect its separation from Post, (ii) in connection with Post’s distribution of 80.1% of its interest in BellRing and (iii) to support its transition into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separate stand-alone, publicly-traded entity,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40" w:hanging="212"/>
        <w:spacing w:after="0" w:line="250"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Restructuring and facility closure costs, including accelerated depreciation</w:t>
      </w:r>
      <w:r>
        <w:rPr>
          <w:rFonts w:ascii="Times New Roman" w:cs="Times New Roman" w:eastAsia="Times New Roman" w:hAnsi="Times New Roman"/>
          <w:sz w:val="12"/>
          <w:szCs w:val="12"/>
          <w:color w:val="auto"/>
        </w:rPr>
        <w:t>: BellRing has excluded certain costs associated with facility closures as the amount and frequency of such adjustments are not consistent.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480" w:hanging="212"/>
        <w:spacing w:after="0" w:line="250" w:lineRule="auto"/>
        <w:tabs>
          <w:tab w:leader="none" w:pos="41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40" w:hanging="212"/>
        <w:spacing w:after="0" w:line="250" w:lineRule="auto"/>
        <w:tabs>
          <w:tab w:leader="none" w:pos="41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right="120" w:hanging="212"/>
        <w:spacing w:after="0" w:line="250"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NCI adjustment</w:t>
      </w:r>
      <w:r>
        <w:rPr>
          <w:rFonts w:ascii="Times New Roman" w:cs="Times New Roman" w:eastAsia="Times New Roman" w:hAnsi="Times New Roman"/>
          <w:sz w:val="12"/>
          <w:szCs w:val="12"/>
          <w:color w:val="auto"/>
        </w:rPr>
        <w:t>: BellRing has included an adjustment to reflect the removal of non-GAAP adjustments which are attributable to redeemable NCI in the periods prior to the Spin-off in the calculation of Adjusted net earnings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available to common stockholders and Adjusted diluted earnings per share of common stock.</w:t>
      </w:r>
    </w:p>
    <w:p>
      <w:pPr>
        <w:ind w:left="420" w:right="160" w:hanging="212"/>
        <w:spacing w:after="0" w:line="250"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60"/>
          </w:cols>
          <w:pgMar w:left="300" w:top="64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color w:val="auto"/>
        </w:rPr>
        <w:t>covenants and limitations that are based on variations of EBITDA in its financing documents. Management uses Adjusted EBITDA to provide forward-looking guidance and to forecast future results.</w:t>
      </w:r>
    </w:p>
    <w:p>
      <w:pPr>
        <w:spacing w:after="0" w:line="1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including accelerated depreciation and amortization, and the following adjustments discussed above: loss on extinguishment and refinancing of debt, net, separation costs, restructuring and facility closure costs excluding accelerated depreciation, foreign currency gain/loss on intercompany loans and mark-to-market adjustments on commodity hedges. Additionally, Adjusted EBITDA reflects adjustments for the following items:</w:t>
      </w:r>
    </w:p>
    <w:p>
      <w:pPr>
        <w:spacing w:after="0" w:line="1" w:lineRule="exact"/>
        <w:rPr>
          <w:sz w:val="20"/>
          <w:szCs w:val="20"/>
          <w:color w:val="auto"/>
        </w:rPr>
      </w:pPr>
    </w:p>
    <w:p>
      <w:pPr>
        <w:ind w:left="420" w:hanging="212"/>
        <w:spacing w:after="0" w:line="250" w:lineRule="auto"/>
        <w:tabs>
          <w:tab w:leader="none" w:pos="41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after the initial public offering (the “IPO”) includes the use of BellRing stock-based compensation to attract and retain executives and employees by aligning their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long-term compensation interests with 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1" w:lineRule="exact"/>
        <w:rPr>
          <w:rFonts w:ascii="Times New Roman" w:cs="Times New Roman" w:eastAsia="Times New Roman" w:hAnsi="Times New Roman"/>
          <w:sz w:val="12"/>
          <w:szCs w:val="12"/>
          <w:color w:val="auto"/>
        </w:rPr>
      </w:pPr>
    </w:p>
    <w:p>
      <w:pPr>
        <w:ind w:left="420" w:right="120" w:hanging="212"/>
        <w:spacing w:after="0" w:line="260" w:lineRule="auto"/>
        <w:tabs>
          <w:tab w:leader="none" w:pos="41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Net earnings attributable to redeemable noncontrolling interest</w:t>
      </w:r>
      <w:r>
        <w:rPr>
          <w:rFonts w:ascii="Times New Roman" w:cs="Times New Roman" w:eastAsia="Times New Roman" w:hAnsi="Times New Roman"/>
          <w:sz w:val="12"/>
          <w:szCs w:val="12"/>
          <w:color w:val="auto"/>
        </w:rPr>
        <w:t>: BellRing has included adjustments for the portion of its consolidated net earnings which was allocated to redeemable NCI for the periods prior to the Spin-off,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allowing for the calculation of Adjusted EBITDA to include 100% of BellRing as BellRing’s management evaluates BellRing’s operating performance on a basis that includes 100% of BellRing.</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60"/>
          </w:cols>
          <w:pgMar w:left="300" w:top="64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26"/>
        </w:trPr>
        <w:tc>
          <w:tcPr>
            <w:tcW w:w="8060" w:type="dxa"/>
            <w:vAlign w:val="bottom"/>
            <w:gridSpan w:val="6"/>
          </w:tcPr>
          <w:p>
            <w:pPr>
              <w:jc w:val="center"/>
              <w:ind w:left="3101"/>
              <w:spacing w:after="0"/>
              <w:rPr>
                <w:sz w:val="20"/>
                <w:szCs w:val="20"/>
                <w:color w:val="auto"/>
              </w:rPr>
            </w:pPr>
            <w:r>
              <w:rPr>
                <w:rFonts w:ascii="Times New Roman" w:cs="Times New Roman" w:eastAsia="Times New Roman" w:hAnsi="Times New Roman"/>
                <w:sz w:val="11"/>
                <w:szCs w:val="11"/>
                <w:b w:val="1"/>
                <w:bCs w:val="1"/>
                <w:color w:val="auto"/>
                <w:w w:val="97"/>
              </w:rPr>
              <w:t>RECONCILIATION OF NET EARNINGS AVAILABLE TO COMMON STOCKHOLDERS</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8060" w:type="dxa"/>
            <w:vAlign w:val="bottom"/>
            <w:gridSpan w:val="6"/>
          </w:tcPr>
          <w:p>
            <w:pPr>
              <w:jc w:val="center"/>
              <w:ind w:left="3081"/>
              <w:spacing w:after="0"/>
              <w:rPr>
                <w:sz w:val="20"/>
                <w:szCs w:val="20"/>
                <w:color w:val="auto"/>
              </w:rPr>
            </w:pPr>
            <w:r>
              <w:rPr>
                <w:rFonts w:ascii="Times New Roman" w:cs="Times New Roman" w:eastAsia="Times New Roman" w:hAnsi="Times New Roman"/>
                <w:sz w:val="11"/>
                <w:szCs w:val="11"/>
                <w:b w:val="1"/>
                <w:bCs w:val="1"/>
                <w:color w:val="auto"/>
                <w:w w:val="97"/>
              </w:rPr>
              <w:t>TO ADJUSTED NET EARNINGS AVAILABLE TO COMMON STOCKHOLDERS (Unaudited)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2"/>
        </w:trPr>
        <w:tc>
          <w:tcPr>
            <w:tcW w:w="4540" w:type="dxa"/>
            <w:vAlign w:val="bottom"/>
          </w:tcPr>
          <w:p>
            <w:pPr>
              <w:spacing w:after="0"/>
              <w:rPr>
                <w:sz w:val="12"/>
                <w:szCs w:val="12"/>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1"/>
        </w:trPr>
        <w:tc>
          <w:tcPr>
            <w:tcW w:w="45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Six Months Ended</w:t>
            </w:r>
          </w:p>
        </w:tc>
        <w:tc>
          <w:tcPr>
            <w:tcW w:w="660" w:type="dxa"/>
            <w:vAlign w:val="bottom"/>
          </w:tcPr>
          <w:p>
            <w:pPr>
              <w:spacing w:after="0"/>
              <w:rPr>
                <w:sz w:val="10"/>
                <w:szCs w:val="10"/>
                <w:color w:val="auto"/>
              </w:rPr>
            </w:pPr>
          </w:p>
        </w:tc>
      </w:tr>
      <w:tr>
        <w:trPr>
          <w:trHeight w:val="143"/>
        </w:trPr>
        <w:tc>
          <w:tcPr>
            <w:tcW w:w="4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60" w:type="dxa"/>
            <w:vAlign w:val="bottom"/>
            <w:tcBorders>
              <w:bottom w:val="single" w:sz="8" w:color="auto"/>
            </w:tcBorders>
          </w:tcPr>
          <w:p>
            <w:pPr>
              <w:spacing w:after="0"/>
              <w:rPr>
                <w:sz w:val="12"/>
                <w:szCs w:val="12"/>
                <w:color w:val="auto"/>
              </w:rPr>
            </w:pPr>
          </w:p>
        </w:tc>
      </w:tr>
      <w:tr>
        <w:trPr>
          <w:trHeight w:val="133"/>
        </w:trPr>
        <w:tc>
          <w:tcPr>
            <w:tcW w:w="4540" w:type="dxa"/>
            <w:vAlign w:val="bottom"/>
            <w:tcBorders>
              <w:bottom w:val="single" w:sz="8" w:color="CCEEFF"/>
            </w:tcBorders>
          </w:tcPr>
          <w:p>
            <w:pPr>
              <w:spacing w:after="0"/>
              <w:rPr>
                <w:sz w:val="11"/>
                <w:szCs w:val="11"/>
                <w:color w:val="auto"/>
              </w:rPr>
            </w:pPr>
          </w:p>
        </w:tc>
        <w:tc>
          <w:tcPr>
            <w:tcW w:w="19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19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8.4</w:t>
            </w:r>
          </w:p>
        </w:tc>
      </w:tr>
      <w:tr>
        <w:trPr>
          <w:trHeight w:val="171"/>
        </w:trPr>
        <w:tc>
          <w:tcPr>
            <w:tcW w:w="4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5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3"/>
        </w:trPr>
        <w:tc>
          <w:tcPr>
            <w:tcW w:w="45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18.1</w:t>
            </w:r>
          </w:p>
        </w:tc>
      </w:tr>
      <w:tr>
        <w:trPr>
          <w:trHeight w:val="153"/>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1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17.6</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45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Restructuring and facility closure costs, including accelerated depreciation</w:t>
            </w:r>
          </w:p>
        </w:tc>
        <w:tc>
          <w:tcPr>
            <w:tcW w:w="1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5.5</w:t>
            </w:r>
          </w:p>
        </w:tc>
      </w:tr>
      <w:tr>
        <w:trPr>
          <w:trHeight w:val="153"/>
        </w:trPr>
        <w:tc>
          <w:tcPr>
            <w:tcW w:w="45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5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NCI adjustment</w:t>
            </w:r>
          </w:p>
        </w:tc>
        <w:tc>
          <w:tcPr>
            <w:tcW w:w="19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w:t>
            </w:r>
          </w:p>
        </w:tc>
      </w:tr>
      <w:tr>
        <w:trPr>
          <w:trHeight w:val="142"/>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1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17.2</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7.2</w:t>
            </w:r>
          </w:p>
        </w:tc>
      </w:tr>
      <w:tr>
        <w:trPr>
          <w:trHeight w:val="153"/>
        </w:trPr>
        <w:tc>
          <w:tcPr>
            <w:tcW w:w="454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19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58"/>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Earnings Available to Common Stockholders</w:t>
            </w:r>
          </w:p>
        </w:tc>
        <w:tc>
          <w:tcPr>
            <w:tcW w:w="19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3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24.5</w:t>
            </w:r>
          </w:p>
        </w:tc>
        <w:tc>
          <w:tcPr>
            <w:tcW w:w="2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13.8</w:t>
            </w:r>
          </w:p>
        </w:tc>
      </w:tr>
    </w:tbl>
    <w:p>
      <w:pPr>
        <w:spacing w:after="0" w:line="160" w:lineRule="exact"/>
        <w:rPr>
          <w:sz w:val="20"/>
          <w:szCs w:val="20"/>
          <w:color w:val="auto"/>
        </w:rPr>
      </w:pPr>
    </w:p>
    <w:p>
      <w:pPr>
        <w:ind w:right="140" w:firstLine="9"/>
        <w:spacing w:after="0" w:line="250" w:lineRule="auto"/>
        <w:tabs>
          <w:tab w:leader="none" w:pos="121"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the periods subsequent to the Spin-off (March 11, 2022 through March 31, 2022), income tax effect on adjustments was calculated on all items using a rate of 24.0%. For the periods prior to the Spin-off (October 1, 2021 through March 10, 2022 and for the three and six months ended March 31, 2021), income tax effect on adjustments was calculated on all items, except for separation costs and NCI adjustment, using a rate of 7.0%, which represents the effective income tax rate on BellRing’s distributive share from BellRing LLC. For the periods prior to the Spin-off, income tax effect for NCI adjustment was calculated using a rate of 0.0%. For all periods, income tax effect for separation costs was calculated using a rate of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20"/>
          </w:cols>
          <w:pgMar w:left="340" w:top="641" w:right="3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DILUTED EARNINGS PER SHARE OF COMMON STOCK</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TO ADJUSTED DILUTED EARNINGS PER SHARE OF COMMON STOCK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660" w:type="dxa"/>
            <w:vAlign w:val="bottom"/>
          </w:tcPr>
          <w:p>
            <w:pPr>
              <w:spacing w:after="0"/>
              <w:rPr>
                <w:sz w:val="11"/>
                <w:szCs w:val="11"/>
                <w:color w:val="auto"/>
              </w:rPr>
            </w:pPr>
          </w:p>
        </w:tc>
      </w:tr>
      <w:tr>
        <w:trPr>
          <w:trHeight w:val="143"/>
        </w:trPr>
        <w:tc>
          <w:tcPr>
            <w:tcW w:w="6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6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Earnings per share of Common Stock</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0.21</w:t>
            </w:r>
          </w:p>
        </w:tc>
      </w:tr>
      <w:tr>
        <w:trPr>
          <w:trHeight w:val="180"/>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0.46</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0.24</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Restructuring and facility closure costs, including accelerated depreciation</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0.14</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0.28</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0.34</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0.04</w:t>
            </w: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NCI adjustment</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(0.20)</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(0.37)</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(0.45)</w:t>
            </w:r>
          </w:p>
        </w:tc>
      </w:tr>
      <w:tr>
        <w:trPr>
          <w:trHeight w:val="142"/>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0.33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0.19</w:t>
            </w:r>
          </w:p>
        </w:tc>
      </w:tr>
      <w:tr>
        <w:trPr>
          <w:trHeight w:val="153"/>
        </w:trPr>
        <w:tc>
          <w:tcPr>
            <w:tcW w:w="646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(0.05)</w:t>
            </w:r>
          </w:p>
        </w:tc>
      </w:tr>
      <w:tr>
        <w:trPr>
          <w:trHeight w:val="140"/>
        </w:trPr>
        <w:tc>
          <w:tcPr>
            <w:tcW w:w="6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Adjusted Diluted Earnings per share of Common Stock</w:t>
            </w:r>
          </w:p>
        </w:tc>
        <w:tc>
          <w:tcPr>
            <w:tcW w:w="220" w:type="dxa"/>
            <w:vAlign w:val="bottom"/>
            <w:tcBorders>
              <w:bottom w:val="single" w:sz="8" w:color="auto"/>
            </w:tcBorders>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0.23</w:t>
            </w:r>
          </w:p>
        </w:tc>
        <w:tc>
          <w:tcPr>
            <w:tcW w:w="2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0.13</w:t>
            </w:r>
          </w:p>
        </w:tc>
        <w:tc>
          <w:tcPr>
            <w:tcW w:w="3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0.48</w:t>
            </w: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0.35</w:t>
            </w:r>
          </w:p>
        </w:tc>
      </w:tr>
    </w:tbl>
    <w:p>
      <w:pPr>
        <w:spacing w:after="0" w:line="160" w:lineRule="exact"/>
        <w:rPr>
          <w:sz w:val="20"/>
          <w:szCs w:val="20"/>
          <w:color w:val="auto"/>
        </w:rPr>
      </w:pPr>
    </w:p>
    <w:p>
      <w:pPr>
        <w:ind w:right="140" w:firstLine="9"/>
        <w:spacing w:after="0" w:line="250" w:lineRule="auto"/>
        <w:tabs>
          <w:tab w:leader="none" w:pos="121"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the periods subsequent to the Spin-off (March 11, 2022 through March 31, 2022), income tax effect on adjustments was calculated on all items using a rate of 24.0%. For the periods prior to the Spin-off (October 1, 2021 through March 10, 2022 and for the three and six months ended March 31, 2021), income tax effect on adjustments was calculated on all items, except for separation costs and NCI adjustment, using a rate of 7.0%, which represents the effective income tax rate on BellRing’s distributive share from BellRing LLC. For all periods, income tax effect for separation costs was calculated using a rate of 8.0%. For the periods prior to the Spin-off, income tax effect for NCI adjustment was calculated using a rate of 0.0%.</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20"/>
          </w:cols>
          <w:pgMar w:left="340" w:top="64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26"/>
        </w:trPr>
        <w:tc>
          <w:tcPr>
            <w:tcW w:w="7860" w:type="dxa"/>
            <w:vAlign w:val="bottom"/>
            <w:gridSpan w:val="6"/>
          </w:tcPr>
          <w:p>
            <w:pPr>
              <w:jc w:val="center"/>
              <w:ind w:left="3300"/>
              <w:spacing w:after="0"/>
              <w:rPr>
                <w:sz w:val="20"/>
                <w:szCs w:val="20"/>
                <w:color w:val="auto"/>
              </w:rPr>
            </w:pPr>
            <w:r>
              <w:rPr>
                <w:rFonts w:ascii="Times New Roman" w:cs="Times New Roman" w:eastAsia="Times New Roman" w:hAnsi="Times New Roman"/>
                <w:sz w:val="11"/>
                <w:szCs w:val="11"/>
                <w:b w:val="1"/>
                <w:bCs w:val="1"/>
                <w:color w:val="auto"/>
                <w:w w:val="97"/>
              </w:rPr>
              <w:t>RECONCILIATION OF NET EARNINGS AVAILABLE TO COMMON STOCKHOLDERS</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4360" w:type="dxa"/>
            <w:vAlign w:val="bottom"/>
          </w:tcPr>
          <w:p>
            <w:pPr>
              <w:spacing w:after="0"/>
              <w:rPr>
                <w:sz w:val="11"/>
                <w:szCs w:val="11"/>
                <w:color w:val="auto"/>
              </w:rPr>
            </w:pPr>
          </w:p>
        </w:tc>
        <w:tc>
          <w:tcPr>
            <w:tcW w:w="218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8"/>
              </w:rPr>
              <w:t>TO ADJUSTED EBITDA (Unaudited)</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2"/>
        </w:trPr>
        <w:tc>
          <w:tcPr>
            <w:tcW w:w="4360" w:type="dxa"/>
            <w:vAlign w:val="bottom"/>
          </w:tcPr>
          <w:p>
            <w:pPr>
              <w:spacing w:after="0"/>
              <w:rPr>
                <w:sz w:val="12"/>
                <w:szCs w:val="12"/>
                <w:color w:val="auto"/>
              </w:rPr>
            </w:pPr>
          </w:p>
        </w:tc>
        <w:tc>
          <w:tcPr>
            <w:tcW w:w="218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21"/>
        </w:trPr>
        <w:tc>
          <w:tcPr>
            <w:tcW w:w="43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3"/>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4"/>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Six Months Ended</w:t>
            </w:r>
          </w:p>
        </w:tc>
        <w:tc>
          <w:tcPr>
            <w:tcW w:w="720" w:type="dxa"/>
            <w:vAlign w:val="bottom"/>
          </w:tcPr>
          <w:p>
            <w:pPr>
              <w:spacing w:after="0"/>
              <w:rPr>
                <w:sz w:val="10"/>
                <w:szCs w:val="10"/>
                <w:color w:val="auto"/>
              </w:rPr>
            </w:pPr>
          </w:p>
        </w:tc>
      </w:tr>
      <w:tr>
        <w:trPr>
          <w:trHeight w:val="143"/>
        </w:trPr>
        <w:tc>
          <w:tcPr>
            <w:tcW w:w="4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1"/>
              </w:rPr>
              <w:t>March 31,</w:t>
            </w:r>
          </w:p>
        </w:tc>
        <w:tc>
          <w:tcPr>
            <w:tcW w:w="720" w:type="dxa"/>
            <w:vAlign w:val="bottom"/>
            <w:tcBorders>
              <w:bottom w:val="single" w:sz="8" w:color="auto"/>
            </w:tcBorders>
          </w:tcPr>
          <w:p>
            <w:pPr>
              <w:spacing w:after="0"/>
              <w:rPr>
                <w:sz w:val="12"/>
                <w:szCs w:val="12"/>
                <w:color w:val="auto"/>
              </w:rPr>
            </w:pPr>
          </w:p>
        </w:tc>
      </w:tr>
      <w:tr>
        <w:trPr>
          <w:trHeight w:val="133"/>
        </w:trPr>
        <w:tc>
          <w:tcPr>
            <w:tcW w:w="436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18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8.4</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2.4</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8.5</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11.3</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24.1</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including accelerated depreciation and amortization</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5.3</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23.9</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30.6</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17.6</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Separation costs</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10.3</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Restructuring and facility closure costs, excluding accelerated depreciation</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0.7</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5.3</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3.6</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earnings attributable to redeemable noncontrolling interest</w:t>
            </w:r>
          </w:p>
        </w:tc>
        <w:tc>
          <w:tcPr>
            <w:tcW w:w="18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2.6</w:t>
            </w:r>
          </w:p>
        </w:tc>
        <w:tc>
          <w:tcPr>
            <w:tcW w:w="2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1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27.0</w:t>
            </w:r>
          </w:p>
        </w:tc>
      </w:tr>
      <w:tr>
        <w:trPr>
          <w:trHeight w:val="158"/>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8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50.9</w:t>
            </w:r>
          </w:p>
        </w:tc>
        <w:tc>
          <w:tcPr>
            <w:tcW w:w="2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42.2</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110.7</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102.9</w:t>
            </w:r>
          </w:p>
        </w:tc>
      </w:tr>
      <w:tr>
        <w:trPr>
          <w:trHeight w:val="169"/>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18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16.1 %</w:t>
            </w: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15.0 %</w:t>
            </w:r>
          </w:p>
        </w:tc>
        <w:tc>
          <w:tcPr>
            <w:tcW w:w="3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17.8 %</w:t>
            </w: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220"/>
          </w:cols>
          <w:pgMar w:left="340" w:top="749" w:right="339" w:bottom="1440"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684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78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67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2022-05-05T17:10:07Z</dcterms:created>
  <dcterms:modified xsi:type="dcterms:W3CDTF">2022-05-05T17:10:07Z</dcterms:modified>
</cp:coreProperties>
</file>