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STEIN ELLIOT JR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BELLRING BRANDS,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BRBR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9"/>
              </w:rPr>
              <w:t>C/O BELLRING BRANDS,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color w:val="0000FF"/>
              </w:rPr>
              <w:t>12/06/2019</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2503 S. HANLEY ROAD</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ST. LOUIS</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MO</w:t>
            </w:r>
          </w:p>
        </w:tc>
        <w:tc>
          <w:tcPr>
            <w:tcW w:w="1200" w:type="dxa"/>
            <w:vAlign w:val="bottom"/>
          </w:tcPr>
          <w:p>
            <w:pPr>
              <w:spacing w:after="0"/>
              <w:rPr>
                <w:sz w:val="20"/>
                <w:szCs w:val="20"/>
                <w:color w:val="auto"/>
              </w:rPr>
            </w:pPr>
            <w:r>
              <w:rPr>
                <w:rFonts w:ascii="Arial" w:cs="Arial" w:eastAsia="Arial" w:hAnsi="Arial"/>
                <w:sz w:val="18"/>
                <w:szCs w:val="18"/>
                <w:color w:val="0000FF"/>
              </w:rPr>
              <w:t>63144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gridSpan w:val="5"/>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8"/>
          </w:tcPr>
          <w:p>
            <w:pPr>
              <w:jc w:val="center"/>
              <w:ind w:right="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12/06/2019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21.0402</w:t>
            </w:r>
            <w:r>
              <w:rPr>
                <w:rFonts w:ascii="Arial" w:cs="Arial" w:eastAsia="Arial" w:hAnsi="Arial"/>
                <w:sz w:val="22"/>
                <w:szCs w:val="22"/>
                <w:color w:val="008000"/>
                <w:w w:val="90"/>
                <w:vertAlign w:val="superscript"/>
              </w:rPr>
              <w:t>(1)</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2,000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7"/>
          </w:tcPr>
          <w:p>
            <w:pPr>
              <w:jc w:val="center"/>
              <w:ind w:left="6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price in Column 4 is a weighted average price. These shares were purchased in multiple transactions at prices ranging from $21.03 to $21.05 per share.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Craig L. Rosenthal,</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12/20/2019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5613"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2019-12-20T16:08:37Z</dcterms:created>
  <dcterms:modified xsi:type="dcterms:W3CDTF">2019-12-20T16:08:37Z</dcterms:modified>
</cp:coreProperties>
</file>