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GROWTH OFFICER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658 RSUs in accordance with Rule 16b-3.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179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2025-11-12T18:42:31Z</dcterms:created>
  <dcterms:modified xsi:type="dcterms:W3CDTF">2025-11-12T18:42:31Z</dcterms:modified>
</cp:coreProperties>
</file>