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-605155</wp:posOffset>
            </wp:positionV>
            <wp:extent cx="57150" cy="61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26035</wp:posOffset>
            </wp:positionV>
            <wp:extent cx="7048500" cy="524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243195"/>
                    </a:xfrm>
                    <a:prstGeom prst="rect">
                      <a:avLst/>
                    </a:prstGeom>
                    <a:noFill/>
                  </pic:spPr>
                </pic:pic>
              </a:graphicData>
            </a:graphic>
          </wp:anchor>
        </w:drawing>
      </w:r>
    </w:p>
    <w:p>
      <w:pPr>
        <w:spacing w:after="0" w:line="55"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gridSpan w:val="8"/>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JOHNSON JENNIFER KUPERMAN</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9"/>
          </w:tcPr>
          <w:p>
            <w:pPr>
              <w:ind w:left="60"/>
              <w:spacing w:after="0" w:line="162"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BELLRING BRANDS,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BRBR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4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2"/>
            <w:vMerge w:val="restart"/>
          </w:tcPr>
          <w:p>
            <w:pPr>
              <w:ind w:left="140"/>
              <w:spacing w:after="0" w:line="131"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4"/>
                <w:szCs w:val="4"/>
                <w:color w:val="auto"/>
              </w:rPr>
            </w:pPr>
          </w:p>
        </w:tc>
        <w:tc>
          <w:tcPr>
            <w:tcW w:w="1460" w:type="dxa"/>
            <w:vAlign w:val="bottom"/>
            <w:gridSpan w:val="4"/>
            <w:vMerge w:val="restart"/>
          </w:tcPr>
          <w:p>
            <w:pPr>
              <w:ind w:left="220"/>
              <w:spacing w:after="0" w:line="131"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(First)</w:t>
            </w:r>
          </w:p>
        </w:tc>
        <w:tc>
          <w:tcPr>
            <w:tcW w:w="1100" w:type="dxa"/>
            <w:vAlign w:val="bottom"/>
            <w:gridSpan w:val="3"/>
          </w:tcPr>
          <w:p>
            <w:pPr>
              <w:ind w:left="4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C/O BELLRING BRANDS, INC.</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03/10/2022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gridSpan w:val="5"/>
            <w:vMerge w:val="continue"/>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2503 S. HANLEY ROAD</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0" w:type="dxa"/>
            <w:vAlign w:val="bottom"/>
            <w:gridSpan w:val="9"/>
            <w:vMerge w:val="restart"/>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ST. LOUIS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MO</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63144</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(State)</w:t>
            </w:r>
          </w:p>
        </w:tc>
        <w:tc>
          <w:tcPr>
            <w:tcW w:w="1100" w:type="dxa"/>
            <w:vAlign w:val="bottom"/>
            <w:gridSpan w:val="3"/>
          </w:tcPr>
          <w:p>
            <w:pPr>
              <w:ind w:left="4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20"/>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640" w:type="dxa"/>
            <w:vAlign w:val="bottom"/>
          </w:tcPr>
          <w:p>
            <w:pPr>
              <w:spacing w:after="0"/>
              <w:rPr>
                <w:sz w:val="14"/>
                <w:szCs w:val="14"/>
                <w:color w:val="auto"/>
              </w:rPr>
            </w:pPr>
          </w:p>
        </w:tc>
        <w:tc>
          <w:tcPr>
            <w:tcW w:w="1160" w:type="dxa"/>
            <w:vAlign w:val="bottom"/>
            <w:gridSpan w:val="6"/>
          </w:tcPr>
          <w:p>
            <w:pPr>
              <w:ind w:left="18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7"/>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gridSpan w:val="2"/>
          </w:tcPr>
          <w:p>
            <w:pPr>
              <w:ind w:left="18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7"/>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gridSpan w:val="6"/>
          </w:tcPr>
          <w:p>
            <w:pPr>
              <w:ind w:left="1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360" w:type="dxa"/>
            <w:vAlign w:val="bottom"/>
          </w:tcPr>
          <w:p>
            <w:pPr>
              <w:spacing w:after="0"/>
              <w:rPr>
                <w:sz w:val="10"/>
                <w:szCs w:val="10"/>
                <w:color w:val="auto"/>
              </w:rPr>
            </w:pPr>
          </w:p>
        </w:tc>
        <w:tc>
          <w:tcPr>
            <w:tcW w:w="3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88"/>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7"/>
          </w:tcPr>
          <w:p>
            <w:pPr>
              <w:ind w:left="920"/>
              <w:spacing w:after="0"/>
              <w:rPr>
                <w:sz w:val="20"/>
                <w:szCs w:val="20"/>
                <w:color w:val="auto"/>
              </w:rPr>
            </w:pPr>
            <w:r>
              <w:rPr>
                <w:rFonts w:ascii="Times New Roman" w:cs="Times New Roman" w:eastAsia="Times New Roman" w:hAnsi="Times New Roman"/>
                <w:sz w:val="16"/>
                <w:szCs w:val="16"/>
                <w:color w:val="0000FF"/>
              </w:rPr>
              <w:t>03/10/2022</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980" w:type="dxa"/>
            <w:vAlign w:val="bottom"/>
            <w:tcBorders>
              <w:bottom w:val="single" w:sz="8" w:color="2C2C2C"/>
            </w:tcBorders>
            <w:gridSpan w:val="3"/>
          </w:tcPr>
          <w:p>
            <w:pPr>
              <w:jc w:val="right"/>
              <w:ind w:right="84"/>
              <w:spacing w:after="0"/>
              <w:rPr>
                <w:sz w:val="20"/>
                <w:szCs w:val="20"/>
                <w:color w:val="auto"/>
              </w:rPr>
            </w:pPr>
            <w:r>
              <w:rPr>
                <w:rFonts w:ascii="Times New Roman" w:cs="Times New Roman" w:eastAsia="Times New Roman" w:hAnsi="Times New Roman"/>
                <w:sz w:val="16"/>
                <w:szCs w:val="16"/>
                <w:color w:val="0000FF"/>
              </w:rPr>
              <w:t>12,619</w:t>
            </w:r>
            <w:r>
              <w:rPr>
                <w:rFonts w:ascii="Times New Roman" w:cs="Times New Roman" w:eastAsia="Times New Roman" w:hAnsi="Times New Roman"/>
                <w:sz w:val="20"/>
                <w:szCs w:val="20"/>
                <w:color w:val="008000"/>
                <w:vertAlign w:val="superscript"/>
              </w:rPr>
              <w:t>(1)(2)</w:t>
            </w:r>
          </w:p>
        </w:tc>
        <w:tc>
          <w:tcPr>
            <w:tcW w:w="3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right"/>
              <w:ind w:right="72"/>
              <w:spacing w:after="0"/>
              <w:rPr>
                <w:sz w:val="20"/>
                <w:szCs w:val="20"/>
                <w:color w:val="auto"/>
              </w:rPr>
            </w:pPr>
            <w:r>
              <w:rPr>
                <w:rFonts w:ascii="Times New Roman" w:cs="Times New Roman" w:eastAsia="Times New Roman" w:hAnsi="Times New Roman"/>
                <w:sz w:val="10"/>
                <w:szCs w:val="10"/>
                <w:color w:val="008000"/>
              </w:rPr>
              <w:t>(1)(2)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6"/>
                <w:szCs w:val="16"/>
                <w:color w:val="0000FF"/>
              </w:rPr>
              <w:t>12,619</w:t>
            </w:r>
            <w:r>
              <w:rPr>
                <w:rFonts w:ascii="Times New Roman" w:cs="Times New Roman" w:eastAsia="Times New Roman" w:hAnsi="Times New Roman"/>
                <w:sz w:val="20"/>
                <w:szCs w:val="20"/>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9"/>
          </w:tcPr>
          <w:p>
            <w:pPr>
              <w:jc w:val="center"/>
              <w:ind w:right="1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960" w:type="dxa"/>
            <w:vAlign w:val="bottom"/>
            <w:gridSpan w:val="17"/>
          </w:tcPr>
          <w:p>
            <w:pPr>
              <w:jc w:val="center"/>
              <w:ind w:right="2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rPr>
              <w:t>Expiration</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BellRing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Brands,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w:t>
            </w:r>
          </w:p>
        </w:tc>
        <w:tc>
          <w:tcPr>
            <w:tcW w:w="6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40" w:type="dxa"/>
            <w:vAlign w:val="bottom"/>
          </w:tcPr>
          <w:p>
            <w:pPr>
              <w:spacing w:after="0"/>
              <w:rPr>
                <w:sz w:val="17"/>
                <w:szCs w:val="17"/>
                <w:color w:val="auto"/>
              </w:rPr>
            </w:pP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03/10/2022</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4"/>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0000FF"/>
              </w:rPr>
              <w:t>6,332.713</w:t>
            </w:r>
          </w:p>
        </w:tc>
        <w:tc>
          <w:tcPr>
            <w:tcW w:w="28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w w:val="99"/>
              </w:rPr>
              <w:t>6,332.713</w:t>
            </w:r>
          </w:p>
        </w:tc>
        <w:tc>
          <w:tcPr>
            <w:tcW w:w="40" w:type="dxa"/>
            <w:vAlign w:val="bottom"/>
          </w:tcPr>
          <w:p>
            <w:pPr>
              <w:spacing w:after="0"/>
              <w:rPr>
                <w:sz w:val="17"/>
                <w:szCs w:val="17"/>
                <w:color w:val="auto"/>
              </w:rPr>
            </w:pPr>
          </w:p>
        </w:tc>
        <w:tc>
          <w:tcPr>
            <w:tcW w:w="680" w:type="dxa"/>
            <w:vAlign w:val="bottom"/>
          </w:tcPr>
          <w:p>
            <w:pPr>
              <w:jc w:val="right"/>
              <w:ind w:right="261"/>
              <w:spacing w:after="0"/>
              <w:rPr>
                <w:sz w:val="20"/>
                <w:szCs w:val="20"/>
                <w:color w:val="auto"/>
              </w:rPr>
            </w:pPr>
            <w:r>
              <w:rPr>
                <w:rFonts w:ascii="Times New Roman" w:cs="Times New Roman" w:eastAsia="Times New Roman" w:hAnsi="Times New Roman"/>
                <w:sz w:val="10"/>
                <w:szCs w:val="10"/>
                <w:color w:val="008000"/>
              </w:rPr>
              <w:t>(1)</w:t>
            </w:r>
          </w:p>
        </w:tc>
        <w:tc>
          <w:tcPr>
            <w:tcW w:w="820" w:type="dxa"/>
            <w:vAlign w:val="bottom"/>
            <w:gridSpan w:val="2"/>
          </w:tcPr>
          <w:p>
            <w:pPr>
              <w:jc w:val="center"/>
              <w:ind w:right="44"/>
              <w:spacing w:after="0" w:line="200" w:lineRule="exact"/>
              <w:rPr>
                <w:sz w:val="20"/>
                <w:szCs w:val="20"/>
                <w:color w:val="auto"/>
              </w:rPr>
            </w:pPr>
            <w:r>
              <w:rPr>
                <w:rFonts w:ascii="Times New Roman" w:cs="Times New Roman" w:eastAsia="Times New Roman" w:hAnsi="Times New Roman"/>
                <w:sz w:val="12"/>
                <w:szCs w:val="12"/>
                <w:color w:val="0000FF"/>
              </w:rPr>
              <w:t>6,332.713</w:t>
            </w:r>
            <w:r>
              <w:rPr>
                <w:rFonts w:ascii="Times New Roman" w:cs="Times New Roman" w:eastAsia="Times New Roman" w:hAnsi="Times New Roman"/>
                <w:sz w:val="20"/>
                <w:szCs w:val="20"/>
                <w:color w:val="008000"/>
                <w:vertAlign w:val="superscript"/>
              </w:rPr>
              <w:t>(3)</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3"/>
          </w:tcPr>
          <w:p>
            <w:pPr>
              <w:ind w:left="60"/>
              <w:spacing w:after="0" w:line="74" w:lineRule="exact"/>
              <w:rPr>
                <w:sz w:val="20"/>
                <w:szCs w:val="20"/>
                <w:color w:val="auto"/>
              </w:rPr>
            </w:pPr>
            <w:r>
              <w:rPr>
                <w:rFonts w:ascii="Times New Roman" w:cs="Times New Roman" w:eastAsia="Times New Roman" w:hAnsi="Times New Roman"/>
                <w:sz w:val="8"/>
                <w:szCs w:val="8"/>
                <w:color w:val="0000FF"/>
              </w:rPr>
              <w:t>Common</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gridSpan w:val="2"/>
          </w:tcPr>
          <w:p>
            <w:pPr>
              <w:ind w:left="160"/>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Equivalents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BellRing</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Brands,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Inc.</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40" w:type="dxa"/>
            <w:vAlign w:val="bottom"/>
          </w:tcPr>
          <w:p>
            <w:pPr>
              <w:spacing w:after="0"/>
              <w:rPr>
                <w:sz w:val="11"/>
                <w:szCs w:val="11"/>
                <w:color w:val="auto"/>
              </w:rPr>
            </w:pPr>
          </w:p>
        </w:tc>
        <w:tc>
          <w:tcPr>
            <w:tcW w:w="1040" w:type="dxa"/>
            <w:vAlign w:val="bottom"/>
            <w:vMerge w:val="restart"/>
          </w:tcPr>
          <w:p>
            <w:pPr>
              <w:jc w:val="right"/>
              <w:ind w:right="178"/>
              <w:spacing w:after="0"/>
              <w:rPr>
                <w:sz w:val="20"/>
                <w:szCs w:val="20"/>
                <w:color w:val="auto"/>
              </w:rPr>
            </w:pPr>
            <w:r>
              <w:rPr>
                <w:rFonts w:ascii="Times New Roman" w:cs="Times New Roman" w:eastAsia="Times New Roman" w:hAnsi="Times New Roman"/>
                <w:sz w:val="12"/>
                <w:szCs w:val="12"/>
                <w:color w:val="0000FF"/>
              </w:rPr>
              <w:t>04/01/2022</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vMerge w:val="restart"/>
          </w:tcPr>
          <w:p>
            <w:pPr>
              <w:jc w:val="right"/>
              <w:ind w:right="103"/>
              <w:spacing w:after="0"/>
              <w:rPr>
                <w:sz w:val="20"/>
                <w:szCs w:val="20"/>
                <w:color w:val="auto"/>
              </w:rPr>
            </w:pPr>
            <w:r>
              <w:rPr>
                <w:rFonts w:ascii="Times New Roman" w:cs="Times New Roman" w:eastAsia="Times New Roman" w:hAnsi="Times New Roman"/>
                <w:sz w:val="12"/>
                <w:szCs w:val="12"/>
                <w:color w:val="0000FF"/>
              </w:rPr>
              <w:t>938.764</w:t>
            </w:r>
          </w:p>
        </w:tc>
        <w:tc>
          <w:tcPr>
            <w:tcW w:w="280" w:type="dxa"/>
            <w:vAlign w:val="bottom"/>
          </w:tcPr>
          <w:p>
            <w:pPr>
              <w:spacing w:after="0"/>
              <w:rPr>
                <w:sz w:val="11"/>
                <w:szCs w:val="11"/>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(5)</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right"/>
              <w:ind w:right="52"/>
              <w:spacing w:after="0"/>
              <w:rPr>
                <w:sz w:val="20"/>
                <w:szCs w:val="20"/>
                <w:color w:val="auto"/>
              </w:rPr>
            </w:pPr>
            <w:r>
              <w:rPr>
                <w:rFonts w:ascii="Times New Roman" w:cs="Times New Roman" w:eastAsia="Times New Roman" w:hAnsi="Times New Roman"/>
                <w:sz w:val="16"/>
                <w:szCs w:val="16"/>
                <w:color w:val="0000FF"/>
              </w:rPr>
              <w:t>938.764</w:t>
            </w:r>
          </w:p>
        </w:tc>
        <w:tc>
          <w:tcPr>
            <w:tcW w:w="40" w:type="dxa"/>
            <w:vAlign w:val="bottom"/>
          </w:tcPr>
          <w:p>
            <w:pPr>
              <w:spacing w:after="0"/>
              <w:rPr>
                <w:sz w:val="11"/>
                <w:szCs w:val="11"/>
                <w:color w:val="auto"/>
              </w:rPr>
            </w:pPr>
          </w:p>
        </w:tc>
        <w:tc>
          <w:tcPr>
            <w:tcW w:w="680" w:type="dxa"/>
            <w:vAlign w:val="bottom"/>
            <w:vMerge w:val="restart"/>
          </w:tcPr>
          <w:p>
            <w:pPr>
              <w:jc w:val="center"/>
              <w:ind w:right="1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23.08</w:t>
            </w:r>
          </w:p>
        </w:tc>
        <w:tc>
          <w:tcPr>
            <w:tcW w:w="82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2"/>
                <w:szCs w:val="12"/>
                <w:color w:val="0000FF"/>
              </w:rPr>
              <w:t>7,271.477</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38" w:lineRule="auto"/>
        <w:rPr>
          <w:sz w:val="20"/>
          <w:szCs w:val="20"/>
          <w:color w:val="auto"/>
        </w:rPr>
      </w:pPr>
      <w:r>
        <w:rPr>
          <w:rFonts w:ascii="Times New Roman" w:cs="Times New Roman" w:eastAsia="Times New Roman" w:hAnsi="Times New Roman"/>
          <w:sz w:val="12"/>
          <w:szCs w:val="12"/>
          <w:color w:val="0000FF"/>
        </w:rPr>
        <w:t>Stock</w:t>
      </w:r>
    </w:p>
    <w:p>
      <w:pPr>
        <w:ind w:left="80"/>
        <w:spacing w:after="0"/>
        <w:rPr>
          <w:sz w:val="20"/>
          <w:szCs w:val="20"/>
          <w:color w:val="auto"/>
        </w:rPr>
      </w:pPr>
      <w:r>
        <w:rPr>
          <w:rFonts w:ascii="Times New Roman" w:cs="Times New Roman" w:eastAsia="Times New Roman" w:hAnsi="Times New Roman"/>
          <w:sz w:val="12"/>
          <w:szCs w:val="12"/>
          <w:color w:val="0000FF"/>
        </w:rPr>
        <w:t>Equivalents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240" w:hanging="3"/>
        <w:spacing w:after="0" w:line="254"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acquired 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Such securities were originally included on the Form 3 filed by the Reporting Person on March 10, 2022.</w:t>
      </w:r>
    </w:p>
    <w:p>
      <w:pPr>
        <w:spacing w:after="0" w:line="159" w:lineRule="exact"/>
        <w:rPr>
          <w:rFonts w:ascii="Times New Roman" w:cs="Times New Roman" w:eastAsia="Times New Roman" w:hAnsi="Times New Roman"/>
          <w:sz w:val="12"/>
          <w:szCs w:val="12"/>
          <w:color w:val="008000"/>
        </w:rPr>
      </w:pPr>
    </w:p>
    <w:p>
      <w:pPr>
        <w:ind w:left="40" w:right="50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unvested restricted stock units ("RSUs"), which awards continue to be subject to the same terms and conditions of the Old BellRing awards. In connection with the Transactions, unvested RSUs of Old BellRing were assumed by Issuer and continue to be subject to the same terms and conditions of the Old BellRing awards.</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Such equity awards may be adjusted to account for the Cash Consideration paid to holders of Old Bell Ring common stock in the Transactions.</w:t>
      </w:r>
    </w:p>
    <w:p>
      <w:pPr>
        <w:spacing w:after="0" w:line="48" w:lineRule="exact"/>
        <w:rPr>
          <w:rFonts w:ascii="Times New Roman" w:cs="Times New Roman" w:eastAsia="Times New Roman" w:hAnsi="Times New Roman"/>
          <w:sz w:val="12"/>
          <w:szCs w:val="12"/>
          <w:color w:val="008000"/>
        </w:rPr>
      </w:pPr>
    </w:p>
    <w:p>
      <w:pPr>
        <w:jc w:val="both"/>
        <w:ind w:left="40" w:right="46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Person's retainer earned as a Director of Issuer is deferred into Issuer Common Stock equivalents under the Issuer's Deferred Compensation Plan for Directors. Reporting Person is credited with stock equivalents on a quarterly basis as soon as administratively practical following the quarter in which such retainer is earned. The value of these stock equivalents is distributed (on a one-for-one basis) in the form of Issuer Common Stock upon Reporting Person's retirement from the Board of Directors.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equivalents have no fixed exercisable or expiration dates.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6"/>
          <w:szCs w:val="16"/>
          <w:color w:val="0000FF"/>
        </w:rPr>
        <w:t xml:space="preserve">/s/ Craig L. Rosenthal, Attorney- </w:t>
      </w:r>
      <w:r>
        <w:rPr>
          <w:rFonts w:ascii="Times New Roman" w:cs="Times New Roman" w:eastAsia="Times New Roman" w:hAnsi="Times New Roman"/>
          <w:sz w:val="32"/>
          <w:szCs w:val="32"/>
          <w:color w:val="0000FF"/>
          <w:vertAlign w:val="subscript"/>
        </w:rPr>
        <w:t>04/05/2022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-25400</wp:posOffset>
            </wp:positionV>
            <wp:extent cx="13525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255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2908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7620"/>
                    </a:xfrm>
                    <a:prstGeom prst="rect">
                      <a:avLst/>
                    </a:prstGeom>
                    <a:noFill/>
                  </pic:spPr>
                </pic:pic>
              </a:graphicData>
            </a:graphic>
          </wp:anchor>
        </w:drawing>
        <w:drawing>
          <wp:anchor simplePos="0" relativeHeight="251657728" behindDoc="1" locked="0" layoutInCell="0" allowOverlap="1">
            <wp:simplePos x="0" y="0"/>
            <wp:positionH relativeFrom="column">
              <wp:posOffset>5589270</wp:posOffset>
            </wp:positionH>
            <wp:positionV relativeFrom="paragraph">
              <wp:posOffset>-80010</wp:posOffset>
            </wp:positionV>
            <wp:extent cx="4679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7995" cy="7620"/>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0648"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2022-04-05T16:33:01Z</dcterms:created>
  <dcterms:modified xsi:type="dcterms:W3CDTF">2022-04-05T16:33:01Z</dcterms:modified>
</cp:coreProperties>
</file>