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373341.xml.htm"/>
      <w:bookmarkStart w:id="1" w:name="kswkform4_178337334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JOHNSON JENNIFER KUPERMAN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BELLRING BRANDS,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N BRENTWOOD BLVD., SUITE 1550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ST. LOUIS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63105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BELLRING BRANDS,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BRBR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303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30"/>
        <w:gridCol w:w="861"/>
        <w:gridCol w:w="891"/>
        <w:gridCol w:w="771"/>
        <w:gridCol w:w="591"/>
        <w:gridCol w:w="300"/>
        <w:gridCol w:w="966"/>
        <w:gridCol w:w="276"/>
        <w:gridCol w:w="906"/>
        <w:gridCol w:w="801"/>
        <w:gridCol w:w="891"/>
        <w:gridCol w:w="1101"/>
        <w:gridCol w:w="801"/>
        <w:gridCol w:w="1071"/>
        <w:gridCol w:w="831"/>
        <w:gridCol w:w="846"/>
      </w:tblGrid>
      <w:tr>
        <w:trPr>
          <w:tblHeader w:val="true"/>
        </w:trPr>
        <w:tc>
          <w:tcPr>
            <w:tcW w:w="1303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13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2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9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3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BellRing Brands, Inc. Common Stock Equivalents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2,382.733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2,382.733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12.94</w:t>
            </w:r>
            <w:r>
              <w:rPr/>
              <w:t xml:space="preserve"> 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21,903.107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Reporting Person's retainer earned as a Director of Issuer is deferred into Issuer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Issuer Common Stock upon Reporting Person's retirement from the Board of Directors.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Common Stock equivalents have no fixed exercisable or expiration dates.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Craig L. Rosenthal,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90648" TargetMode="External"/><Relationship Id="rId5" Type="http://schemas.openxmlformats.org/officeDocument/2006/relationships/hyperlink" Target="http://www.sec.gov/cgi-bin/browse-edgar?action=getcompany&amp;CIK=000177201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667</Words>
  <Characters>3649</Characters>
  <CharactersWithSpaces>4252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