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13335</wp:posOffset>
            </wp:positionV>
            <wp:extent cx="7047865" cy="4597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ERICKSON THOMAS P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07/06/2021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14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07/06/2021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 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671.194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671.194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32.28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5,882.034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A 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Equivalents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200" w:hanging="1"/>
        <w:spacing w:after="0" w:line="235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Person's retainer earned as a Director of Issuer is deferred into BellRing Brands, Inc. Class A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BellRing Brands, Inc. Class A common stock upon Reporting Person's retirement from the Board of Directors.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equivalents have no fixed exercisable or expiration dates.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Craig L. Rosenthal,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0535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2021-10-04T16:15:58Z</dcterms:created>
  <dcterms:modified xsi:type="dcterms:W3CDTF">2021-10-04T16:15:58Z</dcterms:modified>
</cp:coreProperties>
</file>