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25"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November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01"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2"/>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87-3296749</w:t>
            </w:r>
          </w:p>
        </w:tc>
      </w:tr>
      <w:tr>
        <w:trPr>
          <w:trHeight w:val="160"/>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9"/>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60"/>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9"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7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Arial" w:cs="Arial" w:eastAsia="Arial" w:hAnsi="Arial"/>
                <w:sz w:val="12"/>
                <w:szCs w:val="12"/>
                <w:color w:val="auto"/>
                <w:w w:val="89"/>
              </w:rPr>
              <w:t>Title of each class</w:t>
            </w:r>
          </w:p>
        </w:tc>
        <w:tc>
          <w:tcPr>
            <w:tcW w:w="2480" w:type="dxa"/>
            <w:vAlign w:val="bottom"/>
            <w:gridSpan w:val="3"/>
          </w:tcPr>
          <w:p>
            <w:pPr>
              <w:jc w:val="center"/>
              <w:ind w:right="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17"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06"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On November 20, 2023, BellRing Brands, Inc. (the "Company") issued a press release announcing results for its fourth fiscal quarter and fiscal year ended September 30, 2023 and providing a financial outlook for fiscal year 2024. A copy of the press release is attached hereto as Exhibit 99.1 and incorporated herein by reference.</w:t>
      </w:r>
    </w:p>
    <w:p>
      <w:pPr>
        <w:spacing w:after="0" w:line="13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 addition, on November 20, 2023, the Company published to the "Investor Relations" section of its website, www.bellringbrands.com, a supplemental presentation related to results for its fourth fiscal quarter and fiscal year ended September 30, 2023. A copy of the presentation is attached hereto as Exhibit 99.2 and incorporated herein by reference.</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b w:val="1"/>
          <w:bCs w:val="1"/>
          <w:color w:val="auto"/>
        </w:rPr>
        <w:t>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4"/>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Arial" w:cs="Arial" w:eastAsia="Arial" w:hAnsi="Arial"/>
                <w:sz w:val="12"/>
                <w:szCs w:val="12"/>
                <w:color w:val="0000FF"/>
              </w:rPr>
              <w:t>Press Release dated November 20, 2023</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444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w w:val="88"/>
              </w:rPr>
              <w:t>Fourth Fiscal Quarter and Fiscal Year Ended September 30, 2023 Supplemental Presentation</w:t>
            </w:r>
          </w:p>
        </w:tc>
        <w:tc>
          <w:tcPr>
            <w:tcW w:w="460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Date: November 20, 2023</w:t>
            </w:r>
          </w:p>
        </w:tc>
        <w:tc>
          <w:tcPr>
            <w:tcW w:w="7680" w:type="dxa"/>
            <w:vAlign w:val="bottom"/>
            <w:gridSpan w:val="2"/>
          </w:tcPr>
          <w:p>
            <w:pPr>
              <w:ind w:left="214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400" w:type="dxa"/>
            <w:vAlign w:val="bottom"/>
          </w:tcPr>
          <w:p>
            <w:pPr>
              <w:spacing w:after="0"/>
              <w:rPr>
                <w:sz w:val="19"/>
                <w:szCs w:val="19"/>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40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4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400" w:type="dxa"/>
            <w:vAlign w:val="bottom"/>
          </w:tcPr>
          <w:p>
            <w:pPr>
              <w:spacing w:after="0"/>
              <w:rPr>
                <w:sz w:val="13"/>
                <w:szCs w:val="13"/>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Fourth Quarter and Fiscal Year 2023</w:t>
      </w:r>
    </w:p>
    <w:p>
      <w:pPr>
        <w:spacing w:after="0" w:line="148" w:lineRule="exact"/>
        <w:rPr>
          <w:sz w:val="20"/>
          <w:szCs w:val="20"/>
          <w:color w:val="auto"/>
        </w:rPr>
      </w:pPr>
    </w:p>
    <w:p>
      <w:pPr>
        <w:ind w:right="200"/>
        <w:spacing w:after="0" w:line="283" w:lineRule="auto"/>
        <w:rPr>
          <w:sz w:val="20"/>
          <w:szCs w:val="20"/>
          <w:color w:val="auto"/>
        </w:rPr>
      </w:pPr>
      <w:r>
        <w:rPr>
          <w:rFonts w:ascii="Arial" w:cs="Arial" w:eastAsia="Arial" w:hAnsi="Arial"/>
          <w:sz w:val="12"/>
          <w:szCs w:val="12"/>
          <w:b w:val="1"/>
          <w:bCs w:val="1"/>
          <w:color w:val="auto"/>
        </w:rPr>
        <w:t xml:space="preserve">St. Louis - November 20, 2023 </w:t>
      </w:r>
      <w:r>
        <w:rPr>
          <w:rFonts w:ascii="Arial" w:cs="Arial" w:eastAsia="Arial" w:hAnsi="Arial"/>
          <w:sz w:val="12"/>
          <w:szCs w:val="12"/>
          <w:color w:val="auto"/>
        </w:rPr>
        <w:t>- BellRing Brands, Inc. (NYSE:BRBR) (“BellRing”), a holding company operating in the global convenient nutrition category, today reported results for the fourth fiscal quarter and fiscal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2023.</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Fourth quarter net sales of $472.6 million, operating profit of $78.1 million, net earnings of $46.1 million and Adjusted EBITDA* of $98.5 million</w:t>
      </w:r>
    </w:p>
    <w:p>
      <w:pPr>
        <w:spacing w:after="0" w:line="18"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Fiscal year net sales of $1,666.8 million, operating profit of $287.3 million, net earnings of $165.5 million and Adjusted EBITDA* of $338.3 million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Generated $215.6 million in cash from operations in fiscal year 2023</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Fiscal year 2024 net sales and Adjusted EBITDA* expected to range between $1.83-$1.91 billion and $360-$390 million, respectively</w:t>
      </w:r>
    </w:p>
    <w:p>
      <w:pPr>
        <w:spacing w:after="0" w:line="102" w:lineRule="exact"/>
        <w:rPr>
          <w:sz w:val="20"/>
          <w:szCs w:val="20"/>
          <w:color w:val="auto"/>
        </w:rPr>
      </w:pPr>
    </w:p>
    <w:p>
      <w:pPr>
        <w:jc w:val="both"/>
        <w:ind w:right="160"/>
        <w:spacing w:after="0" w:line="234" w:lineRule="auto"/>
        <w:rPr>
          <w:sz w:val="20"/>
          <w:szCs w:val="20"/>
          <w:color w:val="auto"/>
        </w:rPr>
      </w:pPr>
      <w:r>
        <w:rPr>
          <w:rFonts w:ascii="Arial" w:cs="Arial" w:eastAsia="Arial" w:hAnsi="Arial"/>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 xml:space="preserve">“We finished the year strong, with our results coming in at the high end of our expectations.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consumption accelerated, lifted by meaningful distribution gains, incremental promotional activity and continued excitement around our shake flavors. In addition to seeing strong market share gains,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significantly grew household penetration.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also experienced robust consumption growth, benefiting from new households and distribution gains,” said Darcy H. Davenport, President and Chief Executive Officer of BellRing. “Our momentum remains high on both brands with the convenient nutrition category providing strong tailwinds. Our shake capacity expansion is on track and the long-term prospects for our company and our brands remain bright.”</w:t>
      </w:r>
    </w:p>
    <w:p>
      <w:pPr>
        <w:spacing w:after="0" w:line="88"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 xml:space="preserve">Dollar consumption of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ready-to-drink (“RTD”) shakes and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powder products increased 36.1% and 38.4%, respectively, in the 13-week period ended October 1, 2023, as compared to the same period in 2022 (inclusive of Circana United States (“U.S.”) Multi Outlet including Convenience and management estimates of untracked channels).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Net sales were $472.6 million, an increase of 24.6%, or $93.4 million, compared to the prior year period, driven by 19.4% increase in volume and 5.2% improvement in price/mix.</w:t>
      </w:r>
    </w:p>
    <w:p>
      <w:pPr>
        <w:spacing w:after="0" w:line="11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i w:val="1"/>
          <w:iCs w:val="1"/>
          <w:color w:val="auto"/>
        </w:rPr>
        <w:t xml:space="preserve">Premier Protein </w:t>
      </w:r>
      <w:r>
        <w:rPr>
          <w:rFonts w:ascii="Arial" w:cs="Arial" w:eastAsia="Arial" w:hAnsi="Arial"/>
          <w:sz w:val="12"/>
          <w:szCs w:val="12"/>
          <w:color w:val="auto"/>
        </w:rPr>
        <w:t>net sales increased 30.2%, driven by 21.0% increase in volume and 9.2% improvement in price/mix.</w:t>
      </w:r>
      <w:r>
        <w:rPr>
          <w:rFonts w:ascii="Arial" w:cs="Arial" w:eastAsia="Arial" w:hAnsi="Arial"/>
          <w:sz w:val="12"/>
          <w:szCs w:val="12"/>
          <w:i w:val="1"/>
          <w:iCs w:val="1"/>
          <w:color w:val="auto"/>
        </w:rPr>
        <w:t xml:space="preserve"> Premier Protein </w:t>
      </w:r>
      <w:r>
        <w:rPr>
          <w:rFonts w:ascii="Arial" w:cs="Arial" w:eastAsia="Arial" w:hAnsi="Arial"/>
          <w:sz w:val="12"/>
          <w:szCs w:val="12"/>
          <w:color w:val="auto"/>
        </w:rPr>
        <w:t>RTD shake net sales increased 28.9%, driven by 21.2% increase in volume and 7.7% improvement</w:t>
      </w:r>
      <w:r>
        <w:rPr>
          <w:rFonts w:ascii="Arial" w:cs="Arial" w:eastAsia="Arial" w:hAnsi="Arial"/>
          <w:sz w:val="12"/>
          <w:szCs w:val="12"/>
          <w:i w:val="1"/>
          <w:iCs w:val="1"/>
          <w:color w:val="auto"/>
        </w:rPr>
        <w:t xml:space="preserve"> </w:t>
      </w:r>
      <w:r>
        <w:rPr>
          <w:rFonts w:ascii="Arial" w:cs="Arial" w:eastAsia="Arial" w:hAnsi="Arial"/>
          <w:sz w:val="12"/>
          <w:szCs w:val="12"/>
          <w:color w:val="auto"/>
        </w:rPr>
        <w:t>in price/mix. Higher RTD shake production, which enabled planned incremental promotional activity, along with the reintroduction of certain shake flavors and RTD category growth drove volume gains. Additionally, net sales benefited from higher average net selling prices driven by price increases to offset cost inflation.</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i w:val="1"/>
          <w:iCs w:val="1"/>
          <w:color w:val="auto"/>
        </w:rPr>
        <w:t xml:space="preserve">Dymatize </w:t>
      </w:r>
      <w:r>
        <w:rPr>
          <w:rFonts w:ascii="Arial" w:cs="Arial" w:eastAsia="Arial" w:hAnsi="Arial"/>
          <w:sz w:val="12"/>
          <w:szCs w:val="12"/>
          <w:color w:val="auto"/>
        </w:rPr>
        <w:t>net sales decreased 0.9%, driven by 0.7% decrease in volume primarily from lapping a trade inventory build in the international and specialty channels in the prior year period. This headwind offset strong volume growth from</w:t>
      </w:r>
      <w:r>
        <w:rPr>
          <w:rFonts w:ascii="Arial" w:cs="Arial" w:eastAsia="Arial" w:hAnsi="Arial"/>
          <w:sz w:val="12"/>
          <w:szCs w:val="12"/>
          <w:i w:val="1"/>
          <w:iCs w:val="1"/>
          <w:color w:val="auto"/>
        </w:rPr>
        <w:t xml:space="preserve"> </w:t>
      </w:r>
      <w:r>
        <w:rPr>
          <w:rFonts w:ascii="Arial" w:cs="Arial" w:eastAsia="Arial" w:hAnsi="Arial"/>
          <w:sz w:val="12"/>
          <w:szCs w:val="12"/>
          <w:color w:val="auto"/>
        </w:rPr>
        <w:t>distribution gains and organic growth.</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Gross profit was $155.3 million, or 32.9% of net sales, an increase of 27.0%, or $33.0 million, compared to $122.3 million, or 32.3% of net sales, in the prior year period. The higher gross profit margin was driven by improved pricing that mitigated input cost inflation, which was partially offset by incremental promotional activity.</w:t>
      </w:r>
    </w:p>
    <w:p>
      <w:pPr>
        <w:spacing w:after="0" w:line="7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Selling, general and administrative (“SG&amp;A”) expenses were $65.2 million, or 13.8% of net sales, an increase of $9.0 million compared to $56.2 million, or 14.8% of net sales, in the prior year period. SG&amp;A expenses included a $5.0 million and $8.0</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ind w:right="400"/>
        <w:spacing w:after="0" w:line="276" w:lineRule="auto"/>
        <w:rPr>
          <w:sz w:val="20"/>
          <w:szCs w:val="20"/>
          <w:color w:val="auto"/>
        </w:rPr>
      </w:pPr>
      <w:r>
        <w:rPr>
          <w:rFonts w:ascii="Arial" w:cs="Arial" w:eastAsia="Arial" w:hAnsi="Arial"/>
          <w:sz w:val="12"/>
          <w:szCs w:val="12"/>
          <w:color w:val="auto"/>
        </w:rPr>
        <w:t>million provision for legal matters in the fourth quarter of 2023 and 2022, respectively, which was treated as an adjustment for non-GAAP measures. SG&amp;A expenses in the fourth quarter of 2023 included higher marketing and consumer advertising expenses of $3.2 million and higher distribution and warehousing expenses on higher volumes.</w:t>
      </w:r>
    </w:p>
    <w:p>
      <w:pPr>
        <w:spacing w:after="0" w:line="7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Operating profit was $78.1 million, an increase of 27.8%, or $17.0 million, compared to $61.1 million in the prior year period, and was negatively impacted by $7.1 million of accelerated amortization, which is discussed later in this release and was treated as an adjustment for non-GAAP measures.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Net earnings available to common stockholders were $46.1 million, an increase of 36.8%, or $12.4 million, compared to $33.7 million in the prior year period. Net earnings per diluted share of common stock were $0.35, compared to $0.25 in the prior year period. Adjusted net earnings available to common stockholders* were $54.7 million, or $0.41 per diluted share of common stock*, compared to $41.8 million, or $0.31 per diluted share of common stock*, in the prior year period.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was $98.5 million, an increase of 23.3%, or $18.6 million, compared to $79.9 million in the prior year period.</w:t>
      </w:r>
    </w:p>
    <w:p>
      <w:pPr>
        <w:spacing w:after="0" w:line="110" w:lineRule="exact"/>
        <w:rPr>
          <w:sz w:val="20"/>
          <w:szCs w:val="20"/>
          <w:color w:val="auto"/>
        </w:rPr>
      </w:pPr>
    </w:p>
    <w:p>
      <w:pPr>
        <w:ind w:right="240"/>
        <w:spacing w:after="0" w:line="257" w:lineRule="auto"/>
        <w:rPr>
          <w:sz w:val="20"/>
          <w:szCs w:val="20"/>
          <w:color w:val="auto"/>
        </w:rPr>
      </w:pPr>
      <w:r>
        <w:rPr>
          <w:rFonts w:ascii="Arial" w:cs="Arial" w:eastAsia="Arial" w:hAnsi="Arial"/>
          <w:sz w:val="10"/>
          <w:szCs w:val="10"/>
          <w:i w:val="1"/>
          <w:iCs w:val="1"/>
          <w:color w:val="auto"/>
        </w:rPr>
        <w:t>*Adjusted net earnings available to common stockholders, Adjusted diluted earnings per share of common stock and Adjusted EBITDA are non-GAAP measures. For additional information regarding non-GAAP measures, see the related explanations presented under “Use of Non-GAAP Measures” later in this release.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2023 Operating Results</w:t>
      </w:r>
    </w:p>
    <w:p>
      <w:pPr>
        <w:spacing w:after="0" w:line="11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 xml:space="preserve">Net sales were $1,666.8 million, an increase of 21.5%, or $295.3 million, compared to the prior year, driven by 12.2% improvement in price/mix and 9.3% increase in volume.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24.8%, driven by 14.1% improvement in price/mix and 10.7% increase in volume.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10.8%, driven by 7.0% improvement in price/mix and 3.8% increase in volume.</w:t>
      </w:r>
    </w:p>
    <w:p>
      <w:pPr>
        <w:spacing w:after="0" w:line="7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Gross profit was $530.2 million, or 31.8% of net sales, an increase of 25.7%, or $108.4 million, compared to $421.8 million, or 30.8% of net sales, in the prior year. The higher gross profit margin was driven by pricing actions that mitigated significant input cost inflation and favorable freight rates.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SG&amp;A expenses were $216.3 million, or 13.0% of net sales, an increase of $26.6 million compared to $189.7 million, or 13.8% of net sales, in the prior year. SG&amp;A expenses included $0.7 million and $14.5 million in the twelve months ended September 30, 2023 and 2022, respectively, of costs incurred in connection with BellRing’s separation from Post Holdings, Inc. (“Post”). SG&amp;A expenses included a $5.0 million and $8.0 million provision for legal matters in the twelve months ended September 30, 2023 and 2022, respectively. The separation costs and provision for legal matters were treated as adjustments for non-GAAP measures. SG&amp;A expenses in the twelve months ended September 30, 2023 included higher marketing and consumer advertising expenses of $18.3 million.</w:t>
      </w:r>
    </w:p>
    <w:p>
      <w:pPr>
        <w:spacing w:after="0" w:line="8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Operating profit was $287.3 million, an increase of 35.3%, or $74.9 million, compared to $212.4 million in the prior year, and was negatively impacted by $7.1 million of accelerated amortization, which is discussed later in this release and was treated as an adjustment for non-GAAP measures.</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Net earnings available to common stockholders were $165.5 million, an increase of 101.1%, or $83.2 million, compared to $82.3 million in the prior year. Net earnings available to common stockholders in the prior year included loss on extinguishment of debt, net of $17.6 million, which is discussed later in this release and was treated as an adjustment for non-GAAP measures, and excluded $33.7 million of net earnings attributable to the Company’s redeemable noncontrolling interest (the “NCI”). Net earnings per diluted share of common stock were $1.23, compared to $0.88 in the prior year. Adjusted net earnings available to common stockholders* were $177.2 million, or $1.32 per diluted share of common stock*, compared to $108.9 million, or $1.16 per diluted share of common stock*, in the prior year. Diluted weighted-average shares of common stock outstanding were 134.1 million, compared to 93.8 million in the prior year, with the increase driven by the Spin-off (see definition below).</w:t>
      </w:r>
    </w:p>
    <w:p>
      <w:pPr>
        <w:spacing w:after="0" w:line="92" w:lineRule="exact"/>
        <w:rPr>
          <w:sz w:val="20"/>
          <w:szCs w:val="20"/>
          <w:color w:val="auto"/>
        </w:rPr>
      </w:pPr>
    </w:p>
    <w:p>
      <w:pPr>
        <w:jc w:val="both"/>
        <w:ind w:right="280"/>
        <w:spacing w:after="0" w:line="263" w:lineRule="auto"/>
        <w:rPr>
          <w:sz w:val="20"/>
          <w:szCs w:val="20"/>
          <w:color w:val="auto"/>
        </w:rPr>
      </w:pPr>
      <w:r>
        <w:rPr>
          <w:rFonts w:ascii="Arial" w:cs="Arial" w:eastAsia="Arial" w:hAnsi="Arial"/>
          <w:sz w:val="12"/>
          <w:szCs w:val="12"/>
          <w:color w:val="auto"/>
        </w:rPr>
        <w:t>Adjusted EBITDA* was $338.3 million, an increase of 24.6%, or $66.9 million, compared to $271.4 million in the prior year. Adjusted EBITDA in the prior year included an adjustment for the portion of BellRing Brands, LLC’s (“BellRing LLC”) consolidated net earnings which was allocated to the NCI in the period prior to Post’s distribution to its shareholders of 80.1% of Post’s interest in BellRing (the “Distribution” and, together with the transactions related thereto, the “Spin-off”), resulting in the calculation of Adjusted EBITDA including 100% of BellRing.</w:t>
      </w:r>
    </w:p>
    <w:p>
      <w:pPr>
        <w:spacing w:after="0" w:line="83" w:lineRule="exact"/>
        <w:rPr>
          <w:sz w:val="20"/>
          <w:szCs w:val="20"/>
          <w:color w:val="auto"/>
        </w:rPr>
      </w:pPr>
    </w:p>
    <w:p>
      <w:pPr>
        <w:ind w:right="240"/>
        <w:spacing w:after="0" w:line="239" w:lineRule="auto"/>
        <w:rPr>
          <w:sz w:val="20"/>
          <w:szCs w:val="20"/>
          <w:color w:val="auto"/>
        </w:rPr>
      </w:pPr>
      <w:r>
        <w:rPr>
          <w:rFonts w:ascii="Arial" w:cs="Arial" w:eastAsia="Arial" w:hAnsi="Arial"/>
          <w:sz w:val="10"/>
          <w:szCs w:val="10"/>
          <w:i w:val="1"/>
          <w:iCs w:val="1"/>
          <w:color w:val="auto"/>
        </w:rPr>
        <w:t>*Adjusted net earnings available to common stockholders, Adjusted diluted earnings per share of common stock and Adjusted EBITDA are non-GAAP measures. For additional information regarding non-GAAP measures, see the related explanations presented under “Use of Non-GAAP Measures” later in this release.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60"/>
          </w:cols>
          <w:pgMar w:left="300" w:top="644" w:right="33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Interest, Loss on Extinguishment of Debt and Income Tax</w:t>
      </w:r>
    </w:p>
    <w:p>
      <w:pPr>
        <w:spacing w:after="0" w:line="118" w:lineRule="exact"/>
        <w:rPr>
          <w:sz w:val="20"/>
          <w:szCs w:val="20"/>
          <w:color w:val="auto"/>
        </w:rPr>
      </w:pPr>
    </w:p>
    <w:p>
      <w:pPr>
        <w:ind w:right="380"/>
        <w:spacing w:after="0" w:line="379" w:lineRule="auto"/>
        <w:rPr>
          <w:sz w:val="20"/>
          <w:szCs w:val="20"/>
          <w:color w:val="auto"/>
        </w:rPr>
      </w:pPr>
      <w:r>
        <w:rPr>
          <w:rFonts w:ascii="Arial" w:cs="Arial" w:eastAsia="Arial" w:hAnsi="Arial"/>
          <w:sz w:val="10"/>
          <w:szCs w:val="10"/>
          <w:color w:val="auto"/>
        </w:rPr>
        <w:t>Interest expense, net was $16.1 million and $16.4 million in the fourth quarter of 2023 and 2022, respectively. Interest expense, net was $66.9 million and $49.2 million in the twelve months ended September 30, 2023 and 2022, respectively, with the increase driven by an increase in (i) the average aggregate principal amount of debt outstanding, primarily resulting from the effect of the Spin-off transaction, and (ii) the weighted-average interest rate.</w:t>
      </w:r>
    </w:p>
    <w:p>
      <w:pPr>
        <w:spacing w:after="0" w:line="3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Loss on extinguishment of debt, net of $17.6 million was recorded in the twelve months ended September 30, 2022 in connection with BellRing LLC’s repayment of the entire principal amount of its term loan and termination of its prior credit agreement.</w:t>
      </w:r>
    </w:p>
    <w:p>
      <w:pPr>
        <w:spacing w:after="0" w:line="79"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Income tax expense was $15.9 million in the fourth quarter of 2023, an effective income tax rate of 25.6%, compared to $11.0 million in the fourth quarter of 2022, an effective income tax rate of 24.6%. Income tax expense was $54.9 million in the twelve months ended September 30, 2023, an effective income tax rate of 24.9%, compared to $29.6 million in the twelve months ended September 30, 2022, an effective income tax rate of 20.3%. The increase in the effective income tax rate in the twelve months ended September 30, 2023 when compared to the prior year period was driven by the inclusion of 100% of the income, gain, loss and deduction of BellRing LLC in the periods subsequent to the Spin-off, partially offset by higher separation-related expenses incurred in connection with the Spin-off in the prior year that were treated as non-deductible.</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Discontinuance of the </w:t>
      </w:r>
      <w:r>
        <w:rPr>
          <w:rFonts w:ascii="Arial" w:cs="Arial" w:eastAsia="Arial" w:hAnsi="Arial"/>
          <w:sz w:val="12"/>
          <w:szCs w:val="12"/>
          <w:b w:val="1"/>
          <w:bCs w:val="1"/>
          <w:i w:val="1"/>
          <w:iCs w:val="1"/>
          <w:color w:val="auto"/>
        </w:rPr>
        <w:t>PowerBar</w:t>
      </w:r>
      <w:r>
        <w:rPr>
          <w:rFonts w:ascii="Arial" w:cs="Arial" w:eastAsia="Arial" w:hAnsi="Arial"/>
          <w:sz w:val="12"/>
          <w:szCs w:val="12"/>
          <w:b w:val="1"/>
          <w:bCs w:val="1"/>
          <w:color w:val="auto"/>
        </w:rPr>
        <w:t xml:space="preserve"> business in North America</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During the fourth quarter of 2023, BellRing management approved a plan to discontinue its </w:t>
      </w:r>
      <w:r>
        <w:rPr>
          <w:rFonts w:ascii="Arial" w:cs="Arial" w:eastAsia="Arial" w:hAnsi="Arial"/>
          <w:sz w:val="12"/>
          <w:szCs w:val="12"/>
          <w:i w:val="1"/>
          <w:iCs w:val="1"/>
          <w:color w:val="auto"/>
        </w:rPr>
        <w:t>PowerBar</w:t>
      </w:r>
      <w:r>
        <w:rPr>
          <w:rFonts w:ascii="Arial" w:cs="Arial" w:eastAsia="Arial" w:hAnsi="Arial"/>
          <w:sz w:val="12"/>
          <w:szCs w:val="12"/>
          <w:color w:val="auto"/>
        </w:rPr>
        <w:t xml:space="preserve"> business in North America, which generated net sales of $7.7 million in fiscal year 2023. In connection with this discontinuance, BellRing incurred $7.1 million of accelerated amortization in the three and twelve months ended September 30, 2023, which was treated as an adjustment for non-GAAP measures. BellRing expects to fully amortize the intangible assets associated with the </w:t>
      </w:r>
      <w:r>
        <w:rPr>
          <w:rFonts w:ascii="Arial" w:cs="Arial" w:eastAsia="Arial" w:hAnsi="Arial"/>
          <w:sz w:val="12"/>
          <w:szCs w:val="12"/>
          <w:i w:val="1"/>
          <w:iCs w:val="1"/>
          <w:color w:val="auto"/>
        </w:rPr>
        <w:t>PowerBar</w:t>
      </w:r>
      <w:r>
        <w:rPr>
          <w:rFonts w:ascii="Arial" w:cs="Arial" w:eastAsia="Arial" w:hAnsi="Arial"/>
          <w:sz w:val="12"/>
          <w:szCs w:val="12"/>
          <w:color w:val="auto"/>
        </w:rPr>
        <w:t xml:space="preserve"> North American business by December 31, 2023 and, as a result, expects to record $17.4 million of accelerated amortization in its first quarter of 2024. BellRing’s international </w:t>
      </w:r>
      <w:r>
        <w:rPr>
          <w:rFonts w:ascii="Arial" w:cs="Arial" w:eastAsia="Arial" w:hAnsi="Arial"/>
          <w:sz w:val="12"/>
          <w:szCs w:val="12"/>
          <w:i w:val="1"/>
          <w:iCs w:val="1"/>
          <w:color w:val="auto"/>
        </w:rPr>
        <w:t>PowerBar</w:t>
      </w:r>
      <w:r>
        <w:rPr>
          <w:rFonts w:ascii="Arial" w:cs="Arial" w:eastAsia="Arial" w:hAnsi="Arial"/>
          <w:sz w:val="12"/>
          <w:szCs w:val="12"/>
          <w:color w:val="auto"/>
        </w:rPr>
        <w:t xml:space="preserve"> business is unaffected by BellRing’s plan to discontinue its North American </w:t>
      </w:r>
      <w:r>
        <w:rPr>
          <w:rFonts w:ascii="Arial" w:cs="Arial" w:eastAsia="Arial" w:hAnsi="Arial"/>
          <w:sz w:val="12"/>
          <w:szCs w:val="12"/>
          <w:i w:val="1"/>
          <w:iCs w:val="1"/>
          <w:color w:val="auto"/>
        </w:rPr>
        <w:t>PowerBar</w:t>
      </w:r>
      <w:r>
        <w:rPr>
          <w:rFonts w:ascii="Arial" w:cs="Arial" w:eastAsia="Arial" w:hAnsi="Arial"/>
          <w:sz w:val="12"/>
          <w:szCs w:val="12"/>
          <w:color w:val="auto"/>
        </w:rPr>
        <w:t xml:space="preserve"> business.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Repayments</w:t>
      </w:r>
    </w:p>
    <w:p>
      <w:pPr>
        <w:spacing w:after="0" w:line="11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During the fourth quarter of 2023, BellRing repaid $54.0 million of borrowings under its revolving credit facility. Subsequent to the end of the fourth quarter of 2023, BellRing repaid an additional $25.0 million of borrowings under its revolving credit facility, bringing the outstanding principal balance on the revolving credit facility to zero.</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Repurchases</w:t>
      </w:r>
    </w:p>
    <w:p>
      <w:pPr>
        <w:spacing w:after="0" w:line="11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During the fourth quarter of 2023, BellRing repurchased 0.2 million shares for $7.9 million at an average price of $39.20 per share. During the twelve months ended September 30, 2023, BellRing repurchased 4.2 million shares for $125.4 million at an average price of $29.56 per share. As of September 30, 2023, BellRing had $23.1 million remaining under its share repurchase authorization.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On March 10, 2022, Post’s distribution to its shareholders of 80.1% of its interest in BellRing was completed. From October 21, 2019 through March 10, 2022, BellRing allocated a portion of the consolidated net earnings of BellRing LLC to the NCI, reflecting the entitlement of Post to a portion of the consolidated net earnings. Subsequent to the Spin-off, any remaining ownership of BellRing by Post did not represent a NCI to BellRing LLC. On November 25, 2022, Post disposed of its remaining ownership in BellRing and, as a result, no longer had ownership of any shares of BellRing’s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For fiscal year 2024, BellRing management expects net sales to range between $1.83-$1.91 billion and Adjusted EBITDA to range between $360-$390 million (resulting in net sales and Adjusted EBITDA growth of 10%-15% and 6%-15%, respectively, over fiscal year 2023). BellRing management expects fiscal year 2024 capital expenditures of approximately $2 million.</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640" w:right="31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w:t>
      </w:r>
    </w:p>
    <w:p>
      <w:pPr>
        <w:spacing w:after="0" w:line="86" w:lineRule="exact"/>
        <w:rPr>
          <w:sz w:val="20"/>
          <w:szCs w:val="20"/>
          <w:color w:val="auto"/>
        </w:rPr>
      </w:pPr>
    </w:p>
    <w:p>
      <w:pPr>
        <w:ind w:right="14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to Discuss Earnings Results and Outlook</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BellRing will host a conference call on Tuesday, November 21, 2023 at 9:00 a.m. EST to discuss financial results for the fourth quarter and fiscal year 2023 and fiscal year 2024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Interested parties may join the conference call by registering in advance at the following link: BellRing Q4 2023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20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right="100"/>
        <w:spacing w:after="0" w:line="277" w:lineRule="auto"/>
        <w:rPr>
          <w:sz w:val="20"/>
          <w:szCs w:val="20"/>
          <w:color w:val="auto"/>
        </w:rPr>
      </w:pPr>
      <w:r>
        <w:rPr>
          <w:rFonts w:ascii="Arial" w:cs="Arial" w:eastAsia="Arial" w:hAnsi="Arial"/>
          <w:sz w:val="11"/>
          <w:szCs w:val="11"/>
          <w:color w:val="auto"/>
        </w:rPr>
        <w:t>Certain matters discussed in this release and on BellRing’s conference call are forward-looking statements, including BellRing’s net sales and Adjusted EBITDA and capital expenditures outlook for fiscal year 2024.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disruptions or inefficiencies in BellRing’s supply chain, including as a result of BellRing’s reliance on third-party suppliers or manufacturers for the manufacturing of many of its products, pandemics (including a resurgence of COVID-19 and/or variants)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dependence on a limited number of third-party contract manufacturers for the manufacturing of most of its products, including one manufacturer for the majority of its RTD protein shakes;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640" w:right="319" w:bottom="1440" w:gutter="0" w:footer="0" w:header="0"/>
        </w:sectPr>
      </w:pPr>
    </w:p>
    <w:bookmarkStart w:id="7" w:name="page8"/>
    <w:bookmarkEnd w:id="7"/>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of BellRing’s third-party contract manufacturers to produce an amount of BellRing’s products that enables BellRing to meet customer and consumer demand for the products;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reliance on a limited number of third-party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labor and other supplies);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maintain the net selling prices of its products and manage promotional activities with respect to its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critical accounting estimates;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uncertain or unfavorable economic conditions that limit customer and consumer demand for BellRing’s products or increase its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following BellRing’s separation from Post and the Spin-off, including BellRing’s obligations under various agreements with Post;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conflicting interests or the appearance of conflicting interests resulting from certain of BellRing’s directors also serving as officers or directors of Post;</w:t>
      </w:r>
    </w:p>
    <w:p>
      <w:pPr>
        <w:spacing w:after="0" w:line="6" w:lineRule="exact"/>
        <w:rPr>
          <w:rFonts w:ascii="Arial" w:cs="Arial" w:eastAsia="Arial" w:hAnsi="Arial"/>
          <w:sz w:val="12"/>
          <w:szCs w:val="12"/>
          <w:color w:val="auto"/>
        </w:rPr>
      </w:pPr>
    </w:p>
    <w:p>
      <w:pPr>
        <w:ind w:left="420" w:right="6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related to the previously completed Spin-off, including BellRing’s inability to take certain actions because such actions could jeopardize the tax-free status of the Spin-off and BellRing’s possible responsibility for U.S. federal tax liabilities related to the Spin-off;</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 assets;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any guidance BellRing may give regarding its performance;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160"/>
          </w:cols>
          <w:pgMar w:left="300" w:top="644" w:right="43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802"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 xml:space="preserve">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2520" w:type="dxa"/>
            <w:vAlign w:val="bottom"/>
            <w:gridSpan w:val="6"/>
          </w:tcPr>
          <w:p>
            <w:pPr>
              <w:ind w:left="260"/>
              <w:spacing w:after="0"/>
              <w:rPr>
                <w:sz w:val="20"/>
                <w:szCs w:val="20"/>
                <w:color w:val="auto"/>
              </w:rPr>
            </w:pPr>
            <w:r>
              <w:rPr>
                <w:rFonts w:ascii="Arial" w:cs="Arial" w:eastAsia="Arial" w:hAnsi="Arial"/>
                <w:sz w:val="11"/>
                <w:szCs w:val="11"/>
                <w:b w:val="1"/>
                <w:bCs w:val="1"/>
                <w:color w:val="auto"/>
              </w:rPr>
              <w:t>Three Months Ended September 30,</w:t>
            </w:r>
          </w:p>
        </w:tc>
        <w:tc>
          <w:tcPr>
            <w:tcW w:w="160" w:type="dxa"/>
            <w:vAlign w:val="bottom"/>
          </w:tcPr>
          <w:p>
            <w:pPr>
              <w:spacing w:after="0"/>
              <w:rPr>
                <w:sz w:val="12"/>
                <w:szCs w:val="12"/>
                <w:color w:val="auto"/>
              </w:rPr>
            </w:pPr>
          </w:p>
        </w:tc>
        <w:tc>
          <w:tcPr>
            <w:tcW w:w="20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1"/>
              </w:rPr>
              <w:t>Twelve Months Ended September 30,</w:t>
            </w:r>
          </w:p>
        </w:tc>
      </w:tr>
      <w:tr>
        <w:trPr>
          <w:trHeight w:val="133"/>
        </w:trPr>
        <w:tc>
          <w:tcPr>
            <w:tcW w:w="62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2022</w:t>
            </w: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2022</w:t>
            </w:r>
          </w:p>
        </w:tc>
      </w:tr>
      <w:tr>
        <w:trPr>
          <w:trHeight w:val="144"/>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Sales</w:t>
            </w:r>
          </w:p>
        </w:tc>
        <w:tc>
          <w:tcPr>
            <w:tcW w:w="620" w:type="dxa"/>
            <w:vAlign w:val="bottom"/>
            <w:shd w:val="clear" w:color="auto" w:fill="CCEEFF"/>
          </w:tcPr>
          <w:p>
            <w:pPr>
              <w:jc w:val="right"/>
              <w:ind w:right="51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472.6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379.2</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1,666.8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1,371.5</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goods sold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317.3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256.9</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1,136.6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949.7</w:t>
            </w:r>
          </w:p>
        </w:tc>
      </w:tr>
      <w:tr>
        <w:trPr>
          <w:trHeight w:val="142"/>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Gross Profit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155.3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530.2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421.8</w:t>
            </w:r>
          </w:p>
        </w:tc>
      </w:tr>
      <w:tr>
        <w:trPr>
          <w:trHeight w:val="153"/>
        </w:trPr>
        <w:tc>
          <w:tcPr>
            <w:tcW w:w="624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65.2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56.2</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216.3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189.7</w:t>
            </w:r>
          </w:p>
        </w:tc>
      </w:tr>
      <w:tr>
        <w:trPr>
          <w:trHeight w:val="153"/>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intangible assets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26.6</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w:t>
            </w:r>
          </w:p>
        </w:tc>
      </w:tr>
      <w:tr>
        <w:trPr>
          <w:trHeight w:val="142"/>
        </w:trPr>
        <w:tc>
          <w:tcPr>
            <w:tcW w:w="6240" w:type="dxa"/>
            <w:vAlign w:val="bottom"/>
          </w:tcPr>
          <w:p>
            <w:pPr>
              <w:ind w:left="20"/>
              <w:spacing w:after="0"/>
              <w:rPr>
                <w:sz w:val="20"/>
                <w:szCs w:val="20"/>
                <w:color w:val="auto"/>
              </w:rPr>
            </w:pPr>
            <w:r>
              <w:rPr>
                <w:rFonts w:ascii="Arial" w:cs="Arial" w:eastAsia="Arial" w:hAnsi="Arial"/>
                <w:sz w:val="12"/>
                <w:szCs w:val="12"/>
                <w:b w:val="1"/>
                <w:bCs w:val="1"/>
                <w:color w:val="auto"/>
              </w:rPr>
              <w:t>Operating Profit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78.1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287.3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212.4</w:t>
            </w:r>
          </w:p>
        </w:tc>
      </w:tr>
      <w:tr>
        <w:trPr>
          <w:trHeight w:val="153"/>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w:t>
            </w:r>
          </w:p>
        </w:tc>
      </w:tr>
      <w:tr>
        <w:trPr>
          <w:trHeight w:val="153"/>
        </w:trPr>
        <w:tc>
          <w:tcPr>
            <w:tcW w:w="6240" w:type="dxa"/>
            <w:vAlign w:val="bottom"/>
          </w:tcPr>
          <w:p>
            <w:pPr>
              <w:ind w:left="20"/>
              <w:spacing w:after="0"/>
              <w:rPr>
                <w:sz w:val="20"/>
                <w:szCs w:val="20"/>
                <w:color w:val="auto"/>
              </w:rPr>
            </w:pPr>
            <w:r>
              <w:rPr>
                <w:rFonts w:ascii="Arial" w:cs="Arial" w:eastAsia="Arial" w:hAnsi="Arial"/>
                <w:sz w:val="12"/>
                <w:szCs w:val="12"/>
                <w:color w:val="auto"/>
              </w:rPr>
              <w:t>Loss on extinguishment of debt, net</w:t>
            </w:r>
          </w:p>
        </w:tc>
        <w:tc>
          <w:tcPr>
            <w:tcW w:w="62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142"/>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Earnings before Income Taxes</w:t>
            </w: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220.4</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145.6</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54.9</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w:t>
            </w:r>
          </w:p>
        </w:tc>
      </w:tr>
      <w:tr>
        <w:trPr>
          <w:trHeight w:val="142"/>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w:t>
            </w:r>
          </w:p>
        </w:tc>
      </w:tr>
      <w:tr>
        <w:trPr>
          <w:trHeight w:val="153"/>
        </w:trPr>
        <w:tc>
          <w:tcPr>
            <w:tcW w:w="6240" w:type="dxa"/>
            <w:vAlign w:val="bottom"/>
          </w:tcPr>
          <w:p>
            <w:pPr>
              <w:ind w:left="20"/>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62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33.7</w:t>
            </w:r>
          </w:p>
        </w:tc>
      </w:tr>
      <w:tr>
        <w:trPr>
          <w:trHeight w:val="15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 Available to Common Stockholders</w:t>
            </w:r>
          </w:p>
        </w:tc>
        <w:tc>
          <w:tcPr>
            <w:tcW w:w="6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165.5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82.3</w:t>
            </w:r>
          </w:p>
        </w:tc>
      </w:tr>
      <w:tr>
        <w:trPr>
          <w:trHeight w:val="153"/>
        </w:trPr>
        <w:tc>
          <w:tcPr>
            <w:tcW w:w="6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Earnings per share of Common Stock:</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Arial" w:cs="Arial" w:eastAsia="Arial" w:hAnsi="Arial"/>
                <w:sz w:val="12"/>
                <w:szCs w:val="12"/>
                <w:color w:val="auto"/>
              </w:rPr>
              <w:t>Basic</w:t>
            </w: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0.35</w:t>
            </w:r>
          </w:p>
        </w:tc>
        <w:tc>
          <w:tcPr>
            <w:tcW w:w="2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0.25</w:t>
            </w:r>
          </w:p>
        </w:tc>
        <w:tc>
          <w:tcPr>
            <w:tcW w:w="32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1.24</w:t>
            </w:r>
          </w:p>
        </w:tc>
        <w:tc>
          <w:tcPr>
            <w:tcW w:w="2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0.88</w:t>
            </w:r>
          </w:p>
        </w:tc>
      </w:tr>
      <w:tr>
        <w:trPr>
          <w:trHeight w:val="153"/>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Diluted</w:t>
            </w:r>
          </w:p>
        </w:tc>
        <w:tc>
          <w:tcPr>
            <w:tcW w:w="620" w:type="dxa"/>
            <w:vAlign w:val="bottom"/>
            <w:shd w:val="clear" w:color="auto" w:fill="CCEEFF"/>
          </w:tcPr>
          <w:p>
            <w:pPr>
              <w:jc w:val="right"/>
              <w:ind w:right="51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0.88</w:t>
            </w:r>
          </w:p>
        </w:tc>
      </w:tr>
      <w:tr>
        <w:trPr>
          <w:trHeight w:val="171"/>
        </w:trPr>
        <w:tc>
          <w:tcPr>
            <w:tcW w:w="6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Weighted-Average shares of Common Stock Outstanding:</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Arial" w:cs="Arial" w:eastAsia="Arial" w:hAnsi="Arial"/>
                <w:sz w:val="12"/>
                <w:szCs w:val="12"/>
                <w:color w:val="auto"/>
              </w:rPr>
              <w:t>Basic</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131.4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135.7</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133.0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93.5</w:t>
            </w:r>
          </w:p>
        </w:tc>
      </w:tr>
      <w:tr>
        <w:trPr>
          <w:trHeight w:val="153"/>
        </w:trPr>
        <w:tc>
          <w:tcPr>
            <w:tcW w:w="6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Diluted</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132.9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980"/>
          </w:cols>
          <w:pgMar w:left="460" w:top="640" w:right="4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2023</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2022</w:t>
            </w:r>
          </w:p>
        </w:tc>
        <w:tc>
          <w:tcPr>
            <w:tcW w:w="460" w:type="dxa"/>
            <w:vAlign w:val="bottom"/>
            <w:tcBorders>
              <w:bottom w:val="single" w:sz="8" w:color="auto"/>
            </w:tcBorders>
          </w:tcPr>
          <w:p>
            <w:pPr>
              <w:spacing w:after="0"/>
              <w:rPr>
                <w:sz w:val="12"/>
                <w:szCs w:val="12"/>
                <w:color w:val="auto"/>
              </w:rPr>
            </w:pPr>
          </w:p>
        </w:tc>
      </w:tr>
      <w:tr>
        <w:trPr>
          <w:trHeight w:val="162"/>
        </w:trPr>
        <w:tc>
          <w:tcPr>
            <w:tcW w:w="3200" w:type="dxa"/>
            <w:vAlign w:val="bottom"/>
            <w:shd w:val="clear" w:color="auto" w:fill="CCEEFF"/>
          </w:tcPr>
          <w:p>
            <w:pPr>
              <w:spacing w:after="0"/>
              <w:rPr>
                <w:sz w:val="14"/>
                <w:szCs w:val="14"/>
                <w:color w:val="auto"/>
              </w:rPr>
            </w:pPr>
          </w:p>
        </w:tc>
        <w:tc>
          <w:tcPr>
            <w:tcW w:w="5360" w:type="dxa"/>
            <w:vAlign w:val="bottom"/>
            <w:gridSpan w:val="2"/>
            <w:shd w:val="clear" w:color="auto" w:fill="CCEEFF"/>
          </w:tcPr>
          <w:p>
            <w:pPr>
              <w:jc w:val="center"/>
              <w:ind w:right="506"/>
              <w:spacing w:after="0"/>
              <w:rPr>
                <w:sz w:val="20"/>
                <w:szCs w:val="20"/>
                <w:color w:val="auto"/>
              </w:rPr>
            </w:pPr>
            <w:r>
              <w:rPr>
                <w:rFonts w:ascii="Arial" w:cs="Arial" w:eastAsia="Arial" w:hAnsi="Arial"/>
                <w:sz w:val="11"/>
                <w:szCs w:val="11"/>
                <w:b w:val="1"/>
                <w:bCs w:val="1"/>
                <w:color w:val="auto"/>
                <w:w w:val="90"/>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60" w:type="dxa"/>
            <w:vAlign w:val="bottom"/>
            <w:gridSpan w:val="2"/>
            <w:shd w:val="clear" w:color="auto" w:fill="CCEEFF"/>
          </w:tcPr>
          <w:p>
            <w:pPr>
              <w:jc w:val="right"/>
              <w:ind w:right="1286"/>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w:t>
            </w: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168.2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173.3</w:t>
            </w: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199.8</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424.2</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421.3</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65.9</w:t>
            </w: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203.3</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r>
      <w:tr>
        <w:trPr>
          <w:trHeight w:val="158"/>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Assets</w:t>
            </w:r>
          </w:p>
        </w:tc>
        <w:tc>
          <w:tcPr>
            <w:tcW w:w="5360" w:type="dxa"/>
            <w:vAlign w:val="bottom"/>
            <w:gridSpan w:val="2"/>
          </w:tcPr>
          <w:p>
            <w:pPr>
              <w:jc w:val="right"/>
              <w:ind w:right="1286"/>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691.6</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707.2</w:t>
            </w:r>
          </w:p>
        </w:tc>
      </w:tr>
      <w:tr>
        <w:trPr>
          <w:trHeight w:val="153"/>
        </w:trPr>
        <w:tc>
          <w:tcPr>
            <w:tcW w:w="320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5360" w:type="dxa"/>
            <w:vAlign w:val="bottom"/>
            <w:gridSpan w:val="2"/>
          </w:tcPr>
          <w:p>
            <w:pPr>
              <w:jc w:val="center"/>
              <w:ind w:right="506"/>
              <w:spacing w:after="0"/>
              <w:rPr>
                <w:sz w:val="20"/>
                <w:szCs w:val="20"/>
                <w:color w:val="auto"/>
              </w:rPr>
            </w:pPr>
            <w:r>
              <w:rPr>
                <w:rFonts w:ascii="Arial" w:cs="Arial" w:eastAsia="Arial" w:hAnsi="Arial"/>
                <w:sz w:val="11"/>
                <w:szCs w:val="11"/>
                <w:b w:val="1"/>
                <w:bCs w:val="1"/>
                <w:color w:val="auto"/>
              </w:rPr>
              <w:t>LIABILITIES AND STOCKHOLDERS’ DEFICIT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5"/>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5360" w:type="dxa"/>
            <w:vAlign w:val="bottom"/>
            <w:gridSpan w:val="2"/>
          </w:tcPr>
          <w:p>
            <w:pPr>
              <w:jc w:val="right"/>
              <w:ind w:right="1286"/>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89.0</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93.8</w:t>
            </w: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49.7</w:t>
            </w: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150.2</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143.5</w:t>
            </w: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856.8</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929.5</w:t>
            </w: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1,015.1</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1,083.4</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(190.1)</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(355.6)</w:t>
            </w: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Treasury stock, at cost</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w:t>
            </w: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Stockholders’ Deficit</w:t>
            </w:r>
          </w:p>
        </w:tc>
        <w:tc>
          <w:tcPr>
            <w:tcW w:w="39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(323.5)</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(376.2)</w:t>
            </w: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Liabilities and Stockholders’ Deficit</w:t>
            </w:r>
          </w:p>
        </w:tc>
        <w:tc>
          <w:tcPr>
            <w:tcW w:w="5360" w:type="dxa"/>
            <w:vAlign w:val="bottom"/>
            <w:gridSpan w:val="2"/>
          </w:tcPr>
          <w:p>
            <w:pPr>
              <w:jc w:val="right"/>
              <w:ind w:right="1286"/>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691.6</w:t>
            </w:r>
          </w:p>
        </w:tc>
        <w:tc>
          <w:tcPr>
            <w:tcW w:w="340" w:type="dxa"/>
            <w:vAlign w:val="bottom"/>
          </w:tcPr>
          <w:p>
            <w:pPr>
              <w:spacing w:after="0"/>
              <w:rPr>
                <w:sz w:val="12"/>
                <w:szCs w:val="12"/>
                <w:color w:val="auto"/>
              </w:rPr>
            </w:pPr>
          </w:p>
        </w:tc>
        <w:tc>
          <w:tcPr>
            <w:tcW w:w="1420" w:type="dxa"/>
            <w:vAlign w:val="bottom"/>
          </w:tcPr>
          <w:p>
            <w:pPr>
              <w:jc w:val="right"/>
              <w:ind w:right="128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707.2</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3200" w:type="dxa"/>
            <w:vAlign w:val="bottom"/>
          </w:tcPr>
          <w:p>
            <w:pPr>
              <w:spacing w:after="0"/>
              <w:rPr>
                <w:sz w:val="24"/>
                <w:szCs w:val="24"/>
                <w:color w:val="auto"/>
              </w:rPr>
            </w:pPr>
          </w:p>
        </w:tc>
        <w:tc>
          <w:tcPr>
            <w:tcW w:w="5360" w:type="dxa"/>
            <w:vAlign w:val="bottom"/>
            <w:gridSpan w:val="2"/>
          </w:tcPr>
          <w:p>
            <w:pPr>
              <w:jc w:val="center"/>
              <w:ind w:right="506"/>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0"/>
        </w:trPr>
        <w:tc>
          <w:tcPr>
            <w:tcW w:w="3200" w:type="dxa"/>
            <w:vAlign w:val="bottom"/>
          </w:tcPr>
          <w:p>
            <w:pPr>
              <w:spacing w:after="0"/>
              <w:rPr>
                <w:sz w:val="12"/>
                <w:szCs w:val="12"/>
                <w:color w:val="auto"/>
              </w:rPr>
            </w:pPr>
          </w:p>
        </w:tc>
        <w:tc>
          <w:tcPr>
            <w:tcW w:w="5360" w:type="dxa"/>
            <w:vAlign w:val="bottom"/>
            <w:gridSpan w:val="2"/>
          </w:tcPr>
          <w:p>
            <w:pPr>
              <w:jc w:val="center"/>
              <w:ind w:right="506"/>
              <w:spacing w:after="0"/>
              <w:rPr>
                <w:sz w:val="20"/>
                <w:szCs w:val="20"/>
                <w:color w:val="auto"/>
              </w:rPr>
            </w:pPr>
            <w:r>
              <w:rPr>
                <w:rFonts w:ascii="Arial" w:cs="Arial" w:eastAsia="Arial" w:hAnsi="Arial"/>
                <w:sz w:val="11"/>
                <w:szCs w:val="11"/>
                <w:b w:val="1"/>
                <w:bCs w:val="1"/>
                <w:color w:val="auto"/>
                <w:w w:val="90"/>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1"/>
                <w:szCs w:val="11"/>
                <w:b w:val="1"/>
                <w:bCs w:val="1"/>
                <w:color w:val="auto"/>
              </w:rPr>
              <w:t>Twelve Months Ended September 30,</w:t>
            </w:r>
          </w:p>
        </w:tc>
        <w:tc>
          <w:tcPr>
            <w:tcW w:w="460" w:type="dxa"/>
            <w:vAlign w:val="bottom"/>
            <w:tcBorders>
              <w:bottom w:val="single" w:sz="8" w:color="auto"/>
            </w:tcBorders>
          </w:tcPr>
          <w:p>
            <w:pPr>
              <w:spacing w:after="0"/>
              <w:rPr>
                <w:sz w:val="13"/>
                <w:szCs w:val="13"/>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1"/>
                <w:szCs w:val="1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60" w:type="dxa"/>
            <w:vAlign w:val="bottom"/>
            <w:gridSpan w:val="2"/>
          </w:tcPr>
          <w:p>
            <w:pPr>
              <w:jc w:val="right"/>
              <w:ind w:right="1286"/>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215.6</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21.0</w:t>
            </w: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(201.7)</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(135.0)</w:t>
            </w: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increase (decrease) in cash and cash equivalents</w:t>
            </w:r>
          </w:p>
        </w:tc>
        <w:tc>
          <w:tcPr>
            <w:tcW w:w="5360" w:type="dxa"/>
            <w:vAlign w:val="bottom"/>
            <w:gridSpan w:val="2"/>
          </w:tcPr>
          <w:p>
            <w:pPr>
              <w:jc w:val="right"/>
              <w:ind w:right="1286"/>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12.6</w:t>
            </w:r>
          </w:p>
        </w:tc>
        <w:tc>
          <w:tcPr>
            <w:tcW w:w="340" w:type="dxa"/>
            <w:vAlign w:val="bottom"/>
          </w:tcPr>
          <w:p>
            <w:pPr>
              <w:spacing w:after="0"/>
              <w:rPr>
                <w:sz w:val="12"/>
                <w:szCs w:val="12"/>
                <w:color w:val="auto"/>
              </w:rPr>
            </w:pPr>
          </w:p>
        </w:tc>
        <w:tc>
          <w:tcPr>
            <w:tcW w:w="1420" w:type="dxa"/>
            <w:vAlign w:val="bottom"/>
          </w:tcPr>
          <w:p>
            <w:pPr>
              <w:jc w:val="right"/>
              <w:ind w:right="1282"/>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(116.8)</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20"/>
          </w:cols>
          <w:pgMar w:left="340" w:top="64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common stockholders and Adjusted diluted earnings per share of common stock</w:t>
      </w:r>
    </w:p>
    <w:p>
      <w:pPr>
        <w:spacing w:after="0" w:line="15" w:lineRule="exact"/>
        <w:rPr>
          <w:sz w:val="20"/>
          <w:szCs w:val="20"/>
          <w:color w:val="auto"/>
        </w:rPr>
      </w:pPr>
    </w:p>
    <w:p>
      <w:pPr>
        <w:ind w:right="140"/>
        <w:spacing w:after="0" w:line="260" w:lineRule="auto"/>
        <w:rPr>
          <w:sz w:val="20"/>
          <w:szCs w:val="20"/>
          <w:color w:val="auto"/>
        </w:rPr>
      </w:pPr>
      <w:r>
        <w:rPr>
          <w:rFonts w:ascii="Arial" w:cs="Arial" w:eastAsia="Arial" w:hAnsi="Arial"/>
          <w:sz w:val="12"/>
          <w:szCs w:val="12"/>
          <w:color w:val="auto"/>
        </w:rPr>
        <w:t>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common stockholders and Adjusted diluted earnings per share of common stock are adjusted for the following items:</w:t>
      </w:r>
    </w:p>
    <w:p>
      <w:pPr>
        <w:spacing w:after="0" w:line="15" w:lineRule="exact"/>
        <w:rPr>
          <w:sz w:val="20"/>
          <w:szCs w:val="20"/>
          <w:color w:val="auto"/>
        </w:rPr>
      </w:pPr>
    </w:p>
    <w:p>
      <w:pPr>
        <w:ind w:left="42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Loss on extinguishment of debt, net</w:t>
      </w:r>
      <w:r>
        <w:rPr>
          <w:rFonts w:ascii="Arial" w:cs="Arial" w:eastAsia="Arial" w:hAnsi="Arial"/>
          <w:sz w:val="12"/>
          <w:szCs w:val="12"/>
          <w:color w:val="auto"/>
        </w:rPr>
        <w:t>: BellRing has excluded losses recorded on extinguishment of debt, inclusive of the write-off of debt issuance costs and deferred financing fees and the write-off of net unamortized debt</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in connection with (i) Post’s distribution of 80.1% of its interest in BellRing and (ii) secondary offerings of shares of BellRing common stock previously held</w:t>
      </w:r>
      <w:r>
        <w:rPr>
          <w:rFonts w:ascii="Arial" w:cs="Arial" w:eastAsia="Arial" w:hAnsi="Arial"/>
          <w:sz w:val="12"/>
          <w:szCs w:val="12"/>
          <w:i w:val="1"/>
          <w:iCs w:val="1"/>
          <w:color w:val="auto"/>
        </w:rPr>
        <w:t xml:space="preserve"> </w:t>
      </w:r>
      <w:r>
        <w:rPr>
          <w:rFonts w:ascii="Arial" w:cs="Arial" w:eastAsia="Arial" w:hAnsi="Arial"/>
          <w:sz w:val="12"/>
          <w:szCs w:val="12"/>
          <w:color w:val="auto"/>
        </w:rPr>
        <w:t>by Post,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00" w:hanging="212"/>
        <w:spacing w:after="0" w:line="273" w:lineRule="auto"/>
        <w:tabs>
          <w:tab w:leader="none" w:pos="413"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Provision for legal matters</w:t>
      </w:r>
      <w:r>
        <w:rPr>
          <w:rFonts w:ascii="Arial" w:cs="Arial" w:eastAsia="Arial" w:hAnsi="Arial"/>
          <w:sz w:val="11"/>
          <w:szCs w:val="11"/>
          <w:color w:val="auto"/>
        </w:rPr>
        <w:t>: BellRing has excluded gains and losses recorded to recognize the anticipated or actual resolution of certain litigation as BellRing believes such gains and losses do not reflect expected ongoing</w:t>
      </w:r>
      <w:r>
        <w:rPr>
          <w:rFonts w:ascii="Arial" w:cs="Arial" w:eastAsia="Arial" w:hAnsi="Arial"/>
          <w:sz w:val="11"/>
          <w:szCs w:val="11"/>
          <w:i w:val="1"/>
          <w:iCs w:val="1"/>
          <w:color w:val="auto"/>
        </w:rPr>
        <w:t xml:space="preserve"> </w:t>
      </w:r>
      <w:r>
        <w:rPr>
          <w:rFonts w:ascii="Arial" w:cs="Arial" w:eastAsia="Arial" w:hAnsi="Arial"/>
          <w:sz w:val="11"/>
          <w:szCs w:val="11"/>
          <w:color w:val="auto"/>
        </w:rPr>
        <w:t>future operating income and expenses and do not contribute to a meaningful evaluation of BellRing’s current operating performance or comparisons of BellRing’s operating performance to other periods.</w:t>
      </w:r>
    </w:p>
    <w:p>
      <w:pPr>
        <w:ind w:left="4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the discontinuation of certain brands or the discontinuation of the use of certain brands in certain regions</w:t>
      </w:r>
      <w:r>
        <w:rPr>
          <w:rFonts w:ascii="Arial" w:cs="Arial" w:eastAsia="Arial" w:hAnsi="Arial"/>
          <w:sz w:val="12"/>
          <w:szCs w:val="12"/>
          <w:i w:val="1"/>
          <w:iCs w:val="1"/>
          <w:color w:val="auto"/>
        </w:rPr>
        <w:t xml:space="preserve"> </w:t>
      </w:r>
      <w:r>
        <w:rPr>
          <w:rFonts w:ascii="Arial" w:cs="Arial" w:eastAsia="Arial" w:hAnsi="Arial"/>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73" w:lineRule="auto"/>
        <w:tabs>
          <w:tab w:leader="none" w:pos="413"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Mark-to-market adjustments on commodity hedges</w:t>
      </w:r>
      <w:r>
        <w:rPr>
          <w:rFonts w:ascii="Arial" w:cs="Arial" w:eastAsia="Arial" w:hAnsi="Arial"/>
          <w:sz w:val="11"/>
          <w:szCs w:val="11"/>
          <w:color w:val="auto"/>
        </w:rPr>
        <w:t>: BellRing has excluded the impact of mark-to-market adjustments on commodity hedges due to the inherent uncertainty and volatility associated with such amounts based on</w:t>
      </w:r>
      <w:r>
        <w:rPr>
          <w:rFonts w:ascii="Arial" w:cs="Arial" w:eastAsia="Arial" w:hAnsi="Arial"/>
          <w:sz w:val="11"/>
          <w:szCs w:val="11"/>
          <w:i w:val="1"/>
          <w:iCs w:val="1"/>
          <w:color w:val="auto"/>
        </w:rPr>
        <w:t xml:space="preserve"> </w:t>
      </w:r>
      <w:r>
        <w:rPr>
          <w:rFonts w:ascii="Arial" w:cs="Arial" w:eastAsia="Arial" w:hAnsi="Arial"/>
          <w:sz w:val="11"/>
          <w:szCs w:val="11"/>
          <w:color w:val="auto"/>
        </w:rPr>
        <w:t>changes in assumptions with respect to fair value estimates. Additionally, these adjustments are primarily non-cash items and the amount and frequency of such adjustments are not consistent.</w:t>
      </w:r>
    </w:p>
    <w:p>
      <w:pPr>
        <w:ind w:left="420" w:right="220" w:hanging="212"/>
        <w:spacing w:after="0" w:line="250" w:lineRule="auto"/>
        <w:tabs>
          <w:tab w:leader="none" w:pos="418"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Resolution of dispute with former contract manufacturer</w:t>
      </w:r>
      <w:r>
        <w:rPr>
          <w:rFonts w:ascii="Arial" w:cs="Arial" w:eastAsia="Arial" w:hAnsi="Arial"/>
          <w:sz w:val="12"/>
          <w:szCs w:val="12"/>
          <w:color w:val="auto"/>
        </w:rPr>
        <w:t>: BellRing has excluded certain non-cash write-offs recorded in connection with the resolution of a dispute with a former contract manufacturer as the amount and</w:t>
      </w:r>
      <w:r>
        <w:rPr>
          <w:rFonts w:ascii="Arial" w:cs="Arial" w:eastAsia="Arial" w:hAnsi="Arial"/>
          <w:sz w:val="12"/>
          <w:szCs w:val="12"/>
          <w:i w:val="1"/>
          <w:iCs w:val="1"/>
          <w:color w:val="auto"/>
        </w:rPr>
        <w:t xml:space="preserve"> </w:t>
      </w:r>
      <w:r>
        <w:rPr>
          <w:rFonts w:ascii="Arial" w:cs="Arial" w:eastAsia="Arial" w:hAnsi="Arial"/>
          <w:sz w:val="12"/>
          <w:szCs w:val="12"/>
          <w:color w:val="auto"/>
        </w:rPr>
        <w:t>frequency of such losses are not consistent. Additionally, BellRing believes that these losses do not reflect expected ongoing future operating expenses and do not contribute to a meaningful evaluation of BellRing’s current operating performance to other periods.</w:t>
      </w:r>
    </w:p>
    <w:p>
      <w:pPr>
        <w:ind w:left="420" w:right="48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36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0" w:hanging="212"/>
        <w:spacing w:after="0" w:line="260" w:lineRule="auto"/>
        <w:tabs>
          <w:tab w:leader="none" w:pos="411"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the NCI in the periods prior to the Spin-off, as BellRing believes this adjustment contributes to a</w:t>
      </w:r>
      <w:r>
        <w:rPr>
          <w:rFonts w:ascii="Arial" w:cs="Arial" w:eastAsia="Arial" w:hAnsi="Arial"/>
          <w:sz w:val="12"/>
          <w:szCs w:val="12"/>
          <w:i w:val="1"/>
          <w:iCs w:val="1"/>
          <w:color w:val="auto"/>
        </w:rPr>
        <w:t xml:space="preserve"> </w:t>
      </w:r>
      <w:r>
        <w:rPr>
          <w:rFonts w:ascii="Arial" w:cs="Arial" w:eastAsia="Arial" w:hAnsi="Arial"/>
          <w:sz w:val="12"/>
          <w:szCs w:val="12"/>
          <w:color w:val="auto"/>
        </w:rPr>
        <w:t>more meaningful evaluation of BellRing’s current operating performance.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80"/>
          </w:cols>
          <w:pgMar w:left="300" w:top="643" w:right="319" w:bottom="1440" w:gutter="0" w:footer="0" w:header="0"/>
        </w:sectPr>
      </w:pPr>
    </w:p>
    <w:bookmarkStart w:id="12" w:name="page13"/>
    <w:bookmarkEnd w:id="12"/>
    <w:p>
      <w:pPr>
        <w:ind w:left="420" w:right="180" w:hanging="212"/>
        <w:spacing w:after="0" w:line="276" w:lineRule="auto"/>
        <w:tabs>
          <w:tab w:leader="none" w:pos="411"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w:t>
      </w:r>
    </w:p>
    <w:p>
      <w:pPr>
        <w:spacing w:after="0" w:line="93"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Adjusted EBITDA reflects adjustments for income tax expense, interest expense, net and depreciation and amortization including accelerated depreciation and amortization, and the following adjustments discussed above: loss on extinguishment of debt, net, separation costs, provision for legal matters, mark-to-market adjustments on commodity hedges, resolution of dispute with former contract manufacturer, foreign currency gain/loss on intercompany loans and restructuring and facility closure costs excluding accelerated depreciation. Additionally, Adjusted EBITDA reflects adjustments for the following items:</w:t>
      </w:r>
    </w:p>
    <w:p>
      <w:pPr>
        <w:spacing w:after="0" w:line="1" w:lineRule="exact"/>
        <w:rPr>
          <w:sz w:val="20"/>
          <w:szCs w:val="20"/>
          <w:color w:val="auto"/>
        </w:rPr>
      </w:pPr>
    </w:p>
    <w:p>
      <w:pPr>
        <w:ind w:left="420" w:right="40" w:hanging="212"/>
        <w:spacing w:after="0" w:line="273" w:lineRule="auto"/>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Stock-based compensation</w:t>
      </w:r>
      <w:r>
        <w:rPr>
          <w:rFonts w:ascii="Arial" w:cs="Arial" w:eastAsia="Arial" w:hAnsi="Arial"/>
          <w:sz w:val="11"/>
          <w:szCs w:val="11"/>
          <w:color w:val="auto"/>
        </w:rPr>
        <w:t>: BellRing’s compensation strategy includes the use of BellRing stock-based compensation to attract and retain executives and employees by aligning their long-term compensation interests with</w:t>
      </w:r>
      <w:r>
        <w:rPr>
          <w:rFonts w:ascii="Arial" w:cs="Arial" w:eastAsia="Arial" w:hAnsi="Arial"/>
          <w:sz w:val="11"/>
          <w:szCs w:val="11"/>
          <w:i w:val="1"/>
          <w:iCs w:val="1"/>
          <w:color w:val="auto"/>
        </w:rPr>
        <w:t xml:space="preserve"> </w:t>
      </w:r>
      <w:r>
        <w:rPr>
          <w:rFonts w:ascii="Arial" w:cs="Arial" w:eastAsia="Arial" w:hAnsi="Arial"/>
          <w:sz w:val="11"/>
          <w:szCs w:val="11"/>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ind w:left="420" w:right="40" w:hanging="212"/>
        <w:spacing w:after="0" w:line="260" w:lineRule="auto"/>
        <w:tabs>
          <w:tab w:leader="none" w:pos="411"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Net earnings attributable to redeemable noncontrolling interest</w:t>
      </w:r>
      <w:r>
        <w:rPr>
          <w:rFonts w:ascii="Arial" w:cs="Arial" w:eastAsia="Arial" w:hAnsi="Arial"/>
          <w:sz w:val="12"/>
          <w:szCs w:val="12"/>
          <w:color w:val="auto"/>
        </w:rPr>
        <w:t>: BellRing has included adjustments for the portion of its consolidated net earnings which were allocated to the NCI for the periods prior to the Spin-off, allowing</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calculation of Adjusted EBITDA to include 100% of BellRing as BellRing’s management evaluates BellRing’s operating performance on a basis that includes 100% of BellRing.</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60"/>
          </w:cols>
          <w:pgMar w:left="300" w:top="644"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COMMON STOCKHOLDERS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COMMON STOCKHOLDERS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480" w:type="dxa"/>
            <w:vAlign w:val="bottom"/>
          </w:tcPr>
          <w:p>
            <w:pPr>
              <w:spacing w:after="0"/>
              <w:rPr>
                <w:sz w:val="12"/>
                <w:szCs w:val="12"/>
                <w:color w:val="auto"/>
              </w:rPr>
            </w:pPr>
          </w:p>
        </w:tc>
        <w:tc>
          <w:tcPr>
            <w:tcW w:w="2420" w:type="dxa"/>
            <w:vAlign w:val="bottom"/>
            <w:gridSpan w:val="2"/>
          </w:tcPr>
          <w:p>
            <w:pPr>
              <w:jc w:val="right"/>
              <w:ind w:right="1086"/>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0"/>
        </w:trPr>
        <w:tc>
          <w:tcPr>
            <w:tcW w:w="4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w w:val="91"/>
              </w:rPr>
              <w:t>Twelve Months Ended September 30,</w:t>
            </w:r>
          </w:p>
        </w:tc>
      </w:tr>
      <w:tr>
        <w:trPr>
          <w:trHeight w:val="133"/>
        </w:trPr>
        <w:tc>
          <w:tcPr>
            <w:tcW w:w="448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2023</w:t>
            </w: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2022</w:t>
            </w: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2022</w:t>
            </w:r>
          </w:p>
        </w:tc>
      </w:tr>
      <w:tr>
        <w:trPr>
          <w:trHeight w:val="144"/>
        </w:trPr>
        <w:tc>
          <w:tcPr>
            <w:tcW w:w="4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 Available to Common Stockholders</w:t>
            </w:r>
          </w:p>
        </w:tc>
        <w:tc>
          <w:tcPr>
            <w:tcW w:w="2420" w:type="dxa"/>
            <w:vAlign w:val="bottom"/>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2"/>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33.7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w:t>
            </w:r>
          </w:p>
        </w:tc>
      </w:tr>
      <w:tr>
        <w:trPr>
          <w:trHeight w:val="171"/>
        </w:trPr>
        <w:tc>
          <w:tcPr>
            <w:tcW w:w="4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4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Adjustments:</w:t>
            </w:r>
          </w:p>
        </w:tc>
        <w:tc>
          <w:tcPr>
            <w:tcW w:w="1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Loss on extinguishment of debt, net</w:t>
            </w: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153"/>
        </w:trPr>
        <w:tc>
          <w:tcPr>
            <w:tcW w:w="44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Separation costs</w:t>
            </w:r>
          </w:p>
        </w:tc>
        <w:tc>
          <w:tcPr>
            <w:tcW w:w="1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Provision for legal matters</w:t>
            </w: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8.0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53"/>
        </w:trPr>
        <w:tc>
          <w:tcPr>
            <w:tcW w:w="44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Accelerated amortization</w:t>
            </w:r>
          </w:p>
        </w:tc>
        <w:tc>
          <w:tcPr>
            <w:tcW w:w="1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(0.8)</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153"/>
        </w:trPr>
        <w:tc>
          <w:tcPr>
            <w:tcW w:w="44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Resolution of dispute with former contract manufacturer</w:t>
            </w:r>
          </w:p>
        </w:tc>
        <w:tc>
          <w:tcPr>
            <w:tcW w:w="1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Foreign currency loss (gain) on intercompany loans</w:t>
            </w: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44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53"/>
        </w:trPr>
        <w:tc>
          <w:tcPr>
            <w:tcW w:w="4480" w:type="dxa"/>
            <w:vAlign w:val="bottom"/>
          </w:tcPr>
          <w:p>
            <w:pPr>
              <w:ind w:left="160"/>
              <w:spacing w:after="0"/>
              <w:rPr>
                <w:sz w:val="20"/>
                <w:szCs w:val="20"/>
                <w:color w:val="auto"/>
              </w:rPr>
            </w:pPr>
            <w:r>
              <w:rPr>
                <w:rFonts w:ascii="Arial" w:cs="Arial" w:eastAsia="Arial" w:hAnsi="Arial"/>
                <w:sz w:val="12"/>
                <w:szCs w:val="12"/>
                <w:color w:val="auto"/>
              </w:rPr>
              <w:t>NCI adjustment</w:t>
            </w: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142"/>
        </w:trPr>
        <w:tc>
          <w:tcPr>
            <w:tcW w:w="4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7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5"/>
              </w:rPr>
              <w:t>10.4</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15.3</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w:t>
            </w:r>
          </w:p>
        </w:tc>
      </w:tr>
      <w:tr>
        <w:trPr>
          <w:trHeight w:val="153"/>
        </w:trPr>
        <w:tc>
          <w:tcPr>
            <w:tcW w:w="4480" w:type="dxa"/>
            <w:vAlign w:val="bottom"/>
            <w:tcBorders>
              <w:bottom w:val="single" w:sz="8" w:color="CCEEFF"/>
            </w:tcBorders>
          </w:tcPr>
          <w:p>
            <w:pPr>
              <w:ind w:left="20"/>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7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2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(2.3)</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r>
      <w:tr>
        <w:trPr>
          <w:trHeight w:val="142"/>
        </w:trPr>
        <w:tc>
          <w:tcPr>
            <w:tcW w:w="4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Adjusted Net Earnings Available to Common Stockholders</w:t>
            </w:r>
          </w:p>
        </w:tc>
        <w:tc>
          <w:tcPr>
            <w:tcW w:w="2420" w:type="dxa"/>
            <w:vAlign w:val="bottom"/>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2"/>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41.8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177.2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r>
      <w:tr>
        <w:trPr>
          <w:trHeight w:val="36"/>
        </w:trPr>
        <w:tc>
          <w:tcPr>
            <w:tcW w:w="44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r>
    </w:tbl>
    <w:p>
      <w:pPr>
        <w:spacing w:after="0" w:line="162" w:lineRule="exact"/>
        <w:rPr>
          <w:sz w:val="20"/>
          <w:szCs w:val="20"/>
          <w:color w:val="auto"/>
        </w:rPr>
      </w:pPr>
    </w:p>
    <w:p>
      <w:pPr>
        <w:jc w:val="both"/>
        <w:ind w:left="20" w:right="40" w:hanging="10"/>
        <w:spacing w:after="0" w:line="227" w:lineRule="auto"/>
        <w:tabs>
          <w:tab w:leader="none" w:pos="141"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For the periods subsequent to the Spin-off (March 11, 2022 through September 30, 2022 and October 1, 2022 through September 30, 2023), income tax effect on adjustments was calculated on all items, except for separation costs, using a rate of 24.0%. For the period prior to the Spin-off (October 1, 2021 through March 10, 2022), income tax effect on adjustments was calculated on all items, except for separation costs and NCI adjustment, using a rate of 7.0%, which represents the effective income tax rate on BellRing’s distributive share from BellRing LLC. For the period prior to the Spin-off, income tax effect for NCI adjustment was calculated using a rate of 0.0%. For all periods, income tax effect for separation costs was calculated using a rate of 8.0%.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980"/>
          </w:cols>
          <w:pgMar w:left="460" w:top="643" w:right="4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COMMON STOCK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2520" w:type="dxa"/>
            <w:vAlign w:val="bottom"/>
            <w:gridSpan w:val="6"/>
          </w:tcPr>
          <w:p>
            <w:pPr>
              <w:ind w:left="260"/>
              <w:spacing w:after="0"/>
              <w:rPr>
                <w:sz w:val="20"/>
                <w:szCs w:val="20"/>
                <w:color w:val="auto"/>
              </w:rPr>
            </w:pPr>
            <w:r>
              <w:rPr>
                <w:rFonts w:ascii="Arial" w:cs="Arial" w:eastAsia="Arial" w:hAnsi="Arial"/>
                <w:sz w:val="11"/>
                <w:szCs w:val="11"/>
                <w:b w:val="1"/>
                <w:bCs w:val="1"/>
                <w:color w:val="auto"/>
              </w:rPr>
              <w:t>Three Months Ended September 30,</w:t>
            </w:r>
          </w:p>
        </w:tc>
        <w:tc>
          <w:tcPr>
            <w:tcW w:w="160" w:type="dxa"/>
            <w:vAlign w:val="bottom"/>
          </w:tcPr>
          <w:p>
            <w:pPr>
              <w:spacing w:after="0"/>
              <w:rPr>
                <w:sz w:val="12"/>
                <w:szCs w:val="12"/>
                <w:color w:val="auto"/>
              </w:rPr>
            </w:pPr>
          </w:p>
        </w:tc>
        <w:tc>
          <w:tcPr>
            <w:tcW w:w="20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1"/>
              </w:rPr>
              <w:t>Twelve Months Ended September 30,</w:t>
            </w:r>
          </w:p>
        </w:tc>
      </w:tr>
      <w:tr>
        <w:trPr>
          <w:trHeight w:val="133"/>
        </w:trPr>
        <w:tc>
          <w:tcPr>
            <w:tcW w:w="59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2022</w:t>
            </w: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2022</w:t>
            </w:r>
          </w:p>
        </w:tc>
      </w:tr>
      <w:tr>
        <w:trPr>
          <w:trHeight w:val="144"/>
        </w:trPr>
        <w:tc>
          <w:tcPr>
            <w:tcW w:w="5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Common Stock</w:t>
            </w:r>
          </w:p>
        </w:tc>
        <w:tc>
          <w:tcPr>
            <w:tcW w:w="640" w:type="dxa"/>
            <w:vAlign w:val="bottom"/>
            <w:shd w:val="clear" w:color="auto" w:fill="CCEEFF"/>
          </w:tcPr>
          <w:p>
            <w:pPr>
              <w:jc w:val="right"/>
              <w:ind w:right="50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0.88</w:t>
            </w:r>
          </w:p>
        </w:tc>
      </w:tr>
      <w:tr>
        <w:trPr>
          <w:trHeight w:val="180"/>
        </w:trPr>
        <w:tc>
          <w:tcPr>
            <w:tcW w:w="5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53"/>
        </w:trPr>
        <w:tc>
          <w:tcPr>
            <w:tcW w:w="5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3"/>
        </w:trPr>
        <w:tc>
          <w:tcPr>
            <w:tcW w:w="5920" w:type="dxa"/>
            <w:vAlign w:val="bottom"/>
          </w:tcPr>
          <w:p>
            <w:pPr>
              <w:ind w:left="160"/>
              <w:spacing w:after="0"/>
              <w:rPr>
                <w:sz w:val="20"/>
                <w:szCs w:val="20"/>
                <w:color w:val="auto"/>
              </w:rPr>
            </w:pPr>
            <w:r>
              <w:rPr>
                <w:rFonts w:ascii="Arial" w:cs="Arial" w:eastAsia="Arial" w:hAnsi="Arial"/>
                <w:sz w:val="12"/>
                <w:szCs w:val="12"/>
                <w:color w:val="auto"/>
              </w:rPr>
              <w:t>Loss on extinguishment of debt, net</w:t>
            </w:r>
          </w:p>
        </w:tc>
        <w:tc>
          <w:tcPr>
            <w:tcW w:w="64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0.19</w:t>
            </w:r>
          </w:p>
        </w:tc>
      </w:tr>
      <w:tr>
        <w:trPr>
          <w:trHeight w:val="153"/>
        </w:trPr>
        <w:tc>
          <w:tcPr>
            <w:tcW w:w="5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Separation costs</w:t>
            </w:r>
          </w:p>
        </w:tc>
        <w:tc>
          <w:tcPr>
            <w:tcW w:w="6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r>
      <w:tr>
        <w:trPr>
          <w:trHeight w:val="153"/>
        </w:trPr>
        <w:tc>
          <w:tcPr>
            <w:tcW w:w="5920" w:type="dxa"/>
            <w:vAlign w:val="bottom"/>
          </w:tcPr>
          <w:p>
            <w:pPr>
              <w:ind w:left="160"/>
              <w:spacing w:after="0"/>
              <w:rPr>
                <w:sz w:val="20"/>
                <w:szCs w:val="20"/>
                <w:color w:val="auto"/>
              </w:rPr>
            </w:pPr>
            <w:r>
              <w:rPr>
                <w:rFonts w:ascii="Arial" w:cs="Arial" w:eastAsia="Arial" w:hAnsi="Arial"/>
                <w:sz w:val="12"/>
                <w:szCs w:val="12"/>
                <w:color w:val="auto"/>
              </w:rPr>
              <w:t>Provision for legal matters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0.04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0.06</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0.04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0.08</w:t>
            </w:r>
          </w:p>
        </w:tc>
      </w:tr>
      <w:tr>
        <w:trPr>
          <w:trHeight w:val="153"/>
        </w:trPr>
        <w:tc>
          <w:tcPr>
            <w:tcW w:w="5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Accelerated amortization</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92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(0.01)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0.02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5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Resolution of dispute with former contract manufacturer</w:t>
            </w:r>
          </w:p>
        </w:tc>
        <w:tc>
          <w:tcPr>
            <w:tcW w:w="6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r>
      <w:tr>
        <w:trPr>
          <w:trHeight w:val="153"/>
        </w:trPr>
        <w:tc>
          <w:tcPr>
            <w:tcW w:w="5920" w:type="dxa"/>
            <w:vAlign w:val="bottom"/>
          </w:tcPr>
          <w:p>
            <w:pPr>
              <w:ind w:left="160"/>
              <w:spacing w:after="0"/>
              <w:rPr>
                <w:sz w:val="20"/>
                <w:szCs w:val="20"/>
                <w:color w:val="auto"/>
              </w:rPr>
            </w:pPr>
            <w:r>
              <w:rPr>
                <w:rFonts w:ascii="Arial" w:cs="Arial" w:eastAsia="Arial" w:hAnsi="Arial"/>
                <w:sz w:val="12"/>
                <w:szCs w:val="12"/>
                <w:color w:val="auto"/>
              </w:rPr>
              <w:t>Foreign currency loss on intercompany loans</w:t>
            </w:r>
          </w:p>
        </w:tc>
        <w:tc>
          <w:tcPr>
            <w:tcW w:w="64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5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6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r>
      <w:tr>
        <w:trPr>
          <w:trHeight w:val="142"/>
        </w:trPr>
        <w:tc>
          <w:tcPr>
            <w:tcW w:w="59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0.08</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0.07</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0.12</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0.34</w:t>
            </w:r>
          </w:p>
        </w:tc>
      </w:tr>
      <w:tr>
        <w:trPr>
          <w:trHeight w:val="153"/>
        </w:trPr>
        <w:tc>
          <w:tcPr>
            <w:tcW w:w="5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(0.06)</w:t>
            </w:r>
          </w:p>
        </w:tc>
      </w:tr>
      <w:tr>
        <w:trPr>
          <w:trHeight w:val="124"/>
        </w:trPr>
        <w:tc>
          <w:tcPr>
            <w:tcW w:w="5920" w:type="dxa"/>
            <w:vAlign w:val="bottom"/>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Common Stock</w:t>
            </w:r>
          </w:p>
        </w:tc>
        <w:tc>
          <w:tcPr>
            <w:tcW w:w="640" w:type="dxa"/>
            <w:vAlign w:val="bottom"/>
            <w:tcBorders>
              <w:bottom w:val="single" w:sz="8" w:color="auto"/>
            </w:tcBorders>
          </w:tcPr>
          <w:p>
            <w:pPr>
              <w:jc w:val="right"/>
              <w:ind w:right="503"/>
              <w:spacing w:after="0" w:line="124" w:lineRule="exact"/>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0.41</w:t>
            </w:r>
          </w:p>
        </w:tc>
        <w:tc>
          <w:tcPr>
            <w:tcW w:w="240" w:type="dxa"/>
            <w:vAlign w:val="bottom"/>
          </w:tcPr>
          <w:p>
            <w:pPr>
              <w:spacing w:after="0"/>
              <w:rPr>
                <w:sz w:val="10"/>
                <w:szCs w:val="10"/>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0.31</w:t>
            </w:r>
          </w:p>
        </w:tc>
        <w:tc>
          <w:tcPr>
            <w:tcW w:w="320" w:type="dxa"/>
            <w:vAlign w:val="bottom"/>
          </w:tcPr>
          <w:p>
            <w:pPr>
              <w:spacing w:after="0"/>
              <w:rPr>
                <w:sz w:val="10"/>
                <w:szCs w:val="10"/>
                <w:color w:val="auto"/>
              </w:rPr>
            </w:pPr>
          </w:p>
        </w:tc>
        <w:tc>
          <w:tcPr>
            <w:tcW w:w="160" w:type="dxa"/>
            <w:vAlign w:val="bottom"/>
            <w:tcBorders>
              <w:bottom w:val="single" w:sz="8" w:color="auto"/>
            </w:tcBorders>
          </w:tcPr>
          <w:p>
            <w:pPr>
              <w:jc w:val="right"/>
              <w:ind w:right="20"/>
              <w:spacing w:after="0" w:line="124" w:lineRule="exact"/>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1.32</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100"/>
              <w:spacing w:after="0" w:line="124"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1.16</w:t>
            </w:r>
          </w:p>
        </w:tc>
      </w:tr>
      <w:tr>
        <w:trPr>
          <w:trHeight w:val="20"/>
        </w:trPr>
        <w:tc>
          <w:tcPr>
            <w:tcW w:w="5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60" w:firstLine="8"/>
        <w:spacing w:after="0" w:line="285" w:lineRule="auto"/>
        <w:tabs>
          <w:tab w:leader="none" w:pos="121"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For the periods subsequent to the Spin-off (March 11, 2022 through September 30, 2022 and October 1, 2022 through September 30, 2023), income tax effect on adjustments was calculated on all items, except for separation costs, using a rate of 24.0%. For the period prior to the Spin-off (October 1, 2021 through March 10, 2022), income tax effect on adjustments was calculated on all items, except for separation costs and NCI adjustment, using a rate of 7.0%, which represents the effective income tax rate on BellRing’s distributive share from BellRing LLC. For the period prior to the Spin-off, income tax effect for NCI adjustment was calculated using a rate of 0.0%. For all periods, income tax effect for separation costs was calculated using a rate of 8.0%.</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660"/>
          </w:cols>
          <w:pgMar w:left="620" w:top="643" w:right="6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26"/>
        </w:trPr>
        <w:tc>
          <w:tcPr>
            <w:tcW w:w="7820" w:type="dxa"/>
            <w:vAlign w:val="bottom"/>
            <w:gridSpan w:val="6"/>
          </w:tcPr>
          <w:p>
            <w:pPr>
              <w:jc w:val="center"/>
              <w:ind w:left="3340"/>
              <w:spacing w:after="0"/>
              <w:rPr>
                <w:sz w:val="20"/>
                <w:szCs w:val="20"/>
                <w:color w:val="auto"/>
              </w:rPr>
            </w:pPr>
            <w:r>
              <w:rPr>
                <w:rFonts w:ascii="Arial" w:cs="Arial" w:eastAsia="Arial" w:hAnsi="Arial"/>
                <w:sz w:val="11"/>
                <w:szCs w:val="11"/>
                <w:b w:val="1"/>
                <w:bCs w:val="1"/>
                <w:color w:val="auto"/>
                <w:w w:val="99"/>
              </w:rPr>
              <w:t>RECONCILIATION OF NET EARNINGS AVAILABLE TO COMMON STOCKHOLDERS</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5"/>
        </w:trPr>
        <w:tc>
          <w:tcPr>
            <w:tcW w:w="4360" w:type="dxa"/>
            <w:vAlign w:val="bottom"/>
          </w:tcPr>
          <w:p>
            <w:pPr>
              <w:spacing w:after="0"/>
              <w:rPr>
                <w:sz w:val="11"/>
                <w:szCs w:val="11"/>
                <w:color w:val="auto"/>
              </w:rPr>
            </w:pPr>
          </w:p>
        </w:tc>
        <w:tc>
          <w:tcPr>
            <w:tcW w:w="2140" w:type="dxa"/>
            <w:vAlign w:val="bottom"/>
            <w:gridSpan w:val="2"/>
          </w:tcPr>
          <w:p>
            <w:pPr>
              <w:jc w:val="center"/>
              <w:ind w:left="303"/>
              <w:spacing w:after="0"/>
              <w:rPr>
                <w:sz w:val="20"/>
                <w:szCs w:val="20"/>
                <w:color w:val="auto"/>
              </w:rPr>
            </w:pPr>
            <w:r>
              <w:rPr>
                <w:rFonts w:ascii="Arial" w:cs="Arial" w:eastAsia="Arial" w:hAnsi="Arial"/>
                <w:sz w:val="11"/>
                <w:szCs w:val="11"/>
                <w:b w:val="1"/>
                <w:bCs w:val="1"/>
                <w:color w:val="auto"/>
                <w:w w:val="95"/>
              </w:rPr>
              <w:t>TO ADJUSTED EBITDA (Unaudited)</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0"/>
        </w:trPr>
        <w:tc>
          <w:tcPr>
            <w:tcW w:w="4360" w:type="dxa"/>
            <w:vAlign w:val="bottom"/>
          </w:tcPr>
          <w:p>
            <w:pPr>
              <w:spacing w:after="0"/>
              <w:rPr>
                <w:sz w:val="12"/>
                <w:szCs w:val="12"/>
                <w:color w:val="auto"/>
              </w:rPr>
            </w:pPr>
          </w:p>
        </w:tc>
        <w:tc>
          <w:tcPr>
            <w:tcW w:w="2140" w:type="dxa"/>
            <w:vAlign w:val="bottom"/>
            <w:gridSpan w:val="2"/>
          </w:tcPr>
          <w:p>
            <w:pPr>
              <w:jc w:val="center"/>
              <w:ind w:left="283"/>
              <w:spacing w:after="0"/>
              <w:rPr>
                <w:sz w:val="20"/>
                <w:szCs w:val="20"/>
                <w:color w:val="auto"/>
              </w:rPr>
            </w:pPr>
            <w:r>
              <w:rPr>
                <w:rFonts w:ascii="Arial" w:cs="Arial" w:eastAsia="Arial" w:hAnsi="Arial"/>
                <w:sz w:val="11"/>
                <w:szCs w:val="11"/>
                <w:b w:val="1"/>
                <w:bCs w:val="1"/>
                <w:color w:val="auto"/>
                <w:w w:val="90"/>
              </w:rPr>
              <w:t>(in millions)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4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gridSpan w:val="5"/>
          </w:tcPr>
          <w:p>
            <w:pPr>
              <w:ind w:left="20"/>
              <w:spacing w:after="0"/>
              <w:rPr>
                <w:sz w:val="20"/>
                <w:szCs w:val="20"/>
                <w:color w:val="auto"/>
              </w:rPr>
            </w:pPr>
            <w:r>
              <w:rPr>
                <w:rFonts w:ascii="Arial" w:cs="Arial" w:eastAsia="Arial" w:hAnsi="Arial"/>
                <w:sz w:val="11"/>
                <w:szCs w:val="11"/>
                <w:b w:val="1"/>
                <w:bCs w:val="1"/>
                <w:color w:val="auto"/>
              </w:rPr>
              <w:t>Three Months Ended September 30,</w:t>
            </w:r>
          </w:p>
        </w:tc>
        <w:tc>
          <w:tcPr>
            <w:tcW w:w="180" w:type="dxa"/>
            <w:vAlign w:val="bottom"/>
          </w:tcPr>
          <w:p>
            <w:pPr>
              <w:spacing w:after="0"/>
              <w:rPr>
                <w:sz w:val="13"/>
                <w:szCs w:val="13"/>
                <w:color w:val="auto"/>
              </w:rPr>
            </w:pPr>
          </w:p>
        </w:tc>
        <w:tc>
          <w:tcPr>
            <w:tcW w:w="218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w w:val="94"/>
              </w:rPr>
              <w:t>Twelve Months Ended September 30,</w:t>
            </w:r>
          </w:p>
        </w:tc>
      </w:tr>
      <w:tr>
        <w:trPr>
          <w:trHeight w:val="133"/>
        </w:trPr>
        <w:tc>
          <w:tcPr>
            <w:tcW w:w="436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2023</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2022</w:t>
            </w:r>
          </w:p>
        </w:tc>
      </w:tr>
      <w:tr>
        <w:trPr>
          <w:trHeight w:val="144"/>
        </w:trPr>
        <w:tc>
          <w:tcPr>
            <w:tcW w:w="4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Common Stockholders</w:t>
            </w:r>
          </w:p>
        </w:tc>
        <w:tc>
          <w:tcPr>
            <w:tcW w:w="21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46.1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165.5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82.3</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Income tax expense</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15.9</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11.0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54.9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29.6</w:t>
            </w:r>
          </w:p>
        </w:tc>
      </w:tr>
      <w:tr>
        <w:trPr>
          <w:trHeight w:val="153"/>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16.1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16.4</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66.9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49.2</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w w:val="98"/>
              </w:rPr>
              <w:t>Depreciation and amortization, including accelerated depreciation and amortization</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12.5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5.4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28.3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21.3</w:t>
            </w:r>
          </w:p>
        </w:tc>
      </w:tr>
      <w:tr>
        <w:trPr>
          <w:trHeight w:val="153"/>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 net</w:t>
            </w:r>
          </w:p>
        </w:tc>
        <w:tc>
          <w:tcPr>
            <w:tcW w:w="1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17.6</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Separation costs</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1.3</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0.7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14.5</w:t>
            </w:r>
          </w:p>
        </w:tc>
      </w:tr>
      <w:tr>
        <w:trPr>
          <w:trHeight w:val="153"/>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3.1</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11.0</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Provision for legal matters</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8.0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8.0</w:t>
            </w:r>
          </w:p>
        </w:tc>
      </w:tr>
      <w:tr>
        <w:trPr>
          <w:trHeight w:val="153"/>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Mark-to-market adjustments on commodity hedges</w:t>
            </w:r>
          </w:p>
        </w:tc>
        <w:tc>
          <w:tcPr>
            <w:tcW w:w="1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(0.8)</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Resolution of dispute with former contract manufacturer</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2.4</w:t>
            </w:r>
          </w:p>
        </w:tc>
      </w:tr>
      <w:tr>
        <w:trPr>
          <w:trHeight w:val="153"/>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loss (gain) on intercompany loans</w:t>
            </w:r>
          </w:p>
        </w:tc>
        <w:tc>
          <w:tcPr>
            <w:tcW w:w="1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0.3</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0.3</w:t>
            </w:r>
          </w:p>
        </w:tc>
      </w:tr>
      <w:tr>
        <w:trPr>
          <w:trHeight w:val="153"/>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Net earnings attributable to redeemable noncontrolling interest</w:t>
            </w:r>
          </w:p>
        </w:tc>
        <w:tc>
          <w:tcPr>
            <w:tcW w:w="18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33.7</w:t>
            </w:r>
          </w:p>
        </w:tc>
      </w:tr>
      <w:tr>
        <w:trPr>
          <w:trHeight w:val="158"/>
        </w:trPr>
        <w:tc>
          <w:tcPr>
            <w:tcW w:w="436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21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98.5</w:t>
            </w:r>
          </w:p>
        </w:tc>
        <w:tc>
          <w:tcPr>
            <w:tcW w:w="2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79.9</w:t>
            </w:r>
          </w:p>
        </w:tc>
        <w:tc>
          <w:tcPr>
            <w:tcW w:w="34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338.3</w:t>
            </w:r>
          </w:p>
        </w:tc>
        <w:tc>
          <w:tcPr>
            <w:tcW w:w="2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271.4</w:t>
            </w:r>
          </w:p>
        </w:tc>
      </w:tr>
      <w:tr>
        <w:trPr>
          <w:trHeight w:val="16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18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21.1 %</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20"/>
          </w:cols>
          <w:pgMar w:left="340" w:top="751" w:right="33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2023-11-20T16:18:57Z</dcterms:created>
  <dcterms:modified xsi:type="dcterms:W3CDTF">2023-11-20T16:18:57Z</dcterms:modified>
</cp:coreProperties>
</file>