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 Louis, Missouri 63144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15,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Attention:</w:t>
            </w:r>
          </w:p>
        </w:tc>
        <w:tc>
          <w:tcPr>
            <w:tcW w:w="4560" w:type="dxa"/>
            <w:vAlign w:val="bottom"/>
          </w:tcPr>
          <w:p>
            <w:pPr>
              <w:ind w:left="120"/>
              <w:spacing w:after="0"/>
              <w:rPr>
                <w:sz w:val="20"/>
                <w:szCs w:val="20"/>
                <w:color w:val="auto"/>
              </w:rPr>
            </w:pPr>
            <w:r>
              <w:rPr>
                <w:rFonts w:ascii="Arial" w:cs="Arial" w:eastAsia="Arial" w:hAnsi="Arial"/>
                <w:sz w:val="18"/>
                <w:szCs w:val="18"/>
                <w:color w:val="auto"/>
              </w:rPr>
              <w:t>Irene Barberena-Meissner, Staff Attorney</w:t>
            </w:r>
          </w:p>
        </w:tc>
      </w:tr>
      <w:tr>
        <w:trPr>
          <w:trHeight w:val="216"/>
        </w:trPr>
        <w:tc>
          <w:tcPr>
            <w:tcW w:w="86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Kevin Dougherty, Staff Attorney</w:t>
            </w:r>
          </w:p>
        </w:tc>
      </w:tr>
      <w:tr>
        <w:trPr>
          <w:trHeight w:val="216"/>
        </w:trPr>
        <w:tc>
          <w:tcPr>
            <w:tcW w:w="86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John Cannarella, Staff Accountant</w:t>
            </w:r>
          </w:p>
        </w:tc>
      </w:tr>
      <w:tr>
        <w:trPr>
          <w:trHeight w:val="230"/>
        </w:trPr>
        <w:tc>
          <w:tcPr>
            <w:tcW w:w="86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Karl Hiller, Accounting Branch Chief</w:t>
            </w:r>
          </w:p>
        </w:tc>
      </w:tr>
      <w:tr>
        <w:trPr>
          <w:trHeight w:val="427"/>
        </w:trPr>
        <w:tc>
          <w:tcPr>
            <w:tcW w:w="860" w:type="dxa"/>
            <w:vAlign w:val="bottom"/>
          </w:tcPr>
          <w:p>
            <w:pPr>
              <w:ind w:left="460"/>
              <w:spacing w:after="0"/>
              <w:rPr>
                <w:sz w:val="20"/>
                <w:szCs w:val="20"/>
                <w:color w:val="auto"/>
              </w:rPr>
            </w:pPr>
            <w:r>
              <w:rPr>
                <w:rFonts w:ascii="Arial" w:cs="Arial" w:eastAsia="Arial" w:hAnsi="Arial"/>
                <w:sz w:val="18"/>
                <w:szCs w:val="18"/>
                <w:b w:val="1"/>
                <w:bCs w:val="1"/>
                <w:color w:val="auto"/>
              </w:rPr>
              <w:t>Re:</w:t>
            </w:r>
          </w:p>
        </w:tc>
        <w:tc>
          <w:tcPr>
            <w:tcW w:w="4560" w:type="dxa"/>
            <w:vAlign w:val="bottom"/>
          </w:tcPr>
          <w:p>
            <w:pPr>
              <w:ind w:left="120"/>
              <w:spacing w:after="0"/>
              <w:rPr>
                <w:sz w:val="20"/>
                <w:szCs w:val="20"/>
                <w:color w:val="auto"/>
              </w:rPr>
            </w:pPr>
            <w:r>
              <w:rPr>
                <w:rFonts w:ascii="Arial" w:cs="Arial" w:eastAsia="Arial" w:hAnsi="Arial"/>
                <w:sz w:val="18"/>
                <w:szCs w:val="18"/>
                <w:b w:val="1"/>
                <w:bCs w:val="1"/>
                <w:color w:val="auto"/>
              </w:rPr>
              <w:t>BellRing Brands, Inc.</w:t>
            </w:r>
          </w:p>
        </w:tc>
      </w:tr>
      <w:tr>
        <w:trPr>
          <w:trHeight w:val="234"/>
        </w:trPr>
        <w:tc>
          <w:tcPr>
            <w:tcW w:w="86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b w:val="1"/>
                <w:bCs w:val="1"/>
                <w:color w:val="auto"/>
                <w:w w:val="90"/>
              </w:rPr>
              <w:t>Registration Statement on Form S-1 (File No. 333-233867)</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96" w:lineRule="auto"/>
        <w:rPr>
          <w:sz w:val="20"/>
          <w:szCs w:val="20"/>
          <w:color w:val="auto"/>
        </w:rPr>
      </w:pPr>
      <w:r>
        <w:rPr>
          <w:rFonts w:ascii="Arial" w:cs="Arial" w:eastAsia="Arial" w:hAnsi="Arial"/>
          <w:sz w:val="16"/>
          <w:szCs w:val="16"/>
          <w:color w:val="auto"/>
        </w:rPr>
        <w:t>In accordance with Rule 461 under the Securities Act of 1933, as amended, we hereby request acceleration of the effective date of the Registration Statement on Form S-1, as amended (File No. 333-233867) (the “Registration Statement”) of BellRing Brands, Inc. (the “Company”). We respectfully request that the Registration Statement become effective as of 4:00 p.m., Eastern Time, on October 16, 2019, or as soon as practicable thereafter, or at such later time as the Company may orally request via telephone call to the staff of the Division of Corporation Finance of the Securities and Exchange Commission. The Company hereby authorizes Tom Zook of Lewis Rice LLC, counsel to the Company, to make such request on its behalf.</w:t>
      </w:r>
    </w:p>
    <w:p>
      <w:pPr>
        <w:spacing w:after="0" w:line="161" w:lineRule="exact"/>
        <w:rPr>
          <w:sz w:val="24"/>
          <w:szCs w:val="24"/>
          <w:color w:val="auto"/>
        </w:rPr>
      </w:pPr>
    </w:p>
    <w:p>
      <w:pPr>
        <w:ind w:right="80" w:firstLine="44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Lewis Rice LLC by calling Tom Zook at (314) 444-7671.</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Thank you for your assistance in this matter.</w:t>
      </w:r>
    </w:p>
    <w:p>
      <w:pPr>
        <w:sectPr>
          <w:pgSz w:w="11900" w:h="16838" w:orient="portrait"/>
          <w:cols w:equalWidth="0" w:num="1">
            <w:col w:w="11000"/>
          </w:cols>
          <w:pgMar w:left="440" w:top="149" w:right="45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0605" cy="38100"/>
                    </a:xfrm>
                    <a:prstGeom prst="rect">
                      <a:avLst/>
                    </a:prstGeom>
                    <a:noFill/>
                  </pic:spPr>
                </pic:pic>
              </a:graphicData>
            </a:graphic>
          </wp:anchor>
        </w:drawing>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BellRing Brands, Inc.</w:t>
      </w:r>
    </w:p>
    <w:p>
      <w:pPr>
        <w:spacing w:after="0" w:line="200" w:lineRule="exact"/>
        <w:rPr>
          <w:sz w:val="20"/>
          <w:szCs w:val="20"/>
          <w:color w:val="auto"/>
        </w:rPr>
      </w:pP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Paul A. Rode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420"/>
              <w:spacing w:after="0" w:line="195" w:lineRule="exact"/>
              <w:rPr>
                <w:sz w:val="20"/>
                <w:szCs w:val="20"/>
                <w:color w:val="auto"/>
              </w:rPr>
            </w:pPr>
            <w:r>
              <w:rPr>
                <w:rFonts w:ascii="Arial" w:cs="Arial" w:eastAsia="Arial" w:hAnsi="Arial"/>
                <w:sz w:val="18"/>
                <w:szCs w:val="18"/>
                <w:color w:val="auto"/>
              </w:rPr>
              <w:t>Paul A. Rode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0020"/>
      </w:cols>
      <w:pgMar w:left="1440" w:top="1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2019-12-15T18:36:19Z</dcterms:created>
  <dcterms:modified xsi:type="dcterms:W3CDTF">2019-12-15T18:36:19Z</dcterms:modified>
</cp:coreProperties>
</file>