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filed with the Securities and Exchange Commission on October 7, 2019.</w:t>
      </w:r>
    </w:p>
    <w:p>
      <w:pPr>
        <w:spacing w:after="0" w:line="1" w:lineRule="exact"/>
        <w:rPr>
          <w:sz w:val="24"/>
          <w:szCs w:val="24"/>
          <w:color w:val="auto"/>
        </w:rPr>
      </w:pPr>
    </w:p>
    <w:p>
      <w:pPr>
        <w:jc w:val="right"/>
        <w:ind w:right="20"/>
        <w:spacing w:after="0"/>
        <w:rPr>
          <w:sz w:val="20"/>
          <w:szCs w:val="20"/>
          <w:color w:val="auto"/>
        </w:rPr>
      </w:pPr>
      <w:r>
        <w:rPr>
          <w:rFonts w:ascii="Arial" w:cs="Arial" w:eastAsia="Arial" w:hAnsi="Arial"/>
          <w:sz w:val="14"/>
          <w:szCs w:val="14"/>
          <w:b w:val="1"/>
          <w:bCs w:val="1"/>
          <w:color w:val="auto"/>
        </w:rPr>
        <w:t>Registration No. 333-233867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26035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69215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0"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7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81915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4"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AMENDMENT NO. 1</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S-1</w:t>
      </w:r>
    </w:p>
    <w:p>
      <w:pPr>
        <w:spacing w:after="0" w:line="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REGISTRATION STATEMENT</w:t>
      </w:r>
    </w:p>
    <w:p>
      <w:pPr>
        <w:jc w:val="center"/>
        <w:ind w:right="-179"/>
        <w:spacing w:after="0" w:line="221" w:lineRule="auto"/>
        <w:rPr>
          <w:sz w:val="20"/>
          <w:szCs w:val="20"/>
          <w:color w:val="auto"/>
        </w:rPr>
      </w:pPr>
      <w:r>
        <w:rPr>
          <w:rFonts w:ascii="Arial" w:cs="Arial" w:eastAsia="Arial" w:hAnsi="Arial"/>
          <w:sz w:val="14"/>
          <w:szCs w:val="14"/>
          <w:b w:val="1"/>
          <w:bCs w:val="1"/>
          <w:i w:val="1"/>
          <w:iCs w:val="1"/>
          <w:color w:val="auto"/>
        </w:rPr>
        <w:t>UNDER</w:t>
      </w:r>
    </w:p>
    <w:p>
      <w:pPr>
        <w:jc w:val="center"/>
        <w:ind w:right="-179"/>
        <w:spacing w:after="0"/>
        <w:rPr>
          <w:sz w:val="20"/>
          <w:szCs w:val="20"/>
          <w:color w:val="auto"/>
        </w:rPr>
      </w:pPr>
      <w:r>
        <w:rPr>
          <w:rFonts w:ascii="Arial" w:cs="Arial" w:eastAsia="Arial" w:hAnsi="Arial"/>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81915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BellRing Brands, Inc.</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86360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3" w:lineRule="exact"/>
        <w:rPr>
          <w:sz w:val="24"/>
          <w:szCs w:val="24"/>
          <w:color w:val="auto"/>
        </w:rPr>
      </w:pPr>
    </w:p>
    <w:tbl>
      <w:tblPr>
        <w:tblLayout w:type="fixed"/>
        <w:tblInd w:w="1320" w:type="dxa"/>
        <w:tblCellMar>
          <w:top w:w="0" w:type="dxa"/>
          <w:left w:w="0" w:type="dxa"/>
          <w:bottom w:w="0" w:type="dxa"/>
          <w:right w:w="0" w:type="dxa"/>
        </w:tblCellMar>
      </w:tblPr>
      <w:tr>
        <w:trPr>
          <w:trHeight w:val="161"/>
        </w:trPr>
        <w:tc>
          <w:tcPr>
            <w:tcW w:w="2640" w:type="dxa"/>
            <w:vAlign w:val="bottom"/>
          </w:tcPr>
          <w:p>
            <w:pPr>
              <w:jc w:val="center"/>
              <w:ind w:right="1079"/>
              <w:spacing w:after="0"/>
              <w:rPr>
                <w:sz w:val="20"/>
                <w:szCs w:val="20"/>
                <w:color w:val="auto"/>
              </w:rPr>
            </w:pPr>
            <w:r>
              <w:rPr>
                <w:rFonts w:ascii="Arial" w:cs="Arial" w:eastAsia="Arial" w:hAnsi="Arial"/>
                <w:sz w:val="14"/>
                <w:szCs w:val="14"/>
                <w:b w:val="1"/>
                <w:bCs w:val="1"/>
                <w:color w:val="auto"/>
                <w:w w:val="87"/>
              </w:rPr>
              <w:t>Delaware</w:t>
            </w:r>
          </w:p>
        </w:tc>
        <w:tc>
          <w:tcPr>
            <w:tcW w:w="3820" w:type="dxa"/>
            <w:vAlign w:val="bottom"/>
          </w:tcPr>
          <w:p>
            <w:pPr>
              <w:jc w:val="center"/>
              <w:ind w:right="19"/>
              <w:spacing w:after="0"/>
              <w:rPr>
                <w:sz w:val="20"/>
                <w:szCs w:val="20"/>
                <w:color w:val="auto"/>
              </w:rPr>
            </w:pPr>
            <w:r>
              <w:rPr>
                <w:rFonts w:ascii="Arial" w:cs="Arial" w:eastAsia="Arial" w:hAnsi="Arial"/>
                <w:sz w:val="14"/>
                <w:szCs w:val="14"/>
                <w:b w:val="1"/>
                <w:bCs w:val="1"/>
                <w:color w:val="auto"/>
                <w:w w:val="83"/>
              </w:rPr>
              <w:t>2000</w:t>
            </w:r>
          </w:p>
        </w:tc>
        <w:tc>
          <w:tcPr>
            <w:tcW w:w="2140" w:type="dxa"/>
            <w:vAlign w:val="bottom"/>
          </w:tcPr>
          <w:p>
            <w:pPr>
              <w:jc w:val="center"/>
              <w:ind w:left="1159"/>
              <w:spacing w:after="0"/>
              <w:rPr>
                <w:sz w:val="20"/>
                <w:szCs w:val="20"/>
                <w:color w:val="auto"/>
              </w:rPr>
            </w:pPr>
            <w:r>
              <w:rPr>
                <w:rFonts w:ascii="Arial" w:cs="Arial" w:eastAsia="Arial" w:hAnsi="Arial"/>
                <w:sz w:val="14"/>
                <w:szCs w:val="14"/>
                <w:b w:val="1"/>
                <w:bCs w:val="1"/>
                <w:color w:val="auto"/>
                <w:w w:val="85"/>
              </w:rPr>
              <w:t>83-4096323</w:t>
            </w:r>
          </w:p>
        </w:tc>
      </w:tr>
      <w:tr>
        <w:trPr>
          <w:trHeight w:val="135"/>
        </w:trPr>
        <w:tc>
          <w:tcPr>
            <w:tcW w:w="2640" w:type="dxa"/>
            <w:vAlign w:val="bottom"/>
          </w:tcPr>
          <w:p>
            <w:pPr>
              <w:jc w:val="center"/>
              <w:ind w:right="1079"/>
              <w:spacing w:after="0" w:line="135" w:lineRule="exact"/>
              <w:rPr>
                <w:sz w:val="20"/>
                <w:szCs w:val="20"/>
                <w:color w:val="auto"/>
              </w:rPr>
            </w:pPr>
            <w:r>
              <w:rPr>
                <w:rFonts w:ascii="Arial" w:cs="Arial" w:eastAsia="Arial" w:hAnsi="Arial"/>
                <w:sz w:val="12"/>
                <w:szCs w:val="12"/>
                <w:b w:val="1"/>
                <w:bCs w:val="1"/>
                <w:color w:val="auto"/>
                <w:w w:val="88"/>
              </w:rPr>
              <w:t>(State or other jurisdiction of</w:t>
            </w:r>
          </w:p>
        </w:tc>
        <w:tc>
          <w:tcPr>
            <w:tcW w:w="3820" w:type="dxa"/>
            <w:vAlign w:val="bottom"/>
          </w:tcPr>
          <w:p>
            <w:pPr>
              <w:jc w:val="center"/>
              <w:ind w:right="19"/>
              <w:spacing w:after="0" w:line="135" w:lineRule="exact"/>
              <w:rPr>
                <w:sz w:val="20"/>
                <w:szCs w:val="20"/>
                <w:color w:val="auto"/>
              </w:rPr>
            </w:pPr>
            <w:r>
              <w:rPr>
                <w:rFonts w:ascii="Arial" w:cs="Arial" w:eastAsia="Arial" w:hAnsi="Arial"/>
                <w:sz w:val="12"/>
                <w:szCs w:val="12"/>
                <w:b w:val="1"/>
                <w:bCs w:val="1"/>
                <w:color w:val="auto"/>
                <w:w w:val="92"/>
              </w:rPr>
              <w:t>(Primary Standard Industrial</w:t>
            </w:r>
          </w:p>
        </w:tc>
        <w:tc>
          <w:tcPr>
            <w:tcW w:w="2140" w:type="dxa"/>
            <w:vAlign w:val="bottom"/>
          </w:tcPr>
          <w:p>
            <w:pPr>
              <w:jc w:val="center"/>
              <w:ind w:left="1159"/>
              <w:spacing w:after="0" w:line="135" w:lineRule="exact"/>
              <w:rPr>
                <w:sz w:val="20"/>
                <w:szCs w:val="20"/>
                <w:color w:val="auto"/>
              </w:rPr>
            </w:pPr>
            <w:r>
              <w:rPr>
                <w:rFonts w:ascii="Arial" w:cs="Arial" w:eastAsia="Arial" w:hAnsi="Arial"/>
                <w:sz w:val="12"/>
                <w:szCs w:val="12"/>
                <w:b w:val="1"/>
                <w:bCs w:val="1"/>
                <w:color w:val="auto"/>
                <w:w w:val="91"/>
              </w:rPr>
              <w:t>(I.R.S. Employer</w:t>
            </w:r>
          </w:p>
        </w:tc>
      </w:tr>
      <w:tr>
        <w:trPr>
          <w:trHeight w:val="150"/>
        </w:trPr>
        <w:tc>
          <w:tcPr>
            <w:tcW w:w="2640" w:type="dxa"/>
            <w:vAlign w:val="bottom"/>
          </w:tcPr>
          <w:p>
            <w:pPr>
              <w:jc w:val="center"/>
              <w:ind w:right="1059"/>
              <w:spacing w:after="0"/>
              <w:rPr>
                <w:sz w:val="20"/>
                <w:szCs w:val="20"/>
                <w:color w:val="auto"/>
              </w:rPr>
            </w:pPr>
            <w:r>
              <w:rPr>
                <w:rFonts w:ascii="Arial" w:cs="Arial" w:eastAsia="Arial" w:hAnsi="Arial"/>
                <w:sz w:val="12"/>
                <w:szCs w:val="12"/>
                <w:b w:val="1"/>
                <w:bCs w:val="1"/>
                <w:color w:val="auto"/>
                <w:w w:val="88"/>
              </w:rPr>
              <w:t>incorporation or organization)</w:t>
            </w:r>
          </w:p>
        </w:tc>
        <w:tc>
          <w:tcPr>
            <w:tcW w:w="3820" w:type="dxa"/>
            <w:vAlign w:val="bottom"/>
          </w:tcPr>
          <w:p>
            <w:pPr>
              <w:jc w:val="center"/>
              <w:ind w:right="19"/>
              <w:spacing w:after="0"/>
              <w:rPr>
                <w:sz w:val="20"/>
                <w:szCs w:val="20"/>
                <w:color w:val="auto"/>
              </w:rPr>
            </w:pPr>
            <w:r>
              <w:rPr>
                <w:rFonts w:ascii="Arial" w:cs="Arial" w:eastAsia="Arial" w:hAnsi="Arial"/>
                <w:sz w:val="12"/>
                <w:szCs w:val="12"/>
                <w:b w:val="1"/>
                <w:bCs w:val="1"/>
                <w:color w:val="auto"/>
                <w:w w:val="88"/>
              </w:rPr>
              <w:t>Classification Code Number)</w:t>
            </w:r>
          </w:p>
        </w:tc>
        <w:tc>
          <w:tcPr>
            <w:tcW w:w="2140" w:type="dxa"/>
            <w:vAlign w:val="bottom"/>
          </w:tcPr>
          <w:p>
            <w:pPr>
              <w:jc w:val="center"/>
              <w:ind w:left="1159"/>
              <w:spacing w:after="0"/>
              <w:rPr>
                <w:sz w:val="20"/>
                <w:szCs w:val="20"/>
                <w:color w:val="auto"/>
              </w:rPr>
            </w:pPr>
            <w:r>
              <w:rPr>
                <w:rFonts w:ascii="Arial" w:cs="Arial" w:eastAsia="Arial" w:hAnsi="Arial"/>
                <w:sz w:val="12"/>
                <w:szCs w:val="12"/>
                <w:b w:val="1"/>
                <w:bCs w:val="1"/>
                <w:color w:val="auto"/>
                <w:w w:val="90"/>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98425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0"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2503 S. Hanley Road</w:t>
      </w:r>
    </w:p>
    <w:p>
      <w:pPr>
        <w:jc w:val="center"/>
        <w:ind w:right="-179"/>
        <w:spacing w:after="0" w:line="223" w:lineRule="auto"/>
        <w:rPr>
          <w:sz w:val="20"/>
          <w:szCs w:val="20"/>
          <w:color w:val="auto"/>
        </w:rPr>
      </w:pPr>
      <w:r>
        <w:rPr>
          <w:rFonts w:ascii="Arial" w:cs="Arial" w:eastAsia="Arial" w:hAnsi="Arial"/>
          <w:sz w:val="14"/>
          <w:szCs w:val="14"/>
          <w:b w:val="1"/>
          <w:bCs w:val="1"/>
          <w:color w:val="auto"/>
        </w:rPr>
        <w:t>St. Louis, Missouri 63144</w:t>
      </w:r>
    </w:p>
    <w:p>
      <w:pPr>
        <w:jc w:val="center"/>
        <w:ind w:right="-179"/>
        <w:spacing w:after="0" w:line="226" w:lineRule="auto"/>
        <w:rPr>
          <w:sz w:val="20"/>
          <w:szCs w:val="20"/>
          <w:color w:val="auto"/>
        </w:rPr>
      </w:pPr>
      <w:r>
        <w:rPr>
          <w:rFonts w:ascii="Arial" w:cs="Arial" w:eastAsia="Arial" w:hAnsi="Arial"/>
          <w:sz w:val="14"/>
          <w:szCs w:val="14"/>
          <w:b w:val="1"/>
          <w:bCs w:val="1"/>
          <w:color w:val="auto"/>
        </w:rPr>
        <w:t>(314) 644-7600</w:t>
      </w:r>
    </w:p>
    <w:p>
      <w:pPr>
        <w:jc w:val="center"/>
        <w:ind w:right="-179"/>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81280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3"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Darcy Horn Davenport</w:t>
      </w:r>
    </w:p>
    <w:p>
      <w:pPr>
        <w:jc w:val="center"/>
        <w:ind w:right="-179"/>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179"/>
        <w:spacing w:after="0" w:line="222" w:lineRule="auto"/>
        <w:rPr>
          <w:sz w:val="20"/>
          <w:szCs w:val="20"/>
          <w:color w:val="auto"/>
        </w:rPr>
      </w:pPr>
      <w:r>
        <w:rPr>
          <w:rFonts w:ascii="Arial" w:cs="Arial" w:eastAsia="Arial" w:hAnsi="Arial"/>
          <w:sz w:val="14"/>
          <w:szCs w:val="14"/>
          <w:b w:val="1"/>
          <w:bCs w:val="1"/>
          <w:color w:val="auto"/>
        </w:rPr>
        <w:t>BellRing Brands, Inc.</w:t>
      </w:r>
    </w:p>
    <w:p>
      <w:pPr>
        <w:jc w:val="center"/>
        <w:ind w:right="-179"/>
        <w:spacing w:after="0" w:line="221" w:lineRule="auto"/>
        <w:rPr>
          <w:sz w:val="20"/>
          <w:szCs w:val="20"/>
          <w:color w:val="auto"/>
        </w:rPr>
      </w:pPr>
      <w:r>
        <w:rPr>
          <w:rFonts w:ascii="Arial" w:cs="Arial" w:eastAsia="Arial" w:hAnsi="Arial"/>
          <w:sz w:val="14"/>
          <w:szCs w:val="14"/>
          <w:b w:val="1"/>
          <w:bCs w:val="1"/>
          <w:color w:val="auto"/>
        </w:rPr>
        <w:t>2503 S. Hanley Road</w:t>
      </w:r>
    </w:p>
    <w:p>
      <w:pPr>
        <w:jc w:val="center"/>
        <w:ind w:right="-179"/>
        <w:spacing w:after="0" w:line="222" w:lineRule="auto"/>
        <w:rPr>
          <w:sz w:val="20"/>
          <w:szCs w:val="20"/>
          <w:color w:val="auto"/>
        </w:rPr>
      </w:pPr>
      <w:r>
        <w:rPr>
          <w:rFonts w:ascii="Arial" w:cs="Arial" w:eastAsia="Arial" w:hAnsi="Arial"/>
          <w:sz w:val="14"/>
          <w:szCs w:val="14"/>
          <w:b w:val="1"/>
          <w:bCs w:val="1"/>
          <w:color w:val="auto"/>
        </w:rPr>
        <w:t>St. Louis, Missouri 63144</w:t>
      </w:r>
    </w:p>
    <w:p>
      <w:pPr>
        <w:jc w:val="center"/>
        <w:ind w:right="-179"/>
        <w:spacing w:after="0" w:line="225" w:lineRule="auto"/>
        <w:rPr>
          <w:sz w:val="20"/>
          <w:szCs w:val="20"/>
          <w:color w:val="auto"/>
        </w:rPr>
      </w:pPr>
      <w:r>
        <w:rPr>
          <w:rFonts w:ascii="Arial" w:cs="Arial" w:eastAsia="Arial" w:hAnsi="Arial"/>
          <w:sz w:val="14"/>
          <w:szCs w:val="14"/>
          <w:b w:val="1"/>
          <w:bCs w:val="1"/>
          <w:color w:val="auto"/>
        </w:rPr>
        <w:t>Telephone: (314) 644-7600</w:t>
      </w:r>
    </w:p>
    <w:p>
      <w:pPr>
        <w:jc w:val="center"/>
        <w:ind w:right="-179"/>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81280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5" w:lineRule="exact"/>
        <w:rPr>
          <w:sz w:val="24"/>
          <w:szCs w:val="24"/>
          <w:color w:val="auto"/>
        </w:rPr>
      </w:pPr>
    </w:p>
    <w:tbl>
      <w:tblPr>
        <w:tblLayout w:type="fixed"/>
        <w:tblInd w:w="1060" w:type="dxa"/>
        <w:tblCellMar>
          <w:top w:w="0" w:type="dxa"/>
          <w:left w:w="0" w:type="dxa"/>
          <w:bottom w:w="0" w:type="dxa"/>
          <w:right w:w="0" w:type="dxa"/>
        </w:tblCellMar>
      </w:tblPr>
      <w:tr>
        <w:trPr>
          <w:trHeight w:val="172"/>
        </w:trPr>
        <w:tc>
          <w:tcPr>
            <w:tcW w:w="3020" w:type="dxa"/>
            <w:vAlign w:val="bottom"/>
          </w:tcPr>
          <w:p>
            <w:pPr>
              <w:spacing w:after="0"/>
              <w:rPr>
                <w:sz w:val="14"/>
                <w:szCs w:val="14"/>
                <w:color w:val="auto"/>
              </w:rPr>
            </w:pPr>
          </w:p>
        </w:tc>
        <w:tc>
          <w:tcPr>
            <w:tcW w:w="3460" w:type="dxa"/>
            <w:vAlign w:val="bottom"/>
          </w:tcPr>
          <w:p>
            <w:pPr>
              <w:ind w:left="1360"/>
              <w:spacing w:after="0"/>
              <w:rPr>
                <w:sz w:val="20"/>
                <w:szCs w:val="20"/>
                <w:color w:val="auto"/>
              </w:rPr>
            </w:pPr>
            <w:r>
              <w:rPr>
                <w:rFonts w:ascii="Arial" w:cs="Arial" w:eastAsia="Arial" w:hAnsi="Arial"/>
                <w:sz w:val="14"/>
                <w:szCs w:val="14"/>
                <w:b w:val="1"/>
                <w:bCs w:val="1"/>
                <w:i w:val="1"/>
                <w:iCs w:val="1"/>
                <w:color w:val="auto"/>
              </w:rPr>
              <w:t>Copies to:</w:t>
            </w:r>
          </w:p>
        </w:tc>
        <w:tc>
          <w:tcPr>
            <w:tcW w:w="2880" w:type="dxa"/>
            <w:vAlign w:val="bottom"/>
          </w:tcPr>
          <w:p>
            <w:pPr>
              <w:spacing w:after="0"/>
              <w:rPr>
                <w:sz w:val="14"/>
                <w:szCs w:val="14"/>
                <w:color w:val="auto"/>
              </w:rPr>
            </w:pPr>
          </w:p>
        </w:tc>
      </w:tr>
      <w:tr>
        <w:trPr>
          <w:trHeight w:val="190"/>
        </w:trPr>
        <w:tc>
          <w:tcPr>
            <w:tcW w:w="3020" w:type="dxa"/>
            <w:vAlign w:val="bottom"/>
          </w:tcPr>
          <w:p>
            <w:pPr>
              <w:jc w:val="center"/>
              <w:ind w:right="932"/>
              <w:spacing w:after="0"/>
              <w:rPr>
                <w:sz w:val="20"/>
                <w:szCs w:val="20"/>
                <w:color w:val="auto"/>
              </w:rPr>
            </w:pPr>
            <w:r>
              <w:rPr>
                <w:rFonts w:ascii="Arial" w:cs="Arial" w:eastAsia="Arial" w:hAnsi="Arial"/>
                <w:sz w:val="14"/>
                <w:szCs w:val="14"/>
                <w:b w:val="1"/>
                <w:bCs w:val="1"/>
                <w:color w:val="auto"/>
                <w:w w:val="88"/>
              </w:rPr>
              <w:t>Tom W. Zook</w:t>
            </w:r>
          </w:p>
        </w:tc>
        <w:tc>
          <w:tcPr>
            <w:tcW w:w="3460" w:type="dxa"/>
            <w:vAlign w:val="bottom"/>
          </w:tcPr>
          <w:p>
            <w:pPr>
              <w:jc w:val="center"/>
              <w:spacing w:after="0"/>
              <w:rPr>
                <w:sz w:val="20"/>
                <w:szCs w:val="20"/>
                <w:color w:val="auto"/>
              </w:rPr>
            </w:pPr>
            <w:r>
              <w:rPr>
                <w:rFonts w:ascii="Arial" w:cs="Arial" w:eastAsia="Arial" w:hAnsi="Arial"/>
                <w:sz w:val="14"/>
                <w:szCs w:val="14"/>
                <w:b w:val="1"/>
                <w:bCs w:val="1"/>
                <w:color w:val="auto"/>
                <w:w w:val="90"/>
              </w:rPr>
              <w:t>Diedre J. Gray</w:t>
            </w:r>
          </w:p>
        </w:tc>
        <w:tc>
          <w:tcPr>
            <w:tcW w:w="2880" w:type="dxa"/>
            <w:vAlign w:val="bottom"/>
          </w:tcPr>
          <w:p>
            <w:pPr>
              <w:jc w:val="center"/>
              <w:ind w:left="892"/>
              <w:spacing w:after="0"/>
              <w:rPr>
                <w:sz w:val="20"/>
                <w:szCs w:val="20"/>
                <w:color w:val="auto"/>
              </w:rPr>
            </w:pPr>
            <w:r>
              <w:rPr>
                <w:rFonts w:ascii="Arial" w:cs="Arial" w:eastAsia="Arial" w:hAnsi="Arial"/>
                <w:sz w:val="14"/>
                <w:szCs w:val="14"/>
                <w:b w:val="1"/>
                <w:bCs w:val="1"/>
                <w:color w:val="auto"/>
                <w:w w:val="87"/>
              </w:rPr>
              <w:t>Ian D. Schuman</w:t>
            </w:r>
          </w:p>
        </w:tc>
      </w:tr>
      <w:tr>
        <w:trPr>
          <w:trHeight w:val="149"/>
        </w:trPr>
        <w:tc>
          <w:tcPr>
            <w:tcW w:w="3020" w:type="dxa"/>
            <w:vAlign w:val="bottom"/>
          </w:tcPr>
          <w:p>
            <w:pPr>
              <w:jc w:val="center"/>
              <w:ind w:right="932"/>
              <w:spacing w:after="0" w:line="149" w:lineRule="exact"/>
              <w:rPr>
                <w:sz w:val="20"/>
                <w:szCs w:val="20"/>
                <w:color w:val="auto"/>
              </w:rPr>
            </w:pPr>
            <w:r>
              <w:rPr>
                <w:rFonts w:ascii="Arial" w:cs="Arial" w:eastAsia="Arial" w:hAnsi="Arial"/>
                <w:sz w:val="14"/>
                <w:szCs w:val="14"/>
                <w:b w:val="1"/>
                <w:bCs w:val="1"/>
                <w:color w:val="auto"/>
                <w:w w:val="90"/>
              </w:rPr>
              <w:t>Lewis Rice LLC</w:t>
            </w:r>
          </w:p>
        </w:tc>
        <w:tc>
          <w:tcPr>
            <w:tcW w:w="3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Post Holdings, Inc.</w:t>
            </w:r>
          </w:p>
        </w:tc>
        <w:tc>
          <w:tcPr>
            <w:tcW w:w="2880" w:type="dxa"/>
            <w:vAlign w:val="bottom"/>
          </w:tcPr>
          <w:p>
            <w:pPr>
              <w:jc w:val="center"/>
              <w:ind w:left="892"/>
              <w:spacing w:after="0" w:line="149" w:lineRule="exact"/>
              <w:rPr>
                <w:sz w:val="20"/>
                <w:szCs w:val="20"/>
                <w:color w:val="auto"/>
              </w:rPr>
            </w:pPr>
            <w:r>
              <w:rPr>
                <w:rFonts w:ascii="Arial" w:cs="Arial" w:eastAsia="Arial" w:hAnsi="Arial"/>
                <w:sz w:val="14"/>
                <w:szCs w:val="14"/>
                <w:b w:val="1"/>
                <w:bCs w:val="1"/>
                <w:color w:val="auto"/>
                <w:w w:val="89"/>
              </w:rPr>
              <w:t>Benjamin D. Stern</w:t>
            </w:r>
          </w:p>
        </w:tc>
      </w:tr>
      <w:tr>
        <w:trPr>
          <w:trHeight w:val="149"/>
        </w:trPr>
        <w:tc>
          <w:tcPr>
            <w:tcW w:w="3020" w:type="dxa"/>
            <w:vAlign w:val="bottom"/>
          </w:tcPr>
          <w:p>
            <w:pPr>
              <w:jc w:val="center"/>
              <w:ind w:right="912"/>
              <w:spacing w:after="0" w:line="149" w:lineRule="exact"/>
              <w:rPr>
                <w:sz w:val="20"/>
                <w:szCs w:val="20"/>
                <w:color w:val="auto"/>
              </w:rPr>
            </w:pPr>
            <w:r>
              <w:rPr>
                <w:rFonts w:ascii="Arial" w:cs="Arial" w:eastAsia="Arial" w:hAnsi="Arial"/>
                <w:sz w:val="14"/>
                <w:szCs w:val="14"/>
                <w:b w:val="1"/>
                <w:bCs w:val="1"/>
                <w:color w:val="auto"/>
                <w:w w:val="85"/>
              </w:rPr>
              <w:t>600 Washington Avenue, Suite 2500</w:t>
            </w:r>
          </w:p>
        </w:tc>
        <w:tc>
          <w:tcPr>
            <w:tcW w:w="3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2503 S. Hanley Road</w:t>
            </w:r>
          </w:p>
        </w:tc>
        <w:tc>
          <w:tcPr>
            <w:tcW w:w="2880" w:type="dxa"/>
            <w:vAlign w:val="bottom"/>
          </w:tcPr>
          <w:p>
            <w:pPr>
              <w:jc w:val="center"/>
              <w:ind w:left="892"/>
              <w:spacing w:after="0" w:line="149" w:lineRule="exact"/>
              <w:rPr>
                <w:sz w:val="20"/>
                <w:szCs w:val="20"/>
                <w:color w:val="auto"/>
              </w:rPr>
            </w:pPr>
            <w:r>
              <w:rPr>
                <w:rFonts w:ascii="Arial" w:cs="Arial" w:eastAsia="Arial" w:hAnsi="Arial"/>
                <w:sz w:val="14"/>
                <w:szCs w:val="14"/>
                <w:b w:val="1"/>
                <w:bCs w:val="1"/>
                <w:color w:val="auto"/>
                <w:w w:val="92"/>
              </w:rPr>
              <w:t>Latham &amp; Watkins LLP</w:t>
            </w:r>
          </w:p>
        </w:tc>
      </w:tr>
      <w:tr>
        <w:trPr>
          <w:trHeight w:val="149"/>
        </w:trPr>
        <w:tc>
          <w:tcPr>
            <w:tcW w:w="3020" w:type="dxa"/>
            <w:vAlign w:val="bottom"/>
          </w:tcPr>
          <w:p>
            <w:pPr>
              <w:jc w:val="center"/>
              <w:ind w:right="932"/>
              <w:spacing w:after="0" w:line="149" w:lineRule="exact"/>
              <w:rPr>
                <w:sz w:val="20"/>
                <w:szCs w:val="20"/>
                <w:color w:val="auto"/>
              </w:rPr>
            </w:pPr>
            <w:r>
              <w:rPr>
                <w:rFonts w:ascii="Arial" w:cs="Arial" w:eastAsia="Arial" w:hAnsi="Arial"/>
                <w:sz w:val="14"/>
                <w:szCs w:val="14"/>
                <w:b w:val="1"/>
                <w:bCs w:val="1"/>
                <w:color w:val="auto"/>
                <w:w w:val="87"/>
              </w:rPr>
              <w:t>St. Louis, Missouri 63101</w:t>
            </w:r>
          </w:p>
        </w:tc>
        <w:tc>
          <w:tcPr>
            <w:tcW w:w="3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 Louis, Missouri 63144</w:t>
            </w:r>
          </w:p>
        </w:tc>
        <w:tc>
          <w:tcPr>
            <w:tcW w:w="2880" w:type="dxa"/>
            <w:vAlign w:val="bottom"/>
          </w:tcPr>
          <w:p>
            <w:pPr>
              <w:jc w:val="center"/>
              <w:ind w:left="892"/>
              <w:spacing w:after="0" w:line="149" w:lineRule="exact"/>
              <w:rPr>
                <w:sz w:val="20"/>
                <w:szCs w:val="20"/>
                <w:color w:val="auto"/>
              </w:rPr>
            </w:pPr>
            <w:r>
              <w:rPr>
                <w:rFonts w:ascii="Arial" w:cs="Arial" w:eastAsia="Arial" w:hAnsi="Arial"/>
                <w:sz w:val="14"/>
                <w:szCs w:val="14"/>
                <w:b w:val="1"/>
                <w:bCs w:val="1"/>
                <w:color w:val="auto"/>
                <w:w w:val="89"/>
              </w:rPr>
              <w:t>885 Third Avenue</w:t>
            </w:r>
          </w:p>
        </w:tc>
      </w:tr>
      <w:tr>
        <w:trPr>
          <w:trHeight w:val="149"/>
        </w:trPr>
        <w:tc>
          <w:tcPr>
            <w:tcW w:w="3020" w:type="dxa"/>
            <w:vAlign w:val="bottom"/>
          </w:tcPr>
          <w:p>
            <w:pPr>
              <w:jc w:val="center"/>
              <w:ind w:right="932"/>
              <w:spacing w:after="0" w:line="149" w:lineRule="exact"/>
              <w:rPr>
                <w:sz w:val="20"/>
                <w:szCs w:val="20"/>
                <w:color w:val="auto"/>
              </w:rPr>
            </w:pPr>
            <w:r>
              <w:rPr>
                <w:rFonts w:ascii="Arial" w:cs="Arial" w:eastAsia="Arial" w:hAnsi="Arial"/>
                <w:sz w:val="14"/>
                <w:szCs w:val="14"/>
                <w:b w:val="1"/>
                <w:bCs w:val="1"/>
                <w:color w:val="auto"/>
                <w:w w:val="86"/>
              </w:rPr>
              <w:t>Telephone: (314) 444-7671</w:t>
            </w:r>
          </w:p>
        </w:tc>
        <w:tc>
          <w:tcPr>
            <w:tcW w:w="3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Telephone: (314) 644-7600</w:t>
            </w:r>
          </w:p>
        </w:tc>
        <w:tc>
          <w:tcPr>
            <w:tcW w:w="2880" w:type="dxa"/>
            <w:vAlign w:val="bottom"/>
          </w:tcPr>
          <w:p>
            <w:pPr>
              <w:jc w:val="center"/>
              <w:ind w:left="912"/>
              <w:spacing w:after="0" w:line="149" w:lineRule="exact"/>
              <w:rPr>
                <w:sz w:val="20"/>
                <w:szCs w:val="20"/>
                <w:color w:val="auto"/>
              </w:rPr>
            </w:pPr>
            <w:r>
              <w:rPr>
                <w:rFonts w:ascii="Arial" w:cs="Arial" w:eastAsia="Arial" w:hAnsi="Arial"/>
                <w:sz w:val="14"/>
                <w:szCs w:val="14"/>
                <w:b w:val="1"/>
                <w:bCs w:val="1"/>
                <w:color w:val="auto"/>
                <w:w w:val="88"/>
              </w:rPr>
              <w:t>New York, New York 10022-4834</w:t>
            </w:r>
          </w:p>
        </w:tc>
      </w:tr>
      <w:tr>
        <w:trPr>
          <w:trHeight w:val="174"/>
        </w:trPr>
        <w:tc>
          <w:tcPr>
            <w:tcW w:w="3020" w:type="dxa"/>
            <w:vAlign w:val="bottom"/>
          </w:tcPr>
          <w:p>
            <w:pPr>
              <w:jc w:val="center"/>
              <w:ind w:right="932"/>
              <w:spacing w:after="0"/>
              <w:rPr>
                <w:sz w:val="20"/>
                <w:szCs w:val="20"/>
                <w:color w:val="auto"/>
              </w:rPr>
            </w:pPr>
            <w:r>
              <w:rPr>
                <w:rFonts w:ascii="Arial" w:cs="Arial" w:eastAsia="Arial" w:hAnsi="Arial"/>
                <w:sz w:val="14"/>
                <w:szCs w:val="14"/>
                <w:b w:val="1"/>
                <w:bCs w:val="1"/>
                <w:color w:val="auto"/>
                <w:w w:val="88"/>
              </w:rPr>
              <w:t>Fax: (314) 612-7671</w:t>
            </w:r>
          </w:p>
        </w:tc>
        <w:tc>
          <w:tcPr>
            <w:tcW w:w="3460" w:type="dxa"/>
            <w:vAlign w:val="bottom"/>
          </w:tcPr>
          <w:p>
            <w:pPr>
              <w:jc w:val="center"/>
              <w:spacing w:after="0"/>
              <w:rPr>
                <w:sz w:val="20"/>
                <w:szCs w:val="20"/>
                <w:color w:val="auto"/>
              </w:rPr>
            </w:pPr>
            <w:r>
              <w:rPr>
                <w:rFonts w:ascii="Arial" w:cs="Arial" w:eastAsia="Arial" w:hAnsi="Arial"/>
                <w:sz w:val="14"/>
                <w:szCs w:val="14"/>
                <w:b w:val="1"/>
                <w:bCs w:val="1"/>
                <w:color w:val="auto"/>
                <w:w w:val="88"/>
              </w:rPr>
              <w:t>Fax: (314) 646-3367</w:t>
            </w:r>
          </w:p>
        </w:tc>
        <w:tc>
          <w:tcPr>
            <w:tcW w:w="2880" w:type="dxa"/>
            <w:vAlign w:val="bottom"/>
          </w:tcPr>
          <w:p>
            <w:pPr>
              <w:jc w:val="center"/>
              <w:ind w:left="892"/>
              <w:spacing w:after="0"/>
              <w:rPr>
                <w:sz w:val="20"/>
                <w:szCs w:val="20"/>
                <w:color w:val="auto"/>
              </w:rPr>
            </w:pPr>
            <w:r>
              <w:rPr>
                <w:rFonts w:ascii="Arial" w:cs="Arial" w:eastAsia="Arial" w:hAnsi="Arial"/>
                <w:sz w:val="14"/>
                <w:szCs w:val="14"/>
                <w:b w:val="1"/>
                <w:bCs w:val="1"/>
                <w:color w:val="auto"/>
                <w:w w:val="87"/>
              </w:rPr>
              <w:t>Telephone: (212)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94615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4" w:lineRule="exact"/>
        <w:rPr>
          <w:sz w:val="24"/>
          <w:szCs w:val="24"/>
          <w:color w:val="auto"/>
        </w:rPr>
      </w:pPr>
    </w:p>
    <w:p>
      <w:pPr>
        <w:ind w:left="540"/>
        <w:spacing w:after="0"/>
        <w:rPr>
          <w:sz w:val="20"/>
          <w:szCs w:val="20"/>
          <w:color w:val="auto"/>
        </w:rPr>
      </w:pPr>
      <w:r>
        <w:rPr>
          <w:rFonts w:ascii="Arial" w:cs="Arial" w:eastAsia="Arial" w:hAnsi="Arial"/>
          <w:sz w:val="14"/>
          <w:szCs w:val="14"/>
          <w:b w:val="1"/>
          <w:bCs w:val="1"/>
          <w:color w:val="auto"/>
        </w:rPr>
        <w:t xml:space="preserve">Approximate date of commencement of proposed sale to public: </w:t>
      </w:r>
      <w:r>
        <w:rPr>
          <w:rFonts w:ascii="Arial" w:cs="Arial" w:eastAsia="Arial" w:hAnsi="Arial"/>
          <w:sz w:val="14"/>
          <w:szCs w:val="14"/>
          <w:color w:val="auto"/>
        </w:rPr>
        <w:t>As soon as practicable after this Registration Statement becomes effective.</w:t>
      </w:r>
    </w:p>
    <w:p>
      <w:pPr>
        <w:spacing w:after="0" w:line="19" w:lineRule="exact"/>
        <w:rPr>
          <w:sz w:val="24"/>
          <w:szCs w:val="24"/>
          <w:color w:val="auto"/>
        </w:rPr>
      </w:pPr>
    </w:p>
    <w:p>
      <w:pPr>
        <w:ind w:left="540"/>
        <w:spacing w:after="0" w:line="138"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90" w:lineRule="exact"/>
        <w:rPr>
          <w:sz w:val="24"/>
          <w:szCs w:val="24"/>
          <w:color w:val="auto"/>
        </w:rPr>
      </w:pPr>
    </w:p>
    <w:p>
      <w:pPr>
        <w:ind w:left="200" w:right="120" w:firstLine="331"/>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7" w:lineRule="exact"/>
        <w:rPr>
          <w:sz w:val="24"/>
          <w:szCs w:val="24"/>
          <w:color w:val="auto"/>
        </w:rPr>
      </w:pPr>
    </w:p>
    <w:p>
      <w:pPr>
        <w:ind w:left="200" w:right="300" w:firstLine="331"/>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7" w:lineRule="exact"/>
        <w:rPr>
          <w:sz w:val="24"/>
          <w:szCs w:val="24"/>
          <w:color w:val="auto"/>
        </w:rPr>
      </w:pPr>
    </w:p>
    <w:p>
      <w:pPr>
        <w:ind w:left="200" w:right="300" w:firstLine="331"/>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7" w:lineRule="exact"/>
        <w:rPr>
          <w:sz w:val="24"/>
          <w:szCs w:val="24"/>
          <w:color w:val="auto"/>
        </w:rPr>
      </w:pPr>
    </w:p>
    <w:p>
      <w:pPr>
        <w:ind w:left="200" w:right="600" w:firstLine="331"/>
        <w:spacing w:after="0" w:line="29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0" w:type="dxa"/>
        <w:tblCellMar>
          <w:top w:w="0" w:type="dxa"/>
          <w:left w:w="0" w:type="dxa"/>
          <w:bottom w:w="0" w:type="dxa"/>
          <w:right w:w="0" w:type="dxa"/>
        </w:tblCellMar>
      </w:tblPr>
      <w:tr>
        <w:trPr>
          <w:trHeight w:val="158"/>
        </w:trPr>
        <w:tc>
          <w:tcPr>
            <w:tcW w:w="1560" w:type="dxa"/>
            <w:vAlign w:val="bottom"/>
          </w:tcPr>
          <w:p>
            <w:pPr>
              <w:spacing w:after="0" w:line="158" w:lineRule="exact"/>
              <w:rPr>
                <w:sz w:val="20"/>
                <w:szCs w:val="20"/>
                <w:color w:val="auto"/>
              </w:rPr>
            </w:pPr>
            <w:r>
              <w:rPr>
                <w:rFonts w:ascii="Arial" w:cs="Arial" w:eastAsia="Arial" w:hAnsi="Arial"/>
                <w:sz w:val="14"/>
                <w:szCs w:val="14"/>
                <w:color w:val="auto"/>
              </w:rPr>
              <w:t>Large accelerated filer</w:t>
            </w:r>
          </w:p>
        </w:tc>
        <w:tc>
          <w:tcPr>
            <w:tcW w:w="382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40"/>
              <w:spacing w:after="0" w:line="158" w:lineRule="exact"/>
              <w:rPr>
                <w:sz w:val="20"/>
                <w:szCs w:val="20"/>
                <w:color w:val="auto"/>
              </w:rPr>
            </w:pPr>
            <w:r>
              <w:rPr>
                <w:rFonts w:ascii="Arial" w:cs="Arial" w:eastAsia="Arial" w:hAnsi="Arial"/>
                <w:sz w:val="14"/>
                <w:szCs w:val="14"/>
                <w:color w:val="auto"/>
              </w:rPr>
              <w:t>Accelerated filer</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49"/>
        </w:trPr>
        <w:tc>
          <w:tcPr>
            <w:tcW w:w="1560" w:type="dxa"/>
            <w:vAlign w:val="bottom"/>
          </w:tcPr>
          <w:p>
            <w:pPr>
              <w:spacing w:after="0" w:line="149" w:lineRule="exact"/>
              <w:rPr>
                <w:sz w:val="20"/>
                <w:szCs w:val="20"/>
                <w:color w:val="auto"/>
              </w:rPr>
            </w:pPr>
            <w:r>
              <w:rPr>
                <w:rFonts w:ascii="Arial" w:cs="Arial" w:eastAsia="Arial" w:hAnsi="Arial"/>
                <w:sz w:val="14"/>
                <w:szCs w:val="14"/>
                <w:color w:val="auto"/>
              </w:rPr>
              <w:t>Non-accelerated filer</w:t>
            </w:r>
          </w:p>
        </w:tc>
        <w:tc>
          <w:tcPr>
            <w:tcW w:w="382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40"/>
              <w:spacing w:after="0" w:line="149" w:lineRule="exact"/>
              <w:rPr>
                <w:sz w:val="20"/>
                <w:szCs w:val="20"/>
                <w:color w:val="auto"/>
              </w:rPr>
            </w:pPr>
            <w:r>
              <w:rPr>
                <w:rFonts w:ascii="Arial" w:cs="Arial" w:eastAsia="Arial" w:hAnsi="Arial"/>
                <w:sz w:val="14"/>
                <w:szCs w:val="14"/>
                <w:color w:val="auto"/>
              </w:rPr>
              <w:t>Smaller reporting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1"/>
        </w:trPr>
        <w:tc>
          <w:tcPr>
            <w:tcW w:w="1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180" w:type="dxa"/>
            <w:vAlign w:val="bottom"/>
          </w:tcPr>
          <w:p>
            <w:pPr>
              <w:ind w:left="3340"/>
              <w:spacing w:after="0"/>
              <w:rPr>
                <w:sz w:val="20"/>
                <w:szCs w:val="20"/>
                <w:color w:val="auto"/>
              </w:rPr>
            </w:pPr>
            <w:r>
              <w:rPr>
                <w:rFonts w:ascii="Arial" w:cs="Arial" w:eastAsia="Arial" w:hAnsi="Arial"/>
                <w:sz w:val="14"/>
                <w:szCs w:val="14"/>
                <w:color w:val="auto"/>
              </w:rPr>
              <w:t>Emerging growth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 w:lineRule="exact"/>
        <w:rPr>
          <w:sz w:val="24"/>
          <w:szCs w:val="24"/>
          <w:color w:val="auto"/>
        </w:rPr>
      </w:pPr>
    </w:p>
    <w:p>
      <w:pPr>
        <w:ind w:left="200" w:right="160" w:firstLine="331"/>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69215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48"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540" w:type="dxa"/>
            <w:vAlign w:val="bottom"/>
            <w:tcBorders>
              <w:top w:val="single" w:sz="8" w:color="auto"/>
              <w:bottom w:val="single" w:sz="8" w:color="auto"/>
            </w:tcBorders>
          </w:tcPr>
          <w:p>
            <w:pPr>
              <w:spacing w:after="0"/>
              <w:rPr>
                <w:sz w:val="3"/>
                <w:szCs w:val="3"/>
                <w:color w:val="auto"/>
              </w:rPr>
            </w:pPr>
          </w:p>
        </w:tc>
        <w:tc>
          <w:tcPr>
            <w:tcW w:w="190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107"/>
        </w:trPr>
        <w:tc>
          <w:tcPr>
            <w:tcW w:w="20" w:type="dxa"/>
            <w:vAlign w:val="bottom"/>
          </w:tcPr>
          <w:p>
            <w:pPr>
              <w:spacing w:after="0"/>
              <w:rPr>
                <w:sz w:val="9"/>
                <w:szCs w:val="9"/>
                <w:color w:val="auto"/>
              </w:rPr>
            </w:pPr>
          </w:p>
        </w:tc>
        <w:tc>
          <w:tcPr>
            <w:tcW w:w="354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86"/>
              </w:rPr>
              <w:t>Proposed</w:t>
            </w:r>
          </w:p>
        </w:tc>
        <w:tc>
          <w:tcPr>
            <w:tcW w:w="186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354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87"/>
              </w:rPr>
              <w:t>Proposed Maximum</w:t>
            </w:r>
          </w:p>
        </w:tc>
        <w:tc>
          <w:tcPr>
            <w:tcW w:w="1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3"/>
              </w:rPr>
              <w:t>Maximum</w:t>
            </w:r>
          </w:p>
        </w:tc>
        <w:tc>
          <w:tcPr>
            <w:tcW w:w="18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87"/>
              </w:rPr>
              <w:t>Title of Each Class of</w:t>
            </w:r>
          </w:p>
        </w:tc>
        <w:tc>
          <w:tcPr>
            <w:tcW w:w="1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87"/>
              </w:rPr>
              <w:t>Amount to be</w:t>
            </w:r>
          </w:p>
        </w:tc>
        <w:tc>
          <w:tcPr>
            <w:tcW w:w="1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0"/>
              </w:rPr>
              <w:t>Offering Price</w:t>
            </w:r>
          </w:p>
        </w:tc>
        <w:tc>
          <w:tcPr>
            <w:tcW w:w="1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87"/>
              </w:rPr>
              <w:t>Aggregate</w:t>
            </w:r>
          </w:p>
        </w:tc>
        <w:tc>
          <w:tcPr>
            <w:tcW w:w="1860" w:type="dxa"/>
            <w:vAlign w:val="bottom"/>
          </w:tcPr>
          <w:p>
            <w:pPr>
              <w:jc w:val="center"/>
              <w:ind w:left="19"/>
              <w:spacing w:after="0" w:line="135" w:lineRule="exact"/>
              <w:rPr>
                <w:sz w:val="20"/>
                <w:szCs w:val="20"/>
                <w:color w:val="auto"/>
              </w:rPr>
            </w:pPr>
            <w:r>
              <w:rPr>
                <w:rFonts w:ascii="Arial" w:cs="Arial" w:eastAsia="Arial" w:hAnsi="Arial"/>
                <w:sz w:val="12"/>
                <w:szCs w:val="12"/>
                <w:b w:val="1"/>
                <w:bCs w:val="1"/>
                <w:color w:val="auto"/>
                <w:w w:val="89"/>
              </w:rPr>
              <w:t>Amount of</w:t>
            </w:r>
          </w:p>
        </w:tc>
      </w:tr>
      <w:tr>
        <w:trPr>
          <w:trHeight w:val="157"/>
        </w:trPr>
        <w:tc>
          <w:tcPr>
            <w:tcW w:w="20" w:type="dxa"/>
            <w:vAlign w:val="bottom"/>
          </w:tcPr>
          <w:p>
            <w:pPr>
              <w:spacing w:after="0"/>
              <w:rPr>
                <w:sz w:val="13"/>
                <w:szCs w:val="13"/>
                <w:color w:val="auto"/>
              </w:rPr>
            </w:pP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Securities to be Registered</w:t>
            </w:r>
          </w:p>
        </w:tc>
        <w:tc>
          <w:tcPr>
            <w:tcW w:w="1900" w:type="dxa"/>
            <w:vAlign w:val="bottom"/>
            <w:tcBorders>
              <w:bottom w:val="single" w:sz="8" w:color="auto"/>
              <w:right w:val="single" w:sz="8" w:color="auto"/>
            </w:tcBorders>
          </w:tcPr>
          <w:p>
            <w:pPr>
              <w:jc w:val="center"/>
              <w:ind w:left="19"/>
              <w:spacing w:after="0"/>
              <w:rPr>
                <w:sz w:val="20"/>
                <w:szCs w:val="20"/>
                <w:color w:val="auto"/>
              </w:rPr>
            </w:pPr>
            <w:r>
              <w:rPr>
                <w:rFonts w:ascii="Arial" w:cs="Arial" w:eastAsia="Arial" w:hAnsi="Arial"/>
                <w:sz w:val="12"/>
                <w:szCs w:val="12"/>
                <w:b w:val="1"/>
                <w:bCs w:val="1"/>
                <w:color w:val="auto"/>
                <w:w w:val="90"/>
              </w:rPr>
              <w:t>Registered</w:t>
            </w:r>
            <w:r>
              <w:rPr>
                <w:rFonts w:ascii="Arial" w:cs="Arial" w:eastAsia="Arial" w:hAnsi="Arial"/>
                <w:sz w:val="9"/>
                <w:szCs w:val="9"/>
                <w:b w:val="1"/>
                <w:bCs w:val="1"/>
                <w:color w:val="auto"/>
                <w:w w:val="90"/>
              </w:rPr>
              <w:t>(1)</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Per Share</w:t>
            </w:r>
            <w:r>
              <w:rPr>
                <w:rFonts w:ascii="Arial" w:cs="Arial" w:eastAsia="Arial" w:hAnsi="Arial"/>
                <w:sz w:val="9"/>
                <w:szCs w:val="9"/>
                <w:b w:val="1"/>
                <w:bCs w:val="1"/>
                <w:color w:val="auto"/>
                <w:w w:val="89"/>
              </w:rPr>
              <w:t>(2)</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Offering Price</w:t>
            </w:r>
            <w:r>
              <w:rPr>
                <w:rFonts w:ascii="Arial" w:cs="Arial" w:eastAsia="Arial" w:hAnsi="Arial"/>
                <w:sz w:val="9"/>
                <w:szCs w:val="9"/>
                <w:b w:val="1"/>
                <w:bCs w:val="1"/>
                <w:color w:val="auto"/>
                <w:w w:val="92"/>
              </w:rPr>
              <w:t>(2)</w:t>
            </w:r>
          </w:p>
        </w:tc>
        <w:tc>
          <w:tcPr>
            <w:tcW w:w="1860" w:type="dxa"/>
            <w:vAlign w:val="bottom"/>
            <w:tcBorders>
              <w:bottom w:val="single" w:sz="8" w:color="auto"/>
            </w:tcBorders>
          </w:tcPr>
          <w:p>
            <w:pPr>
              <w:jc w:val="center"/>
              <w:ind w:left="19"/>
              <w:spacing w:after="0"/>
              <w:rPr>
                <w:sz w:val="20"/>
                <w:szCs w:val="20"/>
                <w:color w:val="auto"/>
              </w:rPr>
            </w:pPr>
            <w:r>
              <w:rPr>
                <w:rFonts w:ascii="Arial" w:cs="Arial" w:eastAsia="Arial" w:hAnsi="Arial"/>
                <w:sz w:val="12"/>
                <w:szCs w:val="12"/>
                <w:b w:val="1"/>
                <w:bCs w:val="1"/>
                <w:color w:val="auto"/>
                <w:w w:val="89"/>
              </w:rPr>
              <w:t>Registration Fee</w:t>
            </w:r>
            <w:r>
              <w:rPr>
                <w:rFonts w:ascii="Arial" w:cs="Arial" w:eastAsia="Arial" w:hAnsi="Arial"/>
                <w:sz w:val="9"/>
                <w:szCs w:val="9"/>
                <w:b w:val="1"/>
                <w:bCs w:val="1"/>
                <w:color w:val="auto"/>
                <w:w w:val="89"/>
              </w:rPr>
              <w:t>(3)</w:t>
            </w:r>
          </w:p>
        </w:tc>
      </w:tr>
      <w:tr>
        <w:trPr>
          <w:trHeight w:val="142"/>
        </w:trPr>
        <w:tc>
          <w:tcPr>
            <w:tcW w:w="20" w:type="dxa"/>
            <w:vAlign w:val="bottom"/>
            <w:tcBorders>
              <w:bottom w:val="single" w:sz="8" w:color="auto"/>
            </w:tcBorders>
          </w:tcPr>
          <w:p>
            <w:pPr>
              <w:spacing w:after="0"/>
              <w:rPr>
                <w:sz w:val="12"/>
                <w:szCs w:val="12"/>
                <w:color w:val="auto"/>
              </w:rPr>
            </w:pPr>
          </w:p>
        </w:tc>
        <w:tc>
          <w:tcPr>
            <w:tcW w:w="35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common stock, par value $0.01 per share</w:t>
            </w:r>
          </w:p>
        </w:tc>
        <w:tc>
          <w:tcPr>
            <w:tcW w:w="1900" w:type="dxa"/>
            <w:vAlign w:val="bottom"/>
            <w:tcBorders>
              <w:bottom w:val="single" w:sz="8" w:color="auto"/>
              <w:right w:val="single" w:sz="8" w:color="auto"/>
            </w:tcBorders>
          </w:tcPr>
          <w:p>
            <w:pPr>
              <w:jc w:val="center"/>
              <w:ind w:left="19"/>
              <w:spacing w:after="0" w:line="142" w:lineRule="exact"/>
              <w:rPr>
                <w:sz w:val="20"/>
                <w:szCs w:val="20"/>
                <w:color w:val="auto"/>
              </w:rPr>
            </w:pPr>
            <w:r>
              <w:rPr>
                <w:rFonts w:ascii="Arial" w:cs="Arial" w:eastAsia="Arial" w:hAnsi="Arial"/>
                <w:sz w:val="14"/>
                <w:szCs w:val="14"/>
                <w:color w:val="auto"/>
                <w:w w:val="88"/>
              </w:rPr>
              <w:t>34,500,000</w:t>
            </w:r>
          </w:p>
        </w:tc>
        <w:tc>
          <w:tcPr>
            <w:tcW w:w="18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19.00</w:t>
            </w:r>
          </w:p>
        </w:tc>
        <w:tc>
          <w:tcPr>
            <w:tcW w:w="18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7"/>
              </w:rPr>
              <w:t>$655,500,000.00</w:t>
            </w:r>
          </w:p>
        </w:tc>
        <w:tc>
          <w:tcPr>
            <w:tcW w:w="1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6"/>
              </w:rPr>
              <w:t>$85,084</w:t>
            </w:r>
          </w:p>
        </w:tc>
      </w:tr>
      <w:tr>
        <w:trPr>
          <w:trHeight w:val="20"/>
        </w:trPr>
        <w:tc>
          <w:tcPr>
            <w:tcW w:w="2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 w:lineRule="exact"/>
        <w:rPr>
          <w:sz w:val="24"/>
          <w:szCs w:val="24"/>
          <w:color w:val="auto"/>
        </w:rPr>
      </w:pPr>
    </w:p>
    <w:p>
      <w:pPr>
        <w:ind w:left="520" w:right="40" w:hanging="316"/>
        <w:spacing w:after="0" w:line="230"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4,500,000 shares of Class A common stock that may be sold if the underwriters’ option to purchase additional shares granted by the Registrant is exercised. See “Underwriting (Conflicts of Interest).”</w:t>
      </w:r>
    </w:p>
    <w:p>
      <w:pPr>
        <w:ind w:left="520" w:hanging="316"/>
        <w:spacing w:after="0" w:line="221"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457(a) under the Securities Act of 1933, as amended.</w:t>
      </w: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previously paid $12,120 in connection with a prior filing of the Registration Statement and the additional amount of $72,964 is being paid 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76835</wp:posOffset>
            </wp:positionV>
            <wp:extent cx="1466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6" w:lineRule="exact"/>
        <w:rPr>
          <w:sz w:val="24"/>
          <w:szCs w:val="24"/>
          <w:color w:val="auto"/>
        </w:rPr>
      </w:pPr>
    </w:p>
    <w:p>
      <w:pPr>
        <w:ind w:left="200" w:right="100" w:firstLine="331"/>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34925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77470</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line="243" w:lineRule="auto"/>
        <w:rPr>
          <w:sz w:val="20"/>
          <w:szCs w:val="20"/>
          <w:color w:val="auto"/>
        </w:rPr>
      </w:pPr>
      <w:r>
        <w:rPr>
          <w:rFonts w:ascii="Arial" w:cs="Arial" w:eastAsia="Arial" w:hAnsi="Arial"/>
          <w:sz w:val="15"/>
          <w:szCs w:val="15"/>
          <w:b w:val="1"/>
          <w:bCs w:val="1"/>
          <w:color w:val="CC062A"/>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20"/>
          <w:szCs w:val="20"/>
          <w:i w:val="1"/>
          <w:iCs w:val="1"/>
          <w:color w:val="auto"/>
        </w:rPr>
        <w:t>Subject to completion, dated October 7, 2019</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PROSPECTUS</w:t>
      </w:r>
    </w:p>
    <w:p>
      <w:pPr>
        <w:spacing w:after="0" w:line="30" w:lineRule="exact"/>
        <w:rPr>
          <w:sz w:val="20"/>
          <w:szCs w:val="20"/>
          <w:color w:val="auto"/>
        </w:rPr>
      </w:pPr>
    </w:p>
    <w:p>
      <w:pPr>
        <w:jc w:val="center"/>
        <w:ind w:right="-259"/>
        <w:spacing w:after="0"/>
        <w:rPr>
          <w:sz w:val="20"/>
          <w:szCs w:val="20"/>
          <w:color w:val="auto"/>
        </w:rPr>
      </w:pPr>
      <w:r>
        <w:rPr>
          <w:rFonts w:ascii="Arial" w:cs="Arial" w:eastAsia="Arial" w:hAnsi="Arial"/>
          <w:sz w:val="29"/>
          <w:szCs w:val="29"/>
          <w:i w:val="1"/>
          <w:iCs w:val="1"/>
          <w:color w:val="auto"/>
        </w:rPr>
        <w:t>30,000,000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17780</wp:posOffset>
            </wp:positionV>
            <wp:extent cx="1672590" cy="814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7259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59"/>
        <w:spacing w:after="0"/>
        <w:rPr>
          <w:sz w:val="20"/>
          <w:szCs w:val="20"/>
          <w:color w:val="auto"/>
        </w:rPr>
      </w:pPr>
      <w:r>
        <w:rPr>
          <w:rFonts w:ascii="Arial" w:cs="Arial" w:eastAsia="Arial" w:hAnsi="Arial"/>
          <w:sz w:val="18"/>
          <w:szCs w:val="18"/>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135255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This is the initial public offering of shares of our Class A common stock. We are offering 30,000,000 shares of our Class A common stock.</w:t>
      </w:r>
    </w:p>
    <w:p>
      <w:pPr>
        <w:spacing w:after="0" w:line="100" w:lineRule="exact"/>
        <w:rPr>
          <w:sz w:val="20"/>
          <w:szCs w:val="20"/>
          <w:color w:val="auto"/>
        </w:rPr>
      </w:pPr>
    </w:p>
    <w:p>
      <w:pPr>
        <w:ind w:left="200" w:right="60"/>
        <w:spacing w:after="0" w:line="278" w:lineRule="auto"/>
        <w:rPr>
          <w:sz w:val="20"/>
          <w:szCs w:val="20"/>
          <w:color w:val="auto"/>
        </w:rPr>
      </w:pPr>
      <w:r>
        <w:rPr>
          <w:rFonts w:ascii="Arial" w:cs="Arial" w:eastAsia="Arial" w:hAnsi="Arial"/>
          <w:sz w:val="16"/>
          <w:szCs w:val="16"/>
          <w:b w:val="1"/>
          <w:bCs w:val="1"/>
          <w:i w:val="1"/>
          <w:iCs w:val="1"/>
          <w:color w:val="auto"/>
        </w:rPr>
        <w:t>Before this offering, there has been no public market for our Class A common stock. We estimate the initial public offering price for our Class A common stock will be between $16.00 and $19.00 per share. We have received approval to list our Class A common stock on the New York Stock Exchange (the “NYSE”), under the symbol “BRBR”.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106045</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8" w:lineRule="exact"/>
        <w:rPr>
          <w:sz w:val="20"/>
          <w:szCs w:val="20"/>
          <w:color w:val="auto"/>
        </w:rPr>
      </w:pPr>
    </w:p>
    <w:p>
      <w:pPr>
        <w:ind w:left="200" w:right="120"/>
        <w:spacing w:after="0" w:line="313" w:lineRule="auto"/>
        <w:rPr>
          <w:sz w:val="20"/>
          <w:szCs w:val="20"/>
          <w:color w:val="auto"/>
        </w:rPr>
      </w:pPr>
      <w:r>
        <w:rPr>
          <w:rFonts w:ascii="Arial" w:cs="Arial" w:eastAsia="Arial" w:hAnsi="Arial"/>
          <w:sz w:val="14"/>
          <w:szCs w:val="14"/>
          <w:b w:val="1"/>
          <w:bCs w:val="1"/>
          <w:i w:val="1"/>
          <w:iCs w:val="1"/>
          <w:color w:val="auto"/>
        </w:rPr>
        <w:t>Following this offering, we will have two classes of common stock outstanding: Class A common stock and Class B common stock (our Class A common stock and our Class B common stock are collectively referred to as “common stock”). On matters presented to our stockholders, each share of our Class A common stock entitles its holder to one vote. For so long as Post Holdings, Inc. (“Post”) or its affiliates (other than us) directly own more than 50% of the BellRing Brands, LLC Units as described in this prospectus, the share of Class B common stock entitles its holder to a number of votes equal to 67% of the combined voting power of our common stock and, in the aggregate, the holders of our Class A common stock will have 33% of the combined voting power of our common stock. Holders of our shares of Class A common stock will be eligible for dividends and distributions upon liquidation. The holder of our share of Class B common stock will have no economic rights, including no rights to dividends or distributions upon liquidation. See “Description of Capital Stock.”</w:t>
      </w:r>
    </w:p>
    <w:p>
      <w:pPr>
        <w:spacing w:after="0" w:line="29" w:lineRule="exact"/>
        <w:rPr>
          <w:sz w:val="20"/>
          <w:szCs w:val="20"/>
          <w:color w:val="auto"/>
        </w:rPr>
      </w:pPr>
    </w:p>
    <w:p>
      <w:pPr>
        <w:ind w:left="200" w:right="220"/>
        <w:spacing w:after="0" w:line="278" w:lineRule="auto"/>
        <w:rPr>
          <w:sz w:val="20"/>
          <w:szCs w:val="20"/>
          <w:color w:val="auto"/>
        </w:rPr>
      </w:pPr>
      <w:r>
        <w:rPr>
          <w:rFonts w:ascii="Arial" w:cs="Arial" w:eastAsia="Arial" w:hAnsi="Arial"/>
          <w:sz w:val="16"/>
          <w:szCs w:val="16"/>
          <w:b w:val="1"/>
          <w:bCs w:val="1"/>
          <w:i w:val="1"/>
          <w:iCs w:val="1"/>
          <w:color w:val="auto"/>
        </w:rPr>
        <w:t>Following this offering, Post will own a majority of the combined voting power of our common stock, and we will be a “controlled company” under the corporate governance standards of the NYSE; however, we do not currently expect to rely on the “controlled company” exemptions. See “Management—Corporate Governance—Controlled Company Exemptions.”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106045</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8" w:lineRule="exact"/>
        <w:rPr>
          <w:sz w:val="20"/>
          <w:szCs w:val="20"/>
          <w:color w:val="auto"/>
        </w:rPr>
      </w:pPr>
    </w:p>
    <w:p>
      <w:pPr>
        <w:ind w:left="200" w:right="100"/>
        <w:spacing w:after="0" w:line="359" w:lineRule="auto"/>
        <w:rPr>
          <w:sz w:val="20"/>
          <w:szCs w:val="20"/>
          <w:color w:val="auto"/>
        </w:rPr>
      </w:pPr>
      <w:r>
        <w:rPr>
          <w:rFonts w:ascii="Arial" w:cs="Arial" w:eastAsia="Arial" w:hAnsi="Arial"/>
          <w:sz w:val="14"/>
          <w:szCs w:val="14"/>
          <w:b w:val="1"/>
          <w:bCs w:val="1"/>
          <w:i w:val="1"/>
          <w:iCs w:val="1"/>
          <w:color w:val="auto"/>
        </w:rPr>
        <w:t>We are an “emerging growth company” under the Jumpstart Our Business Startups Act of 2012, have elected to comply with reduced public company reporting requirements and may elect to comply with reduced public company reporting requirements in future filings. See “Business—Emerging Growth Company Status.”</w:t>
      </w:r>
    </w:p>
    <w:p>
      <w:pPr>
        <w:ind w:left="20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See “</w:t>
      </w:r>
      <w:hyperlink w:anchor="page40">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b w:val="1"/>
          <w:bCs w:val="1"/>
          <w:i w:val="1"/>
          <w:iCs w:val="1"/>
          <w:color w:val="auto"/>
        </w:rPr>
        <w:t>,” beginning on page 28, to read about factors you should consider before buying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135255</wp:posOffset>
            </wp:positionV>
            <wp:extent cx="14662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64" w:lineRule="exact"/>
        <w:rPr>
          <w:sz w:val="20"/>
          <w:szCs w:val="20"/>
          <w:color w:val="auto"/>
        </w:rPr>
      </w:pPr>
    </w:p>
    <w:p>
      <w:pPr>
        <w:ind w:left="200" w:right="80"/>
        <w:spacing w:after="0" w:line="293" w:lineRule="auto"/>
        <w:rPr>
          <w:sz w:val="20"/>
          <w:szCs w:val="20"/>
          <w:color w:val="auto"/>
        </w:rPr>
      </w:pPr>
      <w:r>
        <w:rPr>
          <w:rFonts w:ascii="Arial" w:cs="Arial" w:eastAsia="Arial" w:hAnsi="Arial"/>
          <w:sz w:val="16"/>
          <w:szCs w:val="16"/>
          <w:b w:val="1"/>
          <w:bCs w:val="1"/>
          <w:i w:val="1"/>
          <w:i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106680</wp:posOffset>
            </wp:positionV>
            <wp:extent cx="1466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4"/>
              </w:rPr>
              <w:t>Proceeds to</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2"/>
              </w:rPr>
              <w:t>Underwriting</w:t>
            </w:r>
          </w:p>
        </w:tc>
        <w:tc>
          <w:tcPr>
            <w:tcW w:w="10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1"/>
              </w:rPr>
              <w:t>BellRing</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Discounts</w:t>
            </w:r>
          </w:p>
        </w:tc>
        <w:tc>
          <w:tcPr>
            <w:tcW w:w="10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2"/>
              </w:rPr>
              <w:t>Brands, Inc.</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3440" w:type="dxa"/>
            <w:vAlign w:val="bottom"/>
            <w:gridSpan w:val="2"/>
          </w:tcPr>
          <w:p>
            <w:pPr>
              <w:ind w:left="2980"/>
              <w:spacing w:after="0" w:line="149" w:lineRule="exact"/>
              <w:rPr>
                <w:sz w:val="20"/>
                <w:szCs w:val="20"/>
                <w:color w:val="auto"/>
              </w:rPr>
            </w:pPr>
            <w:r>
              <w:rPr>
                <w:rFonts w:ascii="Arial" w:cs="Arial" w:eastAsia="Arial" w:hAnsi="Arial"/>
                <w:sz w:val="14"/>
                <w:szCs w:val="14"/>
                <w:b w:val="1"/>
                <w:bCs w:val="1"/>
                <w:i w:val="1"/>
                <w:iCs w:val="1"/>
                <w:color w:val="auto"/>
                <w:w w:val="85"/>
              </w:rPr>
              <w:t>Price to</w:t>
            </w:r>
          </w:p>
        </w:tc>
        <w:tc>
          <w:tcPr>
            <w:tcW w:w="10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and</w:t>
            </w:r>
          </w:p>
        </w:tc>
        <w:tc>
          <w:tcPr>
            <w:tcW w:w="10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0"/>
              </w:rPr>
              <w:t>Before</w:t>
            </w:r>
          </w:p>
        </w:tc>
        <w:tc>
          <w:tcPr>
            <w:tcW w:w="0" w:type="dxa"/>
            <w:vAlign w:val="bottom"/>
          </w:tcPr>
          <w:p>
            <w:pPr>
              <w:spacing w:after="0"/>
              <w:rPr>
                <w:sz w:val="1"/>
                <w:szCs w:val="1"/>
                <w:color w:val="auto"/>
              </w:rPr>
            </w:pPr>
          </w:p>
        </w:tc>
      </w:tr>
      <w:tr>
        <w:trPr>
          <w:trHeight w:val="167"/>
        </w:trPr>
        <w:tc>
          <w:tcPr>
            <w:tcW w:w="3600" w:type="dxa"/>
            <w:vAlign w:val="bottom"/>
            <w:vMerge w:val="restart"/>
          </w:tcPr>
          <w:p>
            <w:pPr>
              <w:spacing w:after="0"/>
              <w:rPr>
                <w:sz w:val="20"/>
                <w:szCs w:val="20"/>
                <w:color w:val="auto"/>
              </w:rPr>
            </w:pPr>
            <w:r>
              <w:rPr>
                <w:rFonts w:ascii="Arial" w:cs="Arial" w:eastAsia="Arial" w:hAnsi="Arial"/>
                <w:sz w:val="16"/>
                <w:szCs w:val="16"/>
                <w:i w:val="1"/>
                <w:iCs w:val="1"/>
                <w:color w:val="auto"/>
              </w:rPr>
              <w:t>Per share</w:t>
            </w:r>
          </w:p>
        </w:tc>
        <w:tc>
          <w:tcPr>
            <w:tcW w:w="2980" w:type="dxa"/>
            <w:vAlign w:val="bottom"/>
          </w:tcPr>
          <w:p>
            <w:pPr>
              <w:spacing w:after="0"/>
              <w:rPr>
                <w:sz w:val="14"/>
                <w:szCs w:val="14"/>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w w:val="95"/>
              </w:rPr>
              <w:t>Public</w:t>
            </w:r>
          </w:p>
        </w:tc>
        <w:tc>
          <w:tcPr>
            <w:tcW w:w="100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Commissions</w:t>
            </w:r>
            <w:r>
              <w:rPr>
                <w:rFonts w:ascii="Arial" w:cs="Arial" w:eastAsia="Arial" w:hAnsi="Arial"/>
                <w:sz w:val="12"/>
                <w:szCs w:val="12"/>
                <w:b w:val="1"/>
                <w:bCs w:val="1"/>
                <w:i w:val="1"/>
                <w:iCs w:val="1"/>
                <w:color w:val="auto"/>
                <w:w w:val="88"/>
              </w:rPr>
              <w:t>(1)</w:t>
            </w:r>
          </w:p>
        </w:tc>
        <w:tc>
          <w:tcPr>
            <w:tcW w:w="10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5"/>
              </w:rPr>
              <w:t>Expenses</w:t>
            </w:r>
          </w:p>
        </w:tc>
        <w:tc>
          <w:tcPr>
            <w:tcW w:w="0" w:type="dxa"/>
            <w:vAlign w:val="bottom"/>
          </w:tcPr>
          <w:p>
            <w:pPr>
              <w:spacing w:after="0"/>
              <w:rPr>
                <w:sz w:val="1"/>
                <w:szCs w:val="1"/>
                <w:color w:val="auto"/>
              </w:rPr>
            </w:pPr>
          </w:p>
        </w:tc>
      </w:tr>
      <w:tr>
        <w:trPr>
          <w:trHeight w:val="186"/>
        </w:trPr>
        <w:tc>
          <w:tcPr>
            <w:tcW w:w="3600" w:type="dxa"/>
            <w:vAlign w:val="bottom"/>
            <w:vMerge w:val="continue"/>
          </w:tcPr>
          <w:p>
            <w:pPr>
              <w:spacing w:after="0"/>
              <w:rPr>
                <w:sz w:val="16"/>
                <w:szCs w:val="16"/>
                <w:color w:val="auto"/>
              </w:rPr>
            </w:pPr>
          </w:p>
        </w:tc>
        <w:tc>
          <w:tcPr>
            <w:tcW w:w="2980" w:type="dxa"/>
            <w:vAlign w:val="bottom"/>
          </w:tcPr>
          <w:p>
            <w:pPr>
              <w:spacing w:after="0"/>
              <w:rPr>
                <w:sz w:val="16"/>
                <w:szCs w:val="16"/>
                <w:color w:val="auto"/>
              </w:rPr>
            </w:pPr>
          </w:p>
        </w:tc>
        <w:tc>
          <w:tcPr>
            <w:tcW w:w="460" w:type="dxa"/>
            <w:vAlign w:val="bottom"/>
          </w:tcPr>
          <w:p>
            <w:pPr>
              <w:spacing w:after="0"/>
              <w:rPr>
                <w:sz w:val="20"/>
                <w:szCs w:val="20"/>
                <w:color w:val="auto"/>
              </w:rPr>
            </w:pPr>
            <w:r>
              <w:rPr>
                <w:rFonts w:ascii="Arial" w:cs="Arial" w:eastAsia="Arial" w:hAnsi="Arial"/>
                <w:sz w:val="16"/>
                <w:szCs w:val="16"/>
                <w:i w:val="1"/>
                <w:iCs w:val="1"/>
                <w:color w:val="auto"/>
              </w:rPr>
              <w:t>$</w:t>
            </w:r>
          </w:p>
        </w:tc>
        <w:tc>
          <w:tcPr>
            <w:tcW w:w="1000" w:type="dxa"/>
            <w:vAlign w:val="bottom"/>
          </w:tcPr>
          <w:p>
            <w:pPr>
              <w:spacing w:after="0"/>
              <w:rPr>
                <w:sz w:val="16"/>
                <w:szCs w:val="16"/>
                <w:color w:val="auto"/>
              </w:rPr>
            </w:pPr>
          </w:p>
        </w:tc>
        <w:tc>
          <w:tcPr>
            <w:tcW w:w="940" w:type="dxa"/>
            <w:vAlign w:val="bottom"/>
          </w:tcPr>
          <w:p>
            <w:pPr>
              <w:jc w:val="right"/>
              <w:ind w:right="626"/>
              <w:spacing w:after="0"/>
              <w:rPr>
                <w:sz w:val="20"/>
                <w:szCs w:val="20"/>
                <w:color w:val="auto"/>
              </w:rPr>
            </w:pPr>
            <w:r>
              <w:rPr>
                <w:rFonts w:ascii="Arial" w:cs="Arial" w:eastAsia="Arial" w:hAnsi="Arial"/>
                <w:sz w:val="16"/>
                <w:szCs w:val="16"/>
                <w:i w:val="1"/>
                <w:iCs w:val="1"/>
                <w:color w:val="auto"/>
              </w:rPr>
              <w:t>$</w:t>
            </w:r>
          </w:p>
        </w:tc>
        <w:tc>
          <w:tcPr>
            <w:tcW w:w="1020" w:type="dxa"/>
            <w:vAlign w:val="bottom"/>
          </w:tcPr>
          <w:p>
            <w:pPr>
              <w:spacing w:after="0"/>
              <w:rPr>
                <w:sz w:val="16"/>
                <w:szCs w:val="16"/>
                <w:color w:val="auto"/>
              </w:rPr>
            </w:pPr>
          </w:p>
        </w:tc>
        <w:tc>
          <w:tcPr>
            <w:tcW w:w="740" w:type="dxa"/>
            <w:vAlign w:val="bottom"/>
          </w:tcPr>
          <w:p>
            <w:pPr>
              <w:jc w:val="right"/>
              <w:ind w:right="507"/>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206"/>
        </w:trPr>
        <w:tc>
          <w:tcPr>
            <w:tcW w:w="3600" w:type="dxa"/>
            <w:vAlign w:val="bottom"/>
          </w:tcPr>
          <w:p>
            <w:pPr>
              <w:spacing w:after="0"/>
              <w:rPr>
                <w:sz w:val="20"/>
                <w:szCs w:val="20"/>
                <w:color w:val="auto"/>
              </w:rPr>
            </w:pPr>
            <w:r>
              <w:rPr>
                <w:rFonts w:ascii="Arial" w:cs="Arial" w:eastAsia="Arial" w:hAnsi="Arial"/>
                <w:sz w:val="16"/>
                <w:szCs w:val="16"/>
                <w:i w:val="1"/>
                <w:iCs w:val="1"/>
                <w:color w:val="auto"/>
              </w:rPr>
              <w:t>Total</w:t>
            </w:r>
          </w:p>
        </w:tc>
        <w:tc>
          <w:tcPr>
            <w:tcW w:w="3440" w:type="dxa"/>
            <w:vAlign w:val="bottom"/>
            <w:gridSpan w:val="2"/>
          </w:tcPr>
          <w:p>
            <w:pPr>
              <w:ind w:left="2980"/>
              <w:spacing w:after="0"/>
              <w:rPr>
                <w:sz w:val="20"/>
                <w:szCs w:val="20"/>
                <w:color w:val="auto"/>
              </w:rPr>
            </w:pPr>
            <w:r>
              <w:rPr>
                <w:rFonts w:ascii="Arial" w:cs="Arial" w:eastAsia="Arial" w:hAnsi="Arial"/>
                <w:sz w:val="16"/>
                <w:szCs w:val="16"/>
                <w:i w:val="1"/>
                <w:iCs w:val="1"/>
                <w:color w:val="auto"/>
              </w:rPr>
              <w:t>$</w:t>
            </w:r>
          </w:p>
        </w:tc>
        <w:tc>
          <w:tcPr>
            <w:tcW w:w="1940" w:type="dxa"/>
            <w:vAlign w:val="bottom"/>
            <w:gridSpan w:val="2"/>
          </w:tcPr>
          <w:p>
            <w:pPr>
              <w:jc w:val="right"/>
              <w:ind w:right="626"/>
              <w:spacing w:after="0"/>
              <w:rPr>
                <w:sz w:val="20"/>
                <w:szCs w:val="20"/>
                <w:color w:val="auto"/>
              </w:rPr>
            </w:pPr>
            <w:r>
              <w:rPr>
                <w:rFonts w:ascii="Arial" w:cs="Arial" w:eastAsia="Arial" w:hAnsi="Arial"/>
                <w:sz w:val="16"/>
                <w:szCs w:val="16"/>
                <w:i w:val="1"/>
                <w:iCs w:val="1"/>
                <w:color w:val="auto"/>
              </w:rPr>
              <w:t>$</w:t>
            </w:r>
          </w:p>
        </w:tc>
        <w:tc>
          <w:tcPr>
            <w:tcW w:w="1760" w:type="dxa"/>
            <w:vAlign w:val="bottom"/>
            <w:gridSpan w:val="2"/>
          </w:tcPr>
          <w:p>
            <w:pPr>
              <w:jc w:val="right"/>
              <w:ind w:right="507"/>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7632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38" w:lineRule="exact"/>
        <w:rPr>
          <w:sz w:val="20"/>
          <w:szCs w:val="20"/>
          <w:color w:val="auto"/>
        </w:rPr>
      </w:pPr>
    </w:p>
    <w:p>
      <w:pPr>
        <w:ind w:left="640" w:hanging="436"/>
        <w:spacing w:after="0"/>
        <w:tabs>
          <w:tab w:leader="none" w:pos="64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See “Underwriting (Conflicts of Interest)” for a description of the compensation payable to the underwriters.</w:t>
      </w:r>
    </w:p>
    <w:p>
      <w:pPr>
        <w:spacing w:after="0" w:line="86" w:lineRule="exact"/>
        <w:rPr>
          <w:sz w:val="20"/>
          <w:szCs w:val="20"/>
          <w:color w:val="auto"/>
        </w:rPr>
      </w:pPr>
    </w:p>
    <w:p>
      <w:pPr>
        <w:ind w:left="200" w:right="580"/>
        <w:spacing w:after="0" w:line="278" w:lineRule="auto"/>
        <w:rPr>
          <w:sz w:val="20"/>
          <w:szCs w:val="20"/>
          <w:color w:val="auto"/>
        </w:rPr>
      </w:pPr>
      <w:r>
        <w:rPr>
          <w:rFonts w:ascii="Arial" w:cs="Arial" w:eastAsia="Arial" w:hAnsi="Arial"/>
          <w:sz w:val="16"/>
          <w:szCs w:val="16"/>
          <w:i w:val="1"/>
          <w:iCs w:val="1"/>
          <w:color w:val="auto"/>
        </w:rPr>
        <w:t>To the extent that the underwriters sell more than 30,000,000 shares of Class A common stock, the underwriters have the option to purchase up to an additional 4,500,000 shares of Class A common stock from us at the initial public offering price less the underwriting discount. See “Underwriting (Conflicts of Interest).”</w:t>
      </w:r>
    </w:p>
    <w:p>
      <w:pPr>
        <w:spacing w:after="0" w:line="49" w:lineRule="exact"/>
        <w:rPr>
          <w:sz w:val="20"/>
          <w:szCs w:val="20"/>
          <w:color w:val="auto"/>
        </w:rPr>
      </w:pPr>
    </w:p>
    <w:tbl>
      <w:tblPr>
        <w:tblLayout w:type="fixed"/>
        <w:tblInd w:w="200" w:type="dxa"/>
        <w:tblCellMar>
          <w:top w:w="0" w:type="dxa"/>
          <w:left w:w="0" w:type="dxa"/>
          <w:bottom w:w="0" w:type="dxa"/>
          <w:right w:w="0" w:type="dxa"/>
        </w:tblCellMar>
      </w:tblPr>
      <w:tr>
        <w:trPr>
          <w:trHeight w:val="206"/>
        </w:trPr>
        <w:tc>
          <w:tcPr>
            <w:tcW w:w="6120" w:type="dxa"/>
            <w:vAlign w:val="bottom"/>
          </w:tcPr>
          <w:p>
            <w:pPr>
              <w:spacing w:after="0"/>
              <w:rPr>
                <w:sz w:val="20"/>
                <w:szCs w:val="20"/>
                <w:color w:val="auto"/>
              </w:rPr>
            </w:pPr>
            <w:r>
              <w:rPr>
                <w:rFonts w:ascii="Arial" w:cs="Arial" w:eastAsia="Arial" w:hAnsi="Arial"/>
                <w:sz w:val="16"/>
                <w:szCs w:val="16"/>
                <w:i w:val="1"/>
                <w:iCs w:val="1"/>
                <w:color w:val="auto"/>
                <w:w w:val="96"/>
              </w:rPr>
              <w:t>The underwriters expect to deliver the shares against payment in New York, New York on</w:t>
            </w: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123825</wp:posOffset>
            </wp:positionV>
            <wp:extent cx="14662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4" w:lineRule="exact"/>
        <w:rPr>
          <w:sz w:val="20"/>
          <w:szCs w:val="20"/>
          <w:color w:val="auto"/>
        </w:rPr>
      </w:pPr>
    </w:p>
    <w:p>
      <w:pPr>
        <w:ind w:left="200"/>
        <w:spacing w:after="0"/>
        <w:tabs>
          <w:tab w:leader="none" w:pos="3180" w:val="left"/>
          <w:tab w:leader="none" w:pos="5780" w:val="left"/>
          <w:tab w:leader="none" w:pos="8560" w:val="left"/>
        </w:tabs>
        <w:rPr>
          <w:sz w:val="20"/>
          <w:szCs w:val="20"/>
          <w:color w:val="auto"/>
        </w:rPr>
      </w:pPr>
      <w:r>
        <w:rPr>
          <w:rFonts w:ascii="Arial" w:cs="Arial" w:eastAsia="Arial" w:hAnsi="Arial"/>
          <w:sz w:val="23"/>
          <w:szCs w:val="23"/>
          <w:i w:val="1"/>
          <w:iCs w:val="1"/>
          <w:color w:val="auto"/>
        </w:rPr>
        <w:t>Morgan Stanley</w:t>
      </w:r>
      <w:r>
        <w:rPr>
          <w:sz w:val="20"/>
          <w:szCs w:val="20"/>
          <w:color w:val="auto"/>
        </w:rPr>
        <w:tab/>
      </w:r>
      <w:r>
        <w:rPr>
          <w:rFonts w:ascii="Arial" w:cs="Arial" w:eastAsia="Arial" w:hAnsi="Arial"/>
          <w:sz w:val="23"/>
          <w:szCs w:val="23"/>
          <w:i w:val="1"/>
          <w:iCs w:val="1"/>
          <w:color w:val="auto"/>
        </w:rPr>
        <w:t>Citigroup</w:t>
      </w:r>
      <w:r>
        <w:rPr>
          <w:sz w:val="20"/>
          <w:szCs w:val="20"/>
          <w:color w:val="auto"/>
        </w:rPr>
        <w:tab/>
      </w:r>
      <w:r>
        <w:rPr>
          <w:rFonts w:ascii="Arial" w:cs="Arial" w:eastAsia="Arial" w:hAnsi="Arial"/>
          <w:sz w:val="23"/>
          <w:szCs w:val="23"/>
          <w:i w:val="1"/>
          <w:iCs w:val="1"/>
          <w:color w:val="auto"/>
        </w:rPr>
        <w:t>J.P. Morgan</w:t>
      </w:r>
      <w:r>
        <w:rPr>
          <w:sz w:val="20"/>
          <w:szCs w:val="20"/>
          <w:color w:val="auto"/>
        </w:rPr>
        <w:tab/>
      </w:r>
      <w:r>
        <w:rPr>
          <w:rFonts w:ascii="Arial" w:cs="Arial" w:eastAsia="Arial" w:hAnsi="Arial"/>
          <w:sz w:val="21"/>
          <w:szCs w:val="21"/>
          <w:i w:val="1"/>
          <w:iCs w:val="1"/>
          <w:color w:val="auto"/>
        </w:rPr>
        <w:t>Goldman Sachs &amp; Co. LLC</w:t>
      </w:r>
    </w:p>
    <w:p>
      <w:pPr>
        <w:spacing w:after="0" w:line="89" w:lineRule="exact"/>
        <w:rPr>
          <w:sz w:val="20"/>
          <w:szCs w:val="20"/>
          <w:color w:val="auto"/>
        </w:rPr>
      </w:pPr>
    </w:p>
    <w:p>
      <w:pPr>
        <w:ind w:left="480"/>
        <w:spacing w:after="0"/>
        <w:tabs>
          <w:tab w:leader="none" w:pos="1880" w:val="left"/>
          <w:tab w:leader="none" w:pos="3060" w:val="left"/>
          <w:tab w:leader="none" w:pos="4620" w:val="left"/>
          <w:tab w:leader="none" w:pos="6100" w:val="left"/>
          <w:tab w:leader="none" w:pos="7100" w:val="left"/>
          <w:tab w:leader="none" w:pos="8100" w:val="left"/>
          <w:tab w:leader="none" w:pos="10140" w:val="left"/>
        </w:tabs>
        <w:rPr>
          <w:sz w:val="20"/>
          <w:szCs w:val="20"/>
          <w:color w:val="auto"/>
        </w:rPr>
      </w:pPr>
      <w:r>
        <w:rPr>
          <w:rFonts w:ascii="Arial" w:cs="Arial" w:eastAsia="Arial" w:hAnsi="Arial"/>
          <w:sz w:val="16"/>
          <w:szCs w:val="16"/>
          <w:i w:val="1"/>
          <w:iCs w:val="1"/>
          <w:color w:val="auto"/>
        </w:rPr>
        <w:t>BofA Merrill</w:t>
      </w:r>
      <w:r>
        <w:rPr>
          <w:sz w:val="20"/>
          <w:szCs w:val="20"/>
          <w:color w:val="auto"/>
        </w:rPr>
        <w:tab/>
      </w:r>
      <w:r>
        <w:rPr>
          <w:rFonts w:ascii="Arial" w:cs="Arial" w:eastAsia="Arial" w:hAnsi="Arial"/>
          <w:sz w:val="16"/>
          <w:szCs w:val="16"/>
          <w:i w:val="1"/>
          <w:iCs w:val="1"/>
          <w:color w:val="auto"/>
        </w:rPr>
        <w:t>Barclays</w:t>
      </w:r>
      <w:r>
        <w:rPr>
          <w:sz w:val="20"/>
          <w:szCs w:val="20"/>
          <w:color w:val="auto"/>
        </w:rPr>
        <w:tab/>
      </w:r>
      <w:r>
        <w:rPr>
          <w:rFonts w:ascii="Arial" w:cs="Arial" w:eastAsia="Arial" w:hAnsi="Arial"/>
          <w:sz w:val="16"/>
          <w:szCs w:val="16"/>
          <w:i w:val="1"/>
          <w:iCs w:val="1"/>
          <w:color w:val="auto"/>
        </w:rPr>
        <w:t>BMO Capital</w:t>
      </w:r>
      <w:r>
        <w:rPr>
          <w:sz w:val="20"/>
          <w:szCs w:val="20"/>
          <w:color w:val="auto"/>
        </w:rPr>
        <w:tab/>
      </w:r>
      <w:r>
        <w:rPr>
          <w:rFonts w:ascii="Arial" w:cs="Arial" w:eastAsia="Arial" w:hAnsi="Arial"/>
          <w:sz w:val="16"/>
          <w:szCs w:val="16"/>
          <w:i w:val="1"/>
          <w:iCs w:val="1"/>
          <w:color w:val="auto"/>
        </w:rPr>
        <w:t>Credit Suisse</w:t>
      </w:r>
      <w:r>
        <w:rPr>
          <w:sz w:val="20"/>
          <w:szCs w:val="20"/>
          <w:color w:val="auto"/>
        </w:rPr>
        <w:tab/>
      </w:r>
      <w:r>
        <w:rPr>
          <w:rFonts w:ascii="Arial" w:cs="Arial" w:eastAsia="Arial" w:hAnsi="Arial"/>
          <w:sz w:val="16"/>
          <w:szCs w:val="16"/>
          <w:i w:val="1"/>
          <w:iCs w:val="1"/>
          <w:color w:val="auto"/>
        </w:rPr>
        <w:t>Evercore</w:t>
      </w:r>
      <w:r>
        <w:rPr>
          <w:sz w:val="20"/>
          <w:szCs w:val="20"/>
          <w:color w:val="auto"/>
        </w:rPr>
        <w:tab/>
      </w:r>
      <w:r>
        <w:rPr>
          <w:rFonts w:ascii="Arial" w:cs="Arial" w:eastAsia="Arial" w:hAnsi="Arial"/>
          <w:sz w:val="16"/>
          <w:szCs w:val="16"/>
          <w:i w:val="1"/>
          <w:iCs w:val="1"/>
          <w:color w:val="auto"/>
        </w:rPr>
        <w:t>Stifel</w:t>
      </w:r>
      <w:r>
        <w:rPr>
          <w:sz w:val="20"/>
          <w:szCs w:val="20"/>
          <w:color w:val="auto"/>
        </w:rPr>
        <w:tab/>
      </w:r>
      <w:r>
        <w:rPr>
          <w:rFonts w:ascii="Arial" w:cs="Arial" w:eastAsia="Arial" w:hAnsi="Arial"/>
          <w:sz w:val="16"/>
          <w:szCs w:val="16"/>
          <w:i w:val="1"/>
          <w:iCs w:val="1"/>
          <w:color w:val="auto"/>
        </w:rPr>
        <w:t>SunTrust Robinson</w:t>
      </w:r>
      <w:r>
        <w:rPr>
          <w:sz w:val="20"/>
          <w:szCs w:val="20"/>
          <w:color w:val="auto"/>
        </w:rPr>
        <w:tab/>
      </w:r>
      <w:r>
        <w:rPr>
          <w:rFonts w:ascii="Arial" w:cs="Arial" w:eastAsia="Arial" w:hAnsi="Arial"/>
          <w:sz w:val="14"/>
          <w:szCs w:val="14"/>
          <w:i w:val="1"/>
          <w:iCs w:val="1"/>
          <w:color w:val="auto"/>
        </w:rPr>
        <w:t>Wells Fargo</w:t>
      </w:r>
    </w:p>
    <w:p>
      <w:pPr>
        <w:spacing w:after="0" w:line="22" w:lineRule="exact"/>
        <w:rPr>
          <w:sz w:val="20"/>
          <w:szCs w:val="20"/>
          <w:color w:val="auto"/>
        </w:rPr>
      </w:pPr>
    </w:p>
    <w:p>
      <w:pPr>
        <w:ind w:left="700"/>
        <w:spacing w:after="0"/>
        <w:tabs>
          <w:tab w:leader="none" w:pos="3220" w:val="left"/>
          <w:tab w:leader="none" w:pos="6280" w:val="left"/>
          <w:tab w:leader="none" w:pos="8360" w:val="left"/>
          <w:tab w:leader="none" w:pos="10200" w:val="left"/>
        </w:tabs>
        <w:rPr>
          <w:sz w:val="20"/>
          <w:szCs w:val="20"/>
          <w:color w:val="auto"/>
        </w:rPr>
      </w:pPr>
      <w:r>
        <w:rPr>
          <w:rFonts w:ascii="Arial" w:cs="Arial" w:eastAsia="Arial" w:hAnsi="Arial"/>
          <w:sz w:val="16"/>
          <w:szCs w:val="16"/>
          <w:i w:val="1"/>
          <w:iCs w:val="1"/>
          <w:color w:val="auto"/>
        </w:rPr>
        <w:t>Lynch</w:t>
      </w:r>
      <w:r>
        <w:rPr>
          <w:sz w:val="20"/>
          <w:szCs w:val="20"/>
          <w:color w:val="auto"/>
        </w:rPr>
        <w:tab/>
      </w:r>
      <w:r>
        <w:rPr>
          <w:rFonts w:ascii="Arial" w:cs="Arial" w:eastAsia="Arial" w:hAnsi="Arial"/>
          <w:sz w:val="16"/>
          <w:szCs w:val="16"/>
          <w:i w:val="1"/>
          <w:iCs w:val="1"/>
          <w:color w:val="auto"/>
        </w:rPr>
        <w:t>Markets</w:t>
      </w:r>
      <w:r>
        <w:rPr>
          <w:sz w:val="20"/>
          <w:szCs w:val="20"/>
          <w:color w:val="auto"/>
        </w:rPr>
        <w:tab/>
      </w:r>
      <w:r>
        <w:rPr>
          <w:rFonts w:ascii="Arial" w:cs="Arial" w:eastAsia="Arial" w:hAnsi="Arial"/>
          <w:sz w:val="16"/>
          <w:szCs w:val="16"/>
          <w:i w:val="1"/>
          <w:iCs w:val="1"/>
          <w:color w:val="auto"/>
        </w:rPr>
        <w:t>ISI</w:t>
      </w:r>
      <w:r>
        <w:rPr>
          <w:sz w:val="20"/>
          <w:szCs w:val="20"/>
          <w:color w:val="auto"/>
        </w:rPr>
        <w:tab/>
      </w:r>
      <w:r>
        <w:rPr>
          <w:rFonts w:ascii="Arial" w:cs="Arial" w:eastAsia="Arial" w:hAnsi="Arial"/>
          <w:sz w:val="16"/>
          <w:szCs w:val="16"/>
          <w:i w:val="1"/>
          <w:iCs w:val="1"/>
          <w:color w:val="auto"/>
        </w:rPr>
        <w:t>Humphrey</w:t>
      </w:r>
      <w:r>
        <w:rPr>
          <w:sz w:val="20"/>
          <w:szCs w:val="20"/>
          <w:color w:val="auto"/>
        </w:rPr>
        <w:tab/>
      </w:r>
      <w:r>
        <w:rPr>
          <w:rFonts w:ascii="Arial" w:cs="Arial" w:eastAsia="Arial" w:hAnsi="Arial"/>
          <w:sz w:val="14"/>
          <w:szCs w:val="14"/>
          <w:i w:val="1"/>
          <w:iCs w:val="1"/>
          <w:color w:val="auto"/>
        </w:rPr>
        <w:t>Securities</w:t>
      </w:r>
    </w:p>
    <w:p>
      <w:pPr>
        <w:spacing w:after="0" w:line="73" w:lineRule="exact"/>
        <w:rPr>
          <w:sz w:val="20"/>
          <w:szCs w:val="20"/>
          <w:color w:val="auto"/>
        </w:rPr>
      </w:pPr>
    </w:p>
    <w:p>
      <w:pPr>
        <w:ind w:left="480"/>
        <w:spacing w:after="0"/>
        <w:tabs>
          <w:tab w:leader="none" w:pos="2120" w:val="left"/>
          <w:tab w:leader="none" w:pos="4180" w:val="left"/>
          <w:tab w:leader="none" w:pos="7020" w:val="left"/>
          <w:tab w:leader="none" w:pos="9360" w:val="left"/>
        </w:tabs>
        <w:rPr>
          <w:sz w:val="20"/>
          <w:szCs w:val="20"/>
          <w:color w:val="auto"/>
        </w:rPr>
      </w:pPr>
      <w:r>
        <w:rPr>
          <w:rFonts w:ascii="Arial" w:cs="Arial" w:eastAsia="Arial" w:hAnsi="Arial"/>
          <w:sz w:val="14"/>
          <w:szCs w:val="14"/>
          <w:i w:val="1"/>
          <w:iCs w:val="1"/>
          <w:color w:val="auto"/>
        </w:rPr>
        <w:t>HSBC</w:t>
      </w:r>
      <w:r>
        <w:rPr>
          <w:sz w:val="20"/>
          <w:szCs w:val="20"/>
          <w:color w:val="auto"/>
        </w:rPr>
        <w:tab/>
      </w:r>
      <w:r>
        <w:rPr>
          <w:rFonts w:ascii="Arial" w:cs="Arial" w:eastAsia="Arial" w:hAnsi="Arial"/>
          <w:sz w:val="14"/>
          <w:szCs w:val="14"/>
          <w:i w:val="1"/>
          <w:iCs w:val="1"/>
          <w:color w:val="auto"/>
        </w:rPr>
        <w:t>Nomura</w:t>
      </w:r>
      <w:r>
        <w:rPr>
          <w:sz w:val="20"/>
          <w:szCs w:val="20"/>
          <w:color w:val="auto"/>
        </w:rPr>
        <w:tab/>
      </w:r>
      <w:r>
        <w:rPr>
          <w:rFonts w:ascii="Arial" w:cs="Arial" w:eastAsia="Arial" w:hAnsi="Arial"/>
          <w:sz w:val="14"/>
          <w:szCs w:val="14"/>
          <w:i w:val="1"/>
          <w:iCs w:val="1"/>
          <w:color w:val="auto"/>
        </w:rPr>
        <w:t>PNC Capital Markets LLC</w:t>
      </w:r>
      <w:r>
        <w:rPr>
          <w:sz w:val="20"/>
          <w:szCs w:val="20"/>
          <w:color w:val="auto"/>
        </w:rPr>
        <w:tab/>
      </w:r>
      <w:r>
        <w:rPr>
          <w:rFonts w:ascii="Arial" w:cs="Arial" w:eastAsia="Arial" w:hAnsi="Arial"/>
          <w:sz w:val="14"/>
          <w:szCs w:val="14"/>
          <w:i w:val="1"/>
          <w:iCs w:val="1"/>
          <w:color w:val="auto"/>
        </w:rPr>
        <w:t>Rabo Securities</w:t>
      </w:r>
      <w:r>
        <w:rPr>
          <w:sz w:val="20"/>
          <w:szCs w:val="20"/>
          <w:color w:val="auto"/>
        </w:rPr>
        <w:tab/>
      </w:r>
      <w:r>
        <w:rPr>
          <w:rFonts w:ascii="Arial" w:cs="Arial" w:eastAsia="Arial" w:hAnsi="Arial"/>
          <w:sz w:val="12"/>
          <w:szCs w:val="12"/>
          <w:i w:val="1"/>
          <w:iCs w:val="1"/>
          <w:color w:val="auto"/>
        </w:rPr>
        <w:t>UBS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132715</wp:posOffset>
            </wp:positionV>
            <wp:extent cx="1466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p>
      <w:pPr>
        <w:spacing w:after="0" w:line="280" w:lineRule="exact"/>
        <w:rPr>
          <w:sz w:val="20"/>
          <w:szCs w:val="20"/>
          <w:color w:val="auto"/>
        </w:rPr>
      </w:pPr>
    </w:p>
    <w:p>
      <w:pPr>
        <w:ind w:left="200"/>
        <w:spacing w:after="0"/>
        <w:tabs>
          <w:tab w:leader="none" w:pos="1980" w:val="left"/>
        </w:tabs>
        <w:rPr>
          <w:sz w:val="20"/>
          <w:szCs w:val="20"/>
          <w:color w:val="auto"/>
        </w:rPr>
      </w:pPr>
      <w:r>
        <w:rPr>
          <w:rFonts w:ascii="Arial" w:cs="Arial" w:eastAsia="Arial" w:hAnsi="Arial"/>
          <w:sz w:val="16"/>
          <w:szCs w:val="16"/>
          <w:i w:val="1"/>
          <w:iCs w:val="1"/>
          <w:color w:val="auto"/>
        </w:rPr>
        <w:t>Prospectus dated</w:t>
      </w:r>
      <w:r>
        <w:rPr>
          <w:sz w:val="20"/>
          <w:szCs w:val="20"/>
          <w:color w:val="auto"/>
        </w:rPr>
        <w:tab/>
      </w:r>
      <w:r>
        <w:rPr>
          <w:rFonts w:ascii="Arial" w:cs="Arial" w:eastAsia="Arial" w:hAnsi="Arial"/>
          <w:sz w:val="15"/>
          <w:szCs w:val="15"/>
          <w:i w:val="1"/>
          <w:iCs w:val="1"/>
          <w:color w:val="auto"/>
        </w:rPr>
        <w:t>, 2019.</w:t>
      </w:r>
    </w:p>
    <w:p>
      <w:pPr>
        <w:sectPr>
          <w:pgSz w:w="11900" w:h="16838" w:orient="portrait"/>
          <w:cols w:equalWidth="0" w:num="1">
            <w:col w:w="11160"/>
          </w:cols>
          <w:pgMar w:left="240" w:top="459" w:right="49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098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0989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0989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098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4720" w:type="dxa"/>
            <w:vAlign w:val="bottom"/>
            <w:gridSpan w:val="21"/>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Table of Contents</w:t>
              </w:r>
            </w:hyperlink>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534"/>
        </w:trPr>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18"/>
          </w:tcPr>
          <w:p>
            <w:pPr>
              <w:ind w:left="4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4"/>
                <w:szCs w:val="24"/>
                <w:color w:val="auto"/>
              </w:rPr>
            </w:pPr>
          </w:p>
        </w:tc>
      </w:tr>
      <w:tr>
        <w:trPr>
          <w:trHeight w:val="473"/>
        </w:trPr>
        <w:tc>
          <w:tcPr>
            <w:tcW w:w="220" w:type="dxa"/>
            <w:vAlign w:val="bottom"/>
          </w:tcPr>
          <w:p>
            <w:pPr>
              <w:spacing w:after="0"/>
              <w:rPr>
                <w:sz w:val="24"/>
                <w:szCs w:val="24"/>
                <w:color w:val="auto"/>
              </w:rPr>
            </w:pPr>
          </w:p>
        </w:tc>
        <w:tc>
          <w:tcPr>
            <w:tcW w:w="208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13">
              <w:r>
                <w:rPr>
                  <w:rFonts w:ascii="Arial" w:cs="Arial" w:eastAsia="Arial" w:hAnsi="Arial"/>
                  <w:sz w:val="18"/>
                  <w:szCs w:val="18"/>
                  <w:color w:val="0000EE"/>
                  <w:w w:val="93"/>
                </w:rPr>
                <w:t>PROSPECTUS SUMMARY</w:t>
              </w:r>
            </w:hyperlink>
          </w:p>
        </w:tc>
        <w:tc>
          <w:tcPr>
            <w:tcW w:w="2420" w:type="dxa"/>
            <w:vAlign w:val="bottom"/>
            <w:gridSpan w:val="11"/>
          </w:tcPr>
          <w:p>
            <w:pPr>
              <w:spacing w:after="0"/>
              <w:rPr>
                <w:sz w:val="24"/>
                <w:szCs w:val="24"/>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8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11">
              <w:r>
                <w:rPr>
                  <w:rFonts w:ascii="Arial" w:cs="Arial" w:eastAsia="Arial" w:hAnsi="Arial"/>
                  <w:sz w:val="18"/>
                  <w:szCs w:val="18"/>
                  <w:color w:val="0000EE"/>
                  <w:w w:val="92"/>
                </w:rPr>
                <w:t>BUSINESS</w:t>
              </w:r>
            </w:hyperlink>
          </w:p>
        </w:tc>
        <w:tc>
          <w:tcPr>
            <w:tcW w:w="3720" w:type="dxa"/>
            <w:vAlign w:val="bottom"/>
            <w:gridSpan w:val="1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196"/>
        </w:trPr>
        <w:tc>
          <w:tcPr>
            <w:tcW w:w="220" w:type="dxa"/>
            <w:vAlign w:val="bottom"/>
          </w:tcPr>
          <w:p>
            <w:pPr>
              <w:spacing w:after="0"/>
              <w:rPr>
                <w:sz w:val="17"/>
                <w:szCs w:val="17"/>
                <w:color w:val="auto"/>
              </w:rPr>
            </w:pPr>
          </w:p>
        </w:tc>
        <w:tc>
          <w:tcPr>
            <w:tcW w:w="1240" w:type="dxa"/>
            <w:vAlign w:val="bottom"/>
            <w:gridSpan w:val="5"/>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RISK FACTORS</w:t>
              </w:r>
            </w:hyperlink>
          </w:p>
        </w:tc>
        <w:tc>
          <w:tcPr>
            <w:tcW w:w="3260" w:type="dxa"/>
            <w:vAlign w:val="bottom"/>
            <w:gridSpan w:val="15"/>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28</w:t>
            </w:r>
          </w:p>
        </w:tc>
        <w:tc>
          <w:tcPr>
            <w:tcW w:w="200" w:type="dxa"/>
            <w:vAlign w:val="bottom"/>
          </w:tcPr>
          <w:p>
            <w:pPr>
              <w:spacing w:after="0"/>
              <w:rPr>
                <w:sz w:val="17"/>
                <w:szCs w:val="17"/>
                <w:color w:val="auto"/>
              </w:rPr>
            </w:pPr>
          </w:p>
        </w:tc>
        <w:tc>
          <w:tcPr>
            <w:tcW w:w="4580" w:type="dxa"/>
            <w:vAlign w:val="bottom"/>
            <w:gridSpan w:val="16"/>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MANAGEMENT</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w w:val="99"/>
              </w:rPr>
            </w:pPr>
            <w:hyperlink w:anchor="page70">
              <w:r>
                <w:rPr>
                  <w:rFonts w:ascii="Arial" w:cs="Arial" w:eastAsia="Arial" w:hAnsi="Arial"/>
                  <w:sz w:val="18"/>
                  <w:szCs w:val="18"/>
                  <w:color w:val="0000EE"/>
                  <w:w w:val="99"/>
                </w:rPr>
                <w:t>CAUTIONARY STATEMENT REGARDING FORWARD-</w:t>
              </w:r>
            </w:hyperlink>
          </w:p>
        </w:tc>
        <w:tc>
          <w:tcPr>
            <w:tcW w:w="900" w:type="dxa"/>
            <w:vAlign w:val="bottom"/>
          </w:tcPr>
          <w:p>
            <w:pPr>
              <w:spacing w:after="0"/>
              <w:rPr>
                <w:sz w:val="17"/>
                <w:szCs w:val="17"/>
                <w:color w:val="auto"/>
              </w:rPr>
            </w:pPr>
          </w:p>
        </w:tc>
        <w:tc>
          <w:tcPr>
            <w:tcW w:w="4780" w:type="dxa"/>
            <w:vAlign w:val="bottom"/>
            <w:gridSpan w:val="17"/>
          </w:tcPr>
          <w:p>
            <w:pPr>
              <w:ind w:left="200"/>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EXECUTIVE COMPENSATION</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2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1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LOOKING STATEMENTS</w:t>
              </w:r>
            </w:hyperlink>
          </w:p>
        </w:tc>
        <w:tc>
          <w:tcPr>
            <w:tcW w:w="180" w:type="dxa"/>
            <w:vAlign w:val="bottom"/>
            <w:gridSpan w:val="2"/>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58</w:t>
            </w:r>
          </w:p>
        </w:tc>
        <w:tc>
          <w:tcPr>
            <w:tcW w:w="200" w:type="dxa"/>
            <w:vAlign w:val="bottom"/>
          </w:tcPr>
          <w:p>
            <w:pPr>
              <w:spacing w:after="0"/>
              <w:rPr>
                <w:sz w:val="17"/>
                <w:szCs w:val="17"/>
                <w:color w:val="auto"/>
              </w:rPr>
            </w:pPr>
          </w:p>
        </w:tc>
        <w:tc>
          <w:tcPr>
            <w:tcW w:w="2460" w:type="dxa"/>
            <w:vAlign w:val="bottom"/>
            <w:tcBorders>
              <w:top w:val="single" w:sz="8" w:color="0000EE"/>
            </w:tcBorders>
            <w:gridSpan w:val="8"/>
          </w:tcPr>
          <w:p>
            <w:pPr>
              <w:spacing w:after="0" w:line="196" w:lineRule="exact"/>
              <w:rPr>
                <w:rFonts w:ascii="Arial" w:cs="Arial" w:eastAsia="Arial" w:hAnsi="Arial"/>
                <w:sz w:val="18"/>
                <w:szCs w:val="18"/>
                <w:color w:val="0000EE"/>
                <w:w w:val="97"/>
              </w:rPr>
            </w:pPr>
            <w:hyperlink w:anchor="page156">
              <w:r>
                <w:rPr>
                  <w:rFonts w:ascii="Arial" w:cs="Arial" w:eastAsia="Arial" w:hAnsi="Arial"/>
                  <w:sz w:val="18"/>
                  <w:szCs w:val="18"/>
                  <w:color w:val="0000EE"/>
                  <w:w w:val="97"/>
                </w:rPr>
                <w:t>PRINCIPAL STOCKHOLDERS</w:t>
              </w:r>
            </w:hyperlink>
          </w:p>
        </w:tc>
        <w:tc>
          <w:tcPr>
            <w:tcW w:w="2120" w:type="dxa"/>
            <w:vAlign w:val="bottom"/>
            <w:gridSpan w:val="8"/>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USE OF PROCEEDS</w:t>
              </w:r>
            </w:hyperlink>
          </w:p>
        </w:tc>
        <w:tc>
          <w:tcPr>
            <w:tcW w:w="2920" w:type="dxa"/>
            <w:vAlign w:val="bottom"/>
            <w:gridSpan w:val="12"/>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60</w:t>
            </w:r>
          </w:p>
        </w:tc>
        <w:tc>
          <w:tcPr>
            <w:tcW w:w="200" w:type="dxa"/>
            <w:vAlign w:val="bottom"/>
          </w:tcPr>
          <w:p>
            <w:pPr>
              <w:spacing w:after="0"/>
              <w:rPr>
                <w:sz w:val="17"/>
                <w:szCs w:val="17"/>
                <w:color w:val="auto"/>
              </w:rPr>
            </w:pPr>
          </w:p>
        </w:tc>
        <w:tc>
          <w:tcPr>
            <w:tcW w:w="364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157">
              <w:r>
                <w:rPr>
                  <w:rFonts w:ascii="Arial" w:cs="Arial" w:eastAsia="Arial" w:hAnsi="Arial"/>
                  <w:sz w:val="18"/>
                  <w:szCs w:val="18"/>
                  <w:color w:val="0000EE"/>
                  <w:w w:val="94"/>
                </w:rPr>
                <w:t>DESCRIPTION OF CERTAIN INDEBTEDNESS</w:t>
              </w:r>
            </w:hyperlink>
          </w:p>
        </w:tc>
        <w:tc>
          <w:tcPr>
            <w:tcW w:w="940" w:type="dxa"/>
            <w:vAlign w:val="bottom"/>
            <w:gridSpan w:val="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DIVIDEND POLICY</w:t>
              </w:r>
            </w:hyperlink>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62</w:t>
            </w:r>
          </w:p>
        </w:tc>
        <w:tc>
          <w:tcPr>
            <w:tcW w:w="4780" w:type="dxa"/>
            <w:vAlign w:val="bottom"/>
            <w:gridSpan w:val="17"/>
          </w:tcPr>
          <w:p>
            <w:pPr>
              <w:ind w:left="200"/>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DESCRIPTION OF CAPITAL STOCK</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147</w:t>
            </w: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560" w:type="dxa"/>
            <w:vAlign w:val="bottom"/>
            <w:gridSpan w:val="7"/>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CAPITALIZATION</w:t>
              </w:r>
            </w:hyperlink>
          </w:p>
        </w:tc>
        <w:tc>
          <w:tcPr>
            <w:tcW w:w="2940" w:type="dxa"/>
            <w:vAlign w:val="bottom"/>
            <w:gridSpan w:val="13"/>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63</w:t>
            </w:r>
          </w:p>
        </w:tc>
        <w:tc>
          <w:tcPr>
            <w:tcW w:w="200" w:type="dxa"/>
            <w:vAlign w:val="bottom"/>
          </w:tcPr>
          <w:p>
            <w:pPr>
              <w:spacing w:after="0"/>
              <w:rPr>
                <w:sz w:val="17"/>
                <w:szCs w:val="17"/>
                <w:color w:val="auto"/>
              </w:rPr>
            </w:pPr>
          </w:p>
        </w:tc>
        <w:tc>
          <w:tcPr>
            <w:tcW w:w="4580" w:type="dxa"/>
            <w:vAlign w:val="bottom"/>
            <w:gridSpan w:val="16"/>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SHARES ELIGIBLE FOR FUTURE SALE</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760" w:type="dxa"/>
            <w:vAlign w:val="bottom"/>
            <w:tcBorders>
              <w:left w:val="single" w:sz="8" w:color="0000EE"/>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400" w:type="dxa"/>
            <w:vAlign w:val="bottom"/>
            <w:gridSpan w:val="6"/>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DILUTION</w:t>
              </w:r>
            </w:hyperlink>
          </w:p>
        </w:tc>
        <w:tc>
          <w:tcPr>
            <w:tcW w:w="3100" w:type="dxa"/>
            <w:vAlign w:val="bottom"/>
            <w:gridSpan w:val="14"/>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66</w:t>
            </w:r>
          </w:p>
        </w:tc>
        <w:tc>
          <w:tcPr>
            <w:tcW w:w="200" w:type="dxa"/>
            <w:vAlign w:val="bottom"/>
          </w:tcPr>
          <w:p>
            <w:pPr>
              <w:spacing w:after="0"/>
              <w:rPr>
                <w:sz w:val="17"/>
                <w:szCs w:val="17"/>
                <w:color w:val="auto"/>
              </w:rPr>
            </w:pPr>
          </w:p>
        </w:tc>
        <w:tc>
          <w:tcPr>
            <w:tcW w:w="4580" w:type="dxa"/>
            <w:vAlign w:val="bottom"/>
            <w:gridSpan w:val="16"/>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CERTAIN RELATIONSHIPS AND RELATED PARTY</w:t>
              </w:r>
            </w:hyperlink>
          </w:p>
        </w:tc>
        <w:tc>
          <w:tcPr>
            <w:tcW w:w="76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14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80">
              <w:r>
                <w:rPr>
                  <w:rFonts w:ascii="Arial" w:cs="Arial" w:eastAsia="Arial" w:hAnsi="Arial"/>
                  <w:sz w:val="18"/>
                  <w:szCs w:val="18"/>
                  <w:color w:val="0000EE"/>
                  <w:w w:val="95"/>
                </w:rPr>
                <w:t>SELECTED HISTORICAL CONDENSED COMBINED</w:t>
              </w:r>
            </w:hyperlink>
          </w:p>
        </w:tc>
        <w:tc>
          <w:tcPr>
            <w:tcW w:w="36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168">
              <w:r>
                <w:rPr>
                  <w:rFonts w:ascii="Arial" w:cs="Arial" w:eastAsia="Arial" w:hAnsi="Arial"/>
                  <w:sz w:val="18"/>
                  <w:szCs w:val="18"/>
                  <w:color w:val="0000EE"/>
                  <w:w w:val="96"/>
                </w:rPr>
                <w:t>TRANSACTIONS</w:t>
              </w:r>
            </w:hyperlink>
          </w:p>
        </w:tc>
        <w:tc>
          <w:tcPr>
            <w:tcW w:w="3020" w:type="dxa"/>
            <w:vAlign w:val="bottom"/>
            <w:gridSpan w:val="10"/>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40" w:type="dxa"/>
            <w:vAlign w:val="bottom"/>
            <w:gridSpan w:val="19"/>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FINANCIAL AND OTHER INFORMATION</w:t>
              </w:r>
            </w:hyperlink>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68</w:t>
            </w:r>
          </w:p>
        </w:tc>
        <w:tc>
          <w:tcPr>
            <w:tcW w:w="4780" w:type="dxa"/>
            <w:vAlign w:val="bottom"/>
            <w:gridSpan w:val="17"/>
          </w:tcPr>
          <w:p>
            <w:pPr>
              <w:ind w:left="200"/>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CERTAIN MATERIAL U.S. FEDERAL INCOME TAX</w:t>
              </w:r>
            </w:hyperlink>
          </w:p>
        </w:tc>
        <w:tc>
          <w:tcPr>
            <w:tcW w:w="76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760" w:type="dxa"/>
            <w:vAlign w:val="bottom"/>
            <w:tcBorders>
              <w:lef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UNAUDITED QUARTERLY FINANCIAL</w:t>
              </w:r>
            </w:hyperlink>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16"/>
          </w:tcPr>
          <w:p>
            <w:pPr>
              <w:ind w:left="180"/>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CONSIDERATIONS FOR NON-U.S. HOLDERS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173</w:t>
            </w: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760" w:type="dxa"/>
            <w:vAlign w:val="bottom"/>
            <w:tcBorders>
              <w:left w:val="single" w:sz="8" w:color="0000EE"/>
            </w:tcBorders>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gridSpan w:val="10"/>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INFORMATION</w:t>
              </w:r>
            </w:hyperlink>
          </w:p>
        </w:tc>
        <w:tc>
          <w:tcPr>
            <w:tcW w:w="1340" w:type="dxa"/>
            <w:vAlign w:val="bottom"/>
            <w:gridSpan w:val="9"/>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70</w:t>
            </w:r>
          </w:p>
        </w:tc>
        <w:tc>
          <w:tcPr>
            <w:tcW w:w="4780" w:type="dxa"/>
            <w:vAlign w:val="bottom"/>
            <w:gridSpan w:val="17"/>
          </w:tcPr>
          <w:p>
            <w:pPr>
              <w:ind w:left="200"/>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UNDERWRITING (CONFLICTS OF INTEREST)</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177</w:t>
            </w: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480" w:type="dxa"/>
            <w:vAlign w:val="bottom"/>
            <w:gridSpan w:val="19"/>
          </w:tcPr>
          <w:p>
            <w:pPr>
              <w:spacing w:after="0" w:line="196" w:lineRule="exact"/>
              <w:rPr>
                <w:rFonts w:ascii="Arial" w:cs="Arial" w:eastAsia="Arial" w:hAnsi="Arial"/>
                <w:sz w:val="18"/>
                <w:szCs w:val="18"/>
                <w:color w:val="0000EE"/>
                <w:w w:val="97"/>
              </w:rPr>
            </w:pPr>
            <w:hyperlink w:anchor="page83">
              <w:r>
                <w:rPr>
                  <w:rFonts w:ascii="Arial" w:cs="Arial" w:eastAsia="Arial" w:hAnsi="Arial"/>
                  <w:sz w:val="18"/>
                  <w:szCs w:val="18"/>
                  <w:color w:val="0000EE"/>
                  <w:w w:val="97"/>
                </w:rPr>
                <w:t>EXPLANATION AND RECONCILIATION OF NON-GAAP</w:t>
              </w:r>
            </w:hyperlink>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16"/>
          </w:tcPr>
          <w:p>
            <w:pPr>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LEGAL MATTERS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185</w:t>
            </w:r>
          </w:p>
        </w:tc>
      </w:tr>
      <w:tr>
        <w:trPr>
          <w:trHeight w:val="196"/>
        </w:trPr>
        <w:tc>
          <w:tcPr>
            <w:tcW w:w="2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3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MEASURES</w:t>
              </w:r>
            </w:hyperlink>
          </w:p>
        </w:tc>
        <w:tc>
          <w:tcPr>
            <w:tcW w:w="20" w:type="dxa"/>
            <w:vAlign w:val="bottom"/>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71</w:t>
            </w:r>
          </w:p>
        </w:tc>
        <w:tc>
          <w:tcPr>
            <w:tcW w:w="200" w:type="dxa"/>
            <w:vAlign w:val="bottom"/>
          </w:tcPr>
          <w:p>
            <w:pPr>
              <w:spacing w:after="0"/>
              <w:rPr>
                <w:sz w:val="17"/>
                <w:szCs w:val="17"/>
                <w:color w:val="auto"/>
              </w:rPr>
            </w:pPr>
          </w:p>
        </w:tc>
        <w:tc>
          <w:tcPr>
            <w:tcW w:w="14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EXPERTS</w:t>
              </w:r>
            </w:hyperlink>
          </w:p>
        </w:tc>
        <w:tc>
          <w:tcPr>
            <w:tcW w:w="3120" w:type="dxa"/>
            <w:vAlign w:val="bottom"/>
            <w:gridSpan w:val="11"/>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185</w:t>
            </w: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UNAUDITED PRO FORMA CONDENSED</w:t>
              </w:r>
            </w:hyperlink>
          </w:p>
        </w:tc>
        <w:tc>
          <w:tcPr>
            <w:tcW w:w="900" w:type="dxa"/>
            <w:vAlign w:val="bottom"/>
          </w:tcPr>
          <w:p>
            <w:pPr>
              <w:spacing w:after="0"/>
              <w:rPr>
                <w:sz w:val="17"/>
                <w:szCs w:val="17"/>
                <w:color w:val="auto"/>
              </w:rPr>
            </w:pPr>
          </w:p>
        </w:tc>
        <w:tc>
          <w:tcPr>
            <w:tcW w:w="4780" w:type="dxa"/>
            <w:vAlign w:val="bottom"/>
            <w:gridSpan w:val="17"/>
          </w:tcPr>
          <w:p>
            <w:pPr>
              <w:ind w:left="200"/>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WHERE YOU CAN FIND MORE INFORMATION</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185</w:t>
            </w: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020" w:type="dxa"/>
            <w:vAlign w:val="bottom"/>
            <w:tcBorders>
              <w:left w:val="single" w:sz="8" w:color="0000EE"/>
            </w:tcBorders>
            <w:gridSpan w:val="7"/>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80" w:type="dxa"/>
            <w:vAlign w:val="bottom"/>
            <w:gridSpan w:val="14"/>
          </w:tcPr>
          <w:p>
            <w:pPr>
              <w:spacing w:after="0" w:line="196" w:lineRule="exact"/>
              <w:rPr>
                <w:rFonts w:ascii="Arial" w:cs="Arial" w:eastAsia="Arial" w:hAnsi="Arial"/>
                <w:sz w:val="18"/>
                <w:szCs w:val="18"/>
                <w:color w:val="0000EE"/>
                <w:w w:val="98"/>
              </w:rPr>
            </w:pPr>
            <w:hyperlink w:anchor="page86">
              <w:r>
                <w:rPr>
                  <w:rFonts w:ascii="Arial" w:cs="Arial" w:eastAsia="Arial" w:hAnsi="Arial"/>
                  <w:sz w:val="18"/>
                  <w:szCs w:val="18"/>
                  <w:color w:val="0000EE"/>
                  <w:w w:val="98"/>
                </w:rPr>
                <w:t>CONSOLIDATED FINANCIAL INFORMATION</w:t>
              </w:r>
            </w:hyperlink>
          </w:p>
        </w:tc>
        <w:tc>
          <w:tcPr>
            <w:tcW w:w="660" w:type="dxa"/>
            <w:vAlign w:val="bottom"/>
            <w:gridSpan w:val="5"/>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74</w:t>
            </w:r>
          </w:p>
        </w:tc>
        <w:tc>
          <w:tcPr>
            <w:tcW w:w="200" w:type="dxa"/>
            <w:vAlign w:val="bottom"/>
          </w:tcPr>
          <w:p>
            <w:pPr>
              <w:spacing w:after="0"/>
              <w:rPr>
                <w:sz w:val="17"/>
                <w:szCs w:val="17"/>
                <w:color w:val="auto"/>
              </w:rPr>
            </w:pPr>
          </w:p>
        </w:tc>
        <w:tc>
          <w:tcPr>
            <w:tcW w:w="4580" w:type="dxa"/>
            <w:vAlign w:val="bottom"/>
            <w:gridSpan w:val="16"/>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INDEX TO FINANCIAL STATEMENTS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460" w:type="dxa"/>
            <w:vAlign w:val="bottom"/>
            <w:tcBorders>
              <w:left w:val="single" w:sz="8" w:color="0000EE"/>
            </w:tcBorders>
            <w:gridSpan w:val="9"/>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MANAGEMENT’S DISCUSSION AND ANALYSIS OF</w:t>
              </w:r>
            </w:hyperlink>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FINANCIAL CONDITION AND RESULTS OF</w:t>
              </w:r>
            </w:hyperlink>
          </w:p>
        </w:tc>
        <w:tc>
          <w:tcPr>
            <w:tcW w:w="32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OPERATIONS</w:t>
              </w:r>
            </w:hyperlink>
          </w:p>
        </w:tc>
        <w:tc>
          <w:tcPr>
            <w:tcW w:w="800" w:type="dxa"/>
            <w:vAlign w:val="bottom"/>
            <w:gridSpan w:val="6"/>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334645</wp:posOffset>
            </wp:positionV>
            <wp:extent cx="14662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You should rely only on the information contained in this prospectus or contained in any free writing prospectus filed with the Securities and Exchange Commission (the “SEC”). None of BellRing Brands, Inc., Post or the underwriters have authorized anyone to provide you with additional information or information different from that contained in this prospectus or in any free writing prospectus filed with the SEC. We, Post and the underwriters take no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any sale of shares of our Class A common stock. Our business, financial condition, results of operations and prospects may have changed since that date.</w:t>
      </w:r>
    </w:p>
    <w:p>
      <w:pPr>
        <w:spacing w:after="0" w:line="167"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For investors outside of the United States (the “U.S.”): We have not, and the underwriters have not, done anything that would permit this offering or the possession or distribution of this prospectus in any jurisdiction where action for that purpose is required, other than in the U.S. Persons outside of the U.S. who come into possession of this prospectus must inform themselves about, and observe any restrictions relating to, this offering of our Class A common stock and the distribution of this prospectus outside of the U.S.</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GLOSSARY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we otherwise indicate, or unless the context requires otherwise, any references in this prospectus to:</w:t>
      </w:r>
    </w:p>
    <w:p>
      <w:pPr>
        <w:spacing w:after="0" w:line="131" w:lineRule="exact"/>
        <w:rPr>
          <w:sz w:val="20"/>
          <w:szCs w:val="20"/>
          <w:color w:val="auto"/>
        </w:rPr>
      </w:pPr>
    </w:p>
    <w:p>
      <w:pPr>
        <w:ind w:left="1180" w:right="120" w:hanging="544"/>
        <w:spacing w:after="0" w:line="264"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Blocker” refers to TA/DEI-A Acquisition Corp., a Delaware corporation, which, prior to the completion of the formation transactions, is an indirect wholly-owned subsidiary of Post and, after completion of the formation transactions, will be a direct wholly-owned subsidiary of BellRing Brands, LLC.</w:t>
      </w:r>
    </w:p>
    <w:p>
      <w:pPr>
        <w:spacing w:after="0" w:line="86" w:lineRule="exact"/>
        <w:rPr>
          <w:rFonts w:ascii="Arial" w:cs="Arial" w:eastAsia="Arial" w:hAnsi="Arial"/>
          <w:sz w:val="18"/>
          <w:szCs w:val="18"/>
          <w:color w:val="auto"/>
        </w:rPr>
      </w:pPr>
    </w:p>
    <w:p>
      <w:pPr>
        <w:jc w:val="both"/>
        <w:ind w:left="1180" w:right="60" w:hanging="544"/>
        <w:spacing w:after="0" w:line="264"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“Active Nutrition International” refers to Active Nutrition International GmbH, formerly known as PowerBar Europe GmbH, which, prior to the completion of the formation transactions, is a wholly-owned subsidiary of Post Acquisition Sub IV, LLC (which is a wholly-owned subsidiary of Post) and,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240" w:top="446"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after the completion of the formation transactions, will be an indirect wholly-owned subsidiary of BellRing Brands, LLC.</w:t>
      </w:r>
    </w:p>
    <w:p>
      <w:pPr>
        <w:spacing w:after="0" w:line="131" w:lineRule="exact"/>
        <w:rPr>
          <w:sz w:val="20"/>
          <w:szCs w:val="20"/>
          <w:color w:val="auto"/>
        </w:rPr>
      </w:pPr>
    </w:p>
    <w:p>
      <w:pPr>
        <w:ind w:left="1180" w:right="40" w:hanging="544"/>
        <w:spacing w:after="0" w:line="264"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“amended and restated limited liability company agreement” refers to the amended and restated limited liability company agreement of BellRing Brands, LLC to be entered into among BellRing Brands, LLC, BellRing Brands, Inc. and Post in connection with the formation transactions and this offering.</w:t>
      </w:r>
    </w:p>
    <w:p>
      <w:pPr>
        <w:spacing w:after="0" w:line="86" w:lineRule="exact"/>
        <w:rPr>
          <w:rFonts w:ascii="Arial" w:cs="Arial" w:eastAsia="Arial" w:hAnsi="Arial"/>
          <w:sz w:val="18"/>
          <w:szCs w:val="18"/>
          <w:color w:val="auto"/>
        </w:rPr>
      </w:pPr>
    </w:p>
    <w:p>
      <w:pPr>
        <w:ind w:left="1180" w:right="160" w:hanging="544"/>
        <w:spacing w:after="0" w:line="259"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 Blockers” refers to, collectively, (i) TA/DEI-B1 Acquisition Corp., a Delaware corporation, (ii) TA/DEI-B2 Acquisition Corp., a Delaware corporation and (iii) TA/DEI-B3 Acquisition Corp., a Delaware corporation, each of which, prior to the completion of the formation transactions, is an indirect wholly-owned subsidiary of Post and, as part of the formation transactions, will be merged with and into the A Blocker.</w:t>
      </w:r>
    </w:p>
    <w:p>
      <w:pPr>
        <w:spacing w:after="0" w:line="92" w:lineRule="exact"/>
        <w:rPr>
          <w:rFonts w:ascii="Arial" w:cs="Arial" w:eastAsia="Arial" w:hAnsi="Arial"/>
          <w:sz w:val="18"/>
          <w:szCs w:val="18"/>
          <w:color w:val="auto"/>
        </w:rPr>
      </w:pPr>
    </w:p>
    <w:p>
      <w:pPr>
        <w:ind w:left="1180" w:right="260" w:hanging="544"/>
        <w:spacing w:after="0" w:line="259"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“ancillary agreements” refers to all agreements to be entered into by Post, BellRing Brands, Inc., BellRing Brands, LLC and/or their respective subsidiaries in connection with the formation transactions and this offering, including the employee matters agreement, the investor rights agreement, the amended and restated limited liability company agreement, the tax matters agreement, the tax receivable agreement and the master services agreement.</w:t>
      </w:r>
    </w:p>
    <w:p>
      <w:pPr>
        <w:spacing w:after="0" w:line="92" w:lineRule="exact"/>
        <w:rPr>
          <w:rFonts w:ascii="Arial" w:cs="Arial" w:eastAsia="Arial" w:hAnsi="Arial"/>
          <w:sz w:val="18"/>
          <w:szCs w:val="18"/>
          <w:color w:val="auto"/>
        </w:rPr>
      </w:pPr>
    </w:p>
    <w:p>
      <w:pPr>
        <w:ind w:left="1180" w:right="440" w:hanging="544"/>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“BellRing Brands, LLC” refers to BellRing Brands, LLC (currently known as Dymatize Holdings, LLC), a Delaware limited liability company.</w:t>
      </w:r>
    </w:p>
    <w:p>
      <w:pPr>
        <w:spacing w:after="0" w:line="75" w:lineRule="exact"/>
        <w:rPr>
          <w:rFonts w:ascii="Arial" w:cs="Arial" w:eastAsia="Arial" w:hAnsi="Arial"/>
          <w:sz w:val="18"/>
          <w:szCs w:val="18"/>
          <w:color w:val="auto"/>
        </w:rPr>
      </w:pPr>
    </w:p>
    <w:p>
      <w:pPr>
        <w:ind w:left="1180" w:right="500" w:hanging="544"/>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“BellRing Brands, LLC Units” refers to the non-voting membership units of BellRing Brands, LLC as described in the amended and restated limited liability company agreement of BellRing Brands, LLC.</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of Directors” refers to the board of directors of BellRing Brands, Inc.</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of Managers” refers to the board of managers of BellRing Brands, LLC.</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“buy rate” refers to the average amount of product purchased by one buying household during the specified time period.</w:t>
      </w:r>
    </w:p>
    <w:p>
      <w:pPr>
        <w:spacing w:after="0" w:line="130" w:lineRule="exact"/>
        <w:rPr>
          <w:rFonts w:ascii="Arial" w:cs="Arial" w:eastAsia="Arial" w:hAnsi="Arial"/>
          <w:sz w:val="18"/>
          <w:szCs w:val="18"/>
          <w:color w:val="auto"/>
        </w:rPr>
      </w:pPr>
    </w:p>
    <w:p>
      <w:pPr>
        <w:ind w:left="1180" w:right="60" w:hanging="544"/>
        <w:spacing w:after="0" w:line="342" w:lineRule="auto"/>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“CAGR” refers to compounded annual growth rate and represents the rate of increase or decrease required for a number to get from its initial value to its ending value, assuming the increase or decrease occurred steadily and was compounded over the referenced time period.</w:t>
      </w:r>
    </w:p>
    <w:p>
      <w:pPr>
        <w:spacing w:after="0" w:line="29" w:lineRule="exact"/>
        <w:rPr>
          <w:rFonts w:ascii="Arial" w:cs="Arial" w:eastAsia="Arial" w:hAnsi="Arial"/>
          <w:sz w:val="16"/>
          <w:szCs w:val="16"/>
          <w:color w:val="auto"/>
        </w:rPr>
      </w:pPr>
    </w:p>
    <w:p>
      <w:pPr>
        <w:jc w:val="both"/>
        <w:ind w:left="1180" w:right="120" w:hanging="544"/>
        <w:spacing w:after="0" w:line="264"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“Dymatize Enterprises” refers to Dymatize Enterprises, LLC, a Delaware limited liability company, which, prior to the completion of the formation transactions, is an indirect wholly-owned subsidiary of Post and, after completion of the formation transactions, will be a direct and indirect wholly-owned subsidiary of BellRing Brands, LLC.</w:t>
      </w:r>
    </w:p>
    <w:p>
      <w:pPr>
        <w:spacing w:after="0" w:line="86" w:lineRule="exact"/>
        <w:rPr>
          <w:rFonts w:ascii="Arial" w:cs="Arial" w:eastAsia="Arial" w:hAnsi="Arial"/>
          <w:sz w:val="18"/>
          <w:szCs w:val="18"/>
          <w:color w:val="auto"/>
        </w:rPr>
      </w:pPr>
    </w:p>
    <w:p>
      <w:pPr>
        <w:ind w:left="1180" w:right="120" w:hanging="544"/>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“employee matters agreement” refers to the employee matters agreement to be entered into between Post and BellRing Brands, Inc. or their respective subsidiaries in connection with the formation transactions and this offering.</w:t>
      </w:r>
    </w:p>
    <w:p>
      <w:pPr>
        <w:spacing w:after="0" w:line="75" w:lineRule="exact"/>
        <w:rPr>
          <w:rFonts w:ascii="Arial" w:cs="Arial" w:eastAsia="Arial" w:hAnsi="Arial"/>
          <w:sz w:val="18"/>
          <w:szCs w:val="18"/>
          <w:color w:val="auto"/>
        </w:rPr>
      </w:pPr>
    </w:p>
    <w:p>
      <w:pPr>
        <w:ind w:left="1180" w:right="80" w:hanging="544"/>
        <w:spacing w:after="0" w:line="264"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“Euromonitor data” refers to data for the convenient nutrition category from Euromonitor International Limited (“Euromonitor”), which is defined by Euromonitor to include the sports nutrition, meal replacement, supplement nutrition drinks, fruit and nut bar and energy bar categories.</w:t>
      </w:r>
    </w:p>
    <w:p>
      <w:pPr>
        <w:spacing w:after="0" w:line="86" w:lineRule="exact"/>
        <w:rPr>
          <w:rFonts w:ascii="Arial" w:cs="Arial" w:eastAsia="Arial" w:hAnsi="Arial"/>
          <w:sz w:val="18"/>
          <w:szCs w:val="18"/>
          <w:color w:val="auto"/>
        </w:rPr>
      </w:pPr>
    </w:p>
    <w:p>
      <w:pPr>
        <w:ind w:left="1180" w:hanging="544"/>
        <w:spacing w:after="0" w:line="25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“fiscal 2013” refers to the fiscal year ended September 30, 2013; “fiscal 2014” refers to the fiscal year ended September 30, 2014; “fiscal 2015” refers to the fiscal year ended September 30, 2015; “fiscal 2016” refers to the fiscal year ended September 30, 2016; “fiscal 2017” refers to the fiscal year ended September 30, 2017; “fiscal 2018” refers to the fiscal year ended September 30, 2018; “fiscal 2019” refers to the fiscal year ending September 30, 2019; and “fiscal 2019, 2020, 2021, 2022 and 2023” refers to the fiscal years ending September 30 for each of 2019, 2020, 2021, 2022 and 2023, respectively.</w:t>
      </w:r>
    </w:p>
    <w:p>
      <w:pPr>
        <w:spacing w:after="0" w:line="93" w:lineRule="exact"/>
        <w:rPr>
          <w:rFonts w:ascii="Arial" w:cs="Arial" w:eastAsia="Arial" w:hAnsi="Arial"/>
          <w:sz w:val="18"/>
          <w:szCs w:val="18"/>
          <w:color w:val="auto"/>
        </w:rPr>
      </w:pPr>
    </w:p>
    <w:p>
      <w:pPr>
        <w:ind w:left="1180" w:right="460" w:hanging="544"/>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“formation transactions” refer to the series of transactions to be completed in connection with this offering pursuant to the master transaction agreement and as described under “Prospectus Summary—Formation Transactions.”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2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“household penetration” refers to the percentage of U.S. households that purchased a specified item at least once during a specified time period.</w:t>
      </w:r>
    </w:p>
    <w:p>
      <w:pPr>
        <w:spacing w:after="0" w:line="75" w:lineRule="exact"/>
        <w:rPr>
          <w:rFonts w:ascii="Arial" w:cs="Arial" w:eastAsia="Arial" w:hAnsi="Arial"/>
          <w:sz w:val="18"/>
          <w:szCs w:val="18"/>
          <w:color w:val="auto"/>
        </w:rPr>
      </w:pPr>
    </w:p>
    <w:p>
      <w:pPr>
        <w:ind w:left="1180" w:right="58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“investor rights agreement” refers to the investor rights agreement to be entered into between Post and BellRing Brands, Inc. in connection with the formation transactions and this offering.</w:t>
      </w:r>
    </w:p>
    <w:p>
      <w:pPr>
        <w:spacing w:after="0" w:line="75" w:lineRule="exact"/>
        <w:rPr>
          <w:rFonts w:ascii="Arial" w:cs="Arial" w:eastAsia="Arial" w:hAnsi="Arial"/>
          <w:sz w:val="18"/>
          <w:szCs w:val="18"/>
          <w:color w:val="auto"/>
        </w:rPr>
      </w:pPr>
    </w:p>
    <w:p>
      <w:pPr>
        <w:ind w:left="1180" w:right="6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“master services agreement” refers to the master services agreement to be entered into among BellRing Brands, Inc., BellRing Brands, LLC and Post in connection with the formation transactions and this offering.</w:t>
      </w:r>
    </w:p>
    <w:p>
      <w:pPr>
        <w:spacing w:after="0" w:line="75" w:lineRule="exact"/>
        <w:rPr>
          <w:rFonts w:ascii="Arial" w:cs="Arial" w:eastAsia="Arial" w:hAnsi="Arial"/>
          <w:sz w:val="18"/>
          <w:szCs w:val="18"/>
          <w:color w:val="auto"/>
        </w:rPr>
      </w:pPr>
    </w:p>
    <w:p>
      <w:pPr>
        <w:ind w:left="1180" w:right="32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“master transaction agreement” refers to the master transaction agreement to be entered into prior to the completion of this offering among Post, BellRing Brands, Inc. and BellRing Brands, LLC.</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“media impressions” refers to the number of people who were exposed to brand messaging at any point during the specified time period.</w:t>
      </w:r>
    </w:p>
    <w:p>
      <w:pPr>
        <w:spacing w:after="0" w:line="153" w:lineRule="exact"/>
        <w:rPr>
          <w:rFonts w:ascii="Arial" w:cs="Arial" w:eastAsia="Arial" w:hAnsi="Arial"/>
          <w:sz w:val="16"/>
          <w:szCs w:val="16"/>
          <w:color w:val="auto"/>
        </w:rPr>
      </w:pPr>
    </w:p>
    <w:p>
      <w:pPr>
        <w:ind w:left="1180" w:right="240" w:hanging="544"/>
        <w:spacing w:after="0" w:line="264"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“Post’s Active Nutrition business” refers to the Active Nutrition business of Post which, effective as of the fiscal quarter ended June 30, 2015, has been comprised of the operations and business of Premier Nutrition, Dymatize Enterprises and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also includes Active Nutrition International.</w:t>
      </w:r>
    </w:p>
    <w:p>
      <w:pPr>
        <w:spacing w:after="0" w:line="86" w:lineRule="exact"/>
        <w:rPr>
          <w:rFonts w:ascii="Arial" w:cs="Arial" w:eastAsia="Arial" w:hAnsi="Arial"/>
          <w:sz w:val="18"/>
          <w:szCs w:val="18"/>
          <w:color w:val="auto"/>
        </w:rPr>
      </w:pPr>
    </w:p>
    <w:p>
      <w:pPr>
        <w:ind w:left="1180" w:right="200" w:hanging="544"/>
        <w:spacing w:after="0" w:line="264"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“Post bridge loan” refers to the $1,309.5 million unsecured bridge loan to be obtained by Post from various financial institutions in connection with the formation transactions and prior to the completion of this offering, as described under “Prospectus Summary—Debt Financing Arrangements—Post Bridge Loan” and “Description of Certain Indebtedness.”</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refers to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which is owned by Premier Nutrition.</w:t>
      </w:r>
    </w:p>
    <w:p>
      <w:pPr>
        <w:spacing w:after="0" w:line="130" w:lineRule="exact"/>
        <w:rPr>
          <w:rFonts w:ascii="Arial" w:cs="Arial" w:eastAsia="Arial" w:hAnsi="Arial"/>
          <w:sz w:val="18"/>
          <w:szCs w:val="18"/>
          <w:color w:val="auto"/>
        </w:rPr>
      </w:pPr>
    </w:p>
    <w:p>
      <w:pPr>
        <w:jc w:val="both"/>
        <w:ind w:left="1180" w:hanging="544"/>
        <w:spacing w:after="0" w:line="264"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“Premier Nutrition,” prior to the completion of the formation transactions, refers to Premier Nutrition Corporation, a Delaware corporation and wholly-owned subsidiary of Post, and, after the completion of the formation transactions, refers to Premier Nutrition Company, LLC, a Delaware limited liability company and wholly-owned subsidiary of Dymatize Enterprises, LLC.</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“purchase size” refers to the average amount in dollars of product purchased by one buying household on a single shopping trip.</w:t>
      </w:r>
    </w:p>
    <w:p>
      <w:pPr>
        <w:spacing w:after="0" w:line="142" w:lineRule="exact"/>
        <w:rPr>
          <w:rFonts w:ascii="Arial" w:cs="Arial" w:eastAsia="Arial" w:hAnsi="Arial"/>
          <w:sz w:val="17"/>
          <w:szCs w:val="17"/>
          <w:color w:val="auto"/>
        </w:rPr>
      </w:pPr>
    </w:p>
    <w:p>
      <w:pPr>
        <w:ind w:left="1180" w:right="38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“repeat rate” refers to the percentage of buyers of a particular product who purchase that product at least twice during a specified time period.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 of requirements” refers to the percentage of category dollars households spend on the brand in question.</w:t>
      </w:r>
    </w:p>
    <w:p>
      <w:pPr>
        <w:spacing w:after="0" w:line="130" w:lineRule="exact"/>
        <w:rPr>
          <w:rFonts w:ascii="Arial" w:cs="Arial" w:eastAsia="Arial" w:hAnsi="Arial"/>
          <w:sz w:val="18"/>
          <w:szCs w:val="18"/>
          <w:color w:val="auto"/>
        </w:rPr>
      </w:pPr>
    </w:p>
    <w:p>
      <w:pPr>
        <w:ind w:left="1180" w:right="38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 of shelf” refers to a metric that compares the number of unique items of a given brand to the total number of shelved items in a category.</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“SKU” refers to stock keeping unit.</w:t>
      </w:r>
    </w:p>
    <w:p>
      <w:pPr>
        <w:spacing w:after="0" w:line="130" w:lineRule="exact"/>
        <w:rPr>
          <w:rFonts w:ascii="Arial" w:cs="Arial" w:eastAsia="Arial" w:hAnsi="Arial"/>
          <w:sz w:val="18"/>
          <w:szCs w:val="18"/>
          <w:color w:val="auto"/>
        </w:rPr>
      </w:pPr>
    </w:p>
    <w:p>
      <w:pPr>
        <w:ind w:left="1180" w:right="46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“Supreme Protein” refers to Supreme Protein, LLC, a Delaware limited liability company and wholly-owned subsidiary of Dymatize Enterprises, LLC.</w:t>
      </w:r>
    </w:p>
    <w:p>
      <w:pPr>
        <w:spacing w:after="0" w:line="75"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“tax matters agreement” refers to the tax matters agreement to be entered into among BellRing Brands, Inc., BellRing Brands, LLC and Post in connection with the formation transactions and this offering.</w:t>
      </w:r>
    </w:p>
    <w:p>
      <w:pPr>
        <w:spacing w:after="0" w:line="75" w:lineRule="exact"/>
        <w:rPr>
          <w:rFonts w:ascii="Arial" w:cs="Arial" w:eastAsia="Arial" w:hAnsi="Arial"/>
          <w:sz w:val="18"/>
          <w:szCs w:val="18"/>
          <w:color w:val="auto"/>
        </w:rPr>
      </w:pPr>
    </w:p>
    <w:p>
      <w:pPr>
        <w:ind w:left="1180" w:right="26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“tax receivable agreement” refers to the tax receivable agreement to be entered into among BellRing Brands, Inc., BellRing Brands, LLC and Post in connection with the formation transactions and this offering.</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“Total US xAOC” refers to data from Nielsen tracked channels for the food, drug, mass, Walmart, club, dollar and military channels.</w:t>
      </w:r>
    </w:p>
    <w:p>
      <w:pPr>
        <w:spacing w:after="0" w:line="142" w:lineRule="exact"/>
        <w:rPr>
          <w:rFonts w:ascii="Arial" w:cs="Arial" w:eastAsia="Arial" w:hAnsi="Arial"/>
          <w:sz w:val="17"/>
          <w:szCs w:val="17"/>
          <w:color w:val="auto"/>
        </w:rPr>
      </w:pPr>
    </w:p>
    <w:p>
      <w:pPr>
        <w:ind w:left="5640" w:right="120" w:hanging="5004"/>
        <w:spacing w:after="0" w:line="449" w:lineRule="auto"/>
        <w:tabs>
          <w:tab w:leader="none" w:pos="1177"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US xAOC including Convenience” refers to data from Nielsen tracked channels for Total US xAOC plus the convenience channel. iii</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line="264"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“tracked channels” refers to stores and other outlets within channels in which a third party industry source collects and reports sales data on an ongoing basis with SKU level detail. In the convenient nutrition category, tracked channels include food, drug and mass, or FDM, and convenience.</w:t>
      </w:r>
    </w:p>
    <w:p>
      <w:pPr>
        <w:spacing w:after="0" w:line="86" w:lineRule="exact"/>
        <w:rPr>
          <w:rFonts w:ascii="Arial" w:cs="Arial" w:eastAsia="Arial" w:hAnsi="Arial"/>
          <w:sz w:val="18"/>
          <w:szCs w:val="18"/>
          <w:color w:val="auto"/>
        </w:rPr>
      </w:pPr>
    </w:p>
    <w:p>
      <w:pPr>
        <w:ind w:left="1180" w:right="160" w:hanging="544"/>
        <w:spacing w:after="0" w:line="312"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“untracked channels” refers to stores and other outlets within channels in which no third party industry source collects and reports sales data on an ongoing basis with SKU level detail. In the convenient nutrition category, untracked channels include club retailers that do not participate in Nielsen tracking (e.g., Costco) and channels such as eCommerce, foodservice, specialty, vending and dollar.</w:t>
      </w:r>
    </w:p>
    <w:p>
      <w:pPr>
        <w:spacing w:after="0" w:line="52" w:lineRule="exact"/>
        <w:rPr>
          <w:rFonts w:ascii="Arial" w:cs="Arial" w:eastAsia="Arial" w:hAnsi="Arial"/>
          <w:sz w:val="16"/>
          <w:szCs w:val="16"/>
          <w:color w:val="auto"/>
        </w:rPr>
      </w:pPr>
    </w:p>
    <w:p>
      <w:pPr>
        <w:ind w:left="1180" w:right="140" w:hanging="544"/>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“velocity” refers to the speed at which products move off retail shelves to the end consumer for brands or products with sales greater than or equal to one million dollars.</w:t>
      </w:r>
    </w:p>
    <w:p>
      <w:pPr>
        <w:spacing w:after="0" w:line="170"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Unless otherwise indicated or the context otherwise requires, all references in this prospectus to “we,” “our,” “us,” “the Company” and “our Company” refer to (1) after the completion of the formation transactions, BellRing Brands, Inc. and its subsidiaries, including BellRing Brands, LLC, Premier Nutrition, Dymatize Enterprises, Supreme Protein and Active Nutrition International, and (2) prior to the completion of the formation transactions, Post’s Active Nutrition business, and all references in this prospectus to BellRing Brands, Inc. or BellRing Brands, LLC refer only to such particular entity.</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This prospectus includes estimates, projections and other information concerning the convenient nutrition category, including data regarding the estimated size of the market, projected growth rates and perceptions and preferences of customers, that we have prepared based, in part, upon data, forecasts and information obtained from independent trade associations, industry publications and surveys and other independent sources, each of which is either publicly available without charge or available on a subscription fee basis. None of such information was prepared specifically for us in connection with this offering. Some data also is based on our good faith estimates, which are derived from management’s knowledge of the industry and from independent sources. These third party publications and surveys generally state that the information included therein has been obtained from sources believed to be reliable, but that the publications and surveys can give no assurance as to the accuracy or completeness of such information. Market and industry data is subject to variations and cannot be verified due to limits on the availability and reliability of data inputs, the voluntary nature of the data gathering process and other limitations and uncertainties inherent in any statistical survey. Although we are responsible for all of the disclosures contained in this prospectus and we believe the industry and market data included in this prospectus is reliable, we have not independently verified any of the data from third party sources nor have we ascertained the underlying economic assumptions on which such data is based. Similarly, we believe our internal research is reliable, even though such research has not been verified by any independent sources. The industry and market data included in this prospectus involve a number of assumptions and limitations, and before making an investment decision, investors need to consider whether the information in this prospectus is appropriate to their needs, objectives and circumstances, and, if necessary, seek expert advice on those matters. Market share data is based on information from Nielsen, Euromonitor and other industry publications, surveys and forecasts.</w:t>
      </w:r>
    </w:p>
    <w:p>
      <w:pPr>
        <w:spacing w:after="0" w:line="169"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This prospectus also presents metrics related to visitors to our brand websites and to our presence on third party social media sites, such as the number of “likes” on our brand Facebook pages and the number of followers of our brand Instagram pages. These metrics contain certain limitations. The number of visitors to our websites has not been independently verified, and there are inherent challenges in measuring our unique visitors accurately. Further, we have relied on the calculations and analysis conducted by the social media sites and our use of third party analytics tools to present metrics that, as closely as possible, reflect genuine users and legitimate user activity on the respective platforms. Data from such sources, however, may include information relating to fraudulent accounts and interactions with our sites and social media accounts or the social media accounts of our influencers (including as a result of the use of bots, or other automated or manual mechanisms to generate false impressions), as well as persons with multiple accounts on one service, deactivated or inactive accounts or multiple views, “likes” or similar actions by the same user. We have only a limited ability to independently verify the metrics provided by social media sites and tools. Investors should not place undue reliance or emphasis on website visits or social media measures given these limitations and the fact that they do not bear any direct relationship to our financial condition or results of operations.</w:t>
      </w:r>
    </w:p>
    <w:p>
      <w:pPr>
        <w:spacing w:after="0" w:line="3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TRADEMARKS AND SERVICE MARKS</w:t>
      </w:r>
    </w:p>
    <w:p>
      <w:pPr>
        <w:spacing w:after="0" w:line="229"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 xml:space="preserve">The name and mark </w:t>
      </w:r>
      <w:r>
        <w:rPr>
          <w:rFonts w:ascii="Arial" w:cs="Arial" w:eastAsia="Arial" w:hAnsi="Arial"/>
          <w:sz w:val="17"/>
          <w:szCs w:val="17"/>
          <w:i w:val="1"/>
          <w:iCs w:val="1"/>
          <w:color w:val="auto"/>
        </w:rPr>
        <w:t>Post</w:t>
      </w:r>
      <w:r>
        <w:rPr>
          <w:rFonts w:ascii="Arial" w:cs="Arial" w:eastAsia="Arial" w:hAnsi="Arial"/>
          <w:sz w:val="14"/>
          <w:szCs w:val="14"/>
          <w:color w:val="auto"/>
        </w:rPr>
        <w:t>®</w:t>
      </w:r>
      <w:r>
        <w:rPr>
          <w:rFonts w:ascii="Arial" w:cs="Arial" w:eastAsia="Arial" w:hAnsi="Arial"/>
          <w:sz w:val="17"/>
          <w:szCs w:val="17"/>
          <w:color w:val="auto"/>
        </w:rPr>
        <w:t xml:space="preserve">, and other trademarks, trade names and service marks containing Post appearing in this prospectus, are the property of Post or one of its subsidiaries (excluding us). Other logos, trademarks, trade names and service marks mentioned in this prospectus, including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Protein</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Dymatize</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PowerBar</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Premier Protein Clear</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ISO.100</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Elite Mass</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Elite Whey Protein</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Elite 100% Whey</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Super Mass Gainer</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All9 Amino</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PowerBar Clean Whey</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PowerBar Protein Plus</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Joint Juice</w:t>
      </w:r>
      <w:r>
        <w:rPr>
          <w:rFonts w:ascii="Arial" w:cs="Arial" w:eastAsia="Arial" w:hAnsi="Arial"/>
          <w:sz w:val="14"/>
          <w:szCs w:val="14"/>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Supreme Protein</w:t>
      </w:r>
      <w:r>
        <w:rPr>
          <w:rFonts w:ascii="Arial" w:cs="Arial" w:eastAsia="Arial" w:hAnsi="Arial"/>
          <w:sz w:val="14"/>
          <w:szCs w:val="14"/>
          <w:color w:val="auto"/>
        </w:rPr>
        <w:t>®</w:t>
      </w:r>
      <w:r>
        <w:rPr>
          <w:rFonts w:ascii="Arial" w:cs="Arial" w:eastAsia="Arial" w:hAnsi="Arial"/>
          <w:sz w:val="17"/>
          <w:szCs w:val="17"/>
          <w:color w:val="auto"/>
        </w:rPr>
        <w:t>, are currently the property of, or are under license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by, us, and we have submitted an application for the trademark </w:t>
      </w:r>
      <w:r>
        <w:rPr>
          <w:rFonts w:ascii="Arial" w:cs="Arial" w:eastAsia="Arial" w:hAnsi="Arial"/>
          <w:sz w:val="17"/>
          <w:szCs w:val="17"/>
          <w:i w:val="1"/>
          <w:iCs w:val="1"/>
          <w:color w:val="auto"/>
        </w:rPr>
        <w:t>BellRing Brands</w:t>
      </w:r>
      <w:r>
        <w:rPr>
          <w:rFonts w:ascii="Arial" w:cs="Arial" w:eastAsia="Arial" w:hAnsi="Arial"/>
          <w:sz w:val="17"/>
          <w:szCs w:val="17"/>
          <w:color w:val="auto"/>
        </w:rPr>
        <w:t>. We own or have rights to use the trademarks, service marks and trade names that we use in conjunction with the operation of our business. Some of the more important trademarks that we own or have rights to use that appear in this prospectus may be registered in the U.S. and other jurisdictions. Each trademark, trade name or service mark of any other company appearing in this prospectus is owned or used under license by such company.</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non-GAAP financial measures presented herein and discussed below do not comply with generally accepted accounting principles (“GAAP”) because they are adjusted to exclude (include) certain cash and non-cash income and expenses that would otherwise be included in (excluded from) the most directly comparable GAAP measure in the statement of operations and comprehensive income. These non-GAAP financial measures, which are not necessarily comparable to similarly titled captions of other companies because of differences in the methods of calculation, should not be considered an alternative to, or more meaningful than, related measures determined in accordance with GAAP. As further discussed below, these non-GAAP financial measures supplement other metrics used by management to internally evaluate our business and facilitate the comparison of operations over time.</w:t>
      </w:r>
    </w:p>
    <w:p>
      <w:pPr>
        <w:spacing w:after="0" w:line="189"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“Adjusted net earnings” represents a supplemental measure of our operating performance. We believe that Adjusted net earnings is useful to investors in evaluating our operating performance because it excludes items that affect the comparability of our financial results and could potentially distort an understanding of the trends in our business performance. This financial measure is not calculated in accordance with GAAP and should be considered in addition to, and not a substitute for or superior to, measures of our financial position prepared in accordance with GAAP. Our calculation of Adjusted net earnings may not be comparable to similarly titled measures utilized by other companies since such companies may not calculate it in the same manner as we do. In addition, in evaluating Adjusted net earnings, you should be aware that in the future we may incur expenses similar to the adjustments used in deriving these measures and our presentation of Adjusted net earnings should not be construed as implying that our future results will be unaffected by unusual or non-recurring items.</w:t>
      </w:r>
    </w:p>
    <w:p>
      <w:pPr>
        <w:spacing w:after="0" w:line="17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“Adjusted EBITDA” represents a further supplemental measure of our operating performance and ability to service debt. We believe that Adjusted EBITDA is useful to investors in evaluating our operating performance because (i) we believe it is widely used to measure a company’s operating performance without regard to items such as depreciation and amortization, which can vary depending upon accounting methods and the book value of assets, (ii) it presents a measure of corporate performance exclusive of capital structure and the method by which the assets were acquired, and (iii) it is a financial indicator of a company’s ability to service its debt, as we will be required to comply with certain covenants and limitations that are based on variations of EBITDA in our financing documents. You are encouraged to evaluate each adjustment and the reasons we consider them appropriate for supplemental analysis.</w:t>
      </w:r>
    </w:p>
    <w:p>
      <w:pPr>
        <w:spacing w:after="0" w:line="189"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GAAP. Some of these limitations are:</w:t>
      </w:r>
    </w:p>
    <w:p>
      <w:pPr>
        <w:spacing w:after="0" w:line="76" w:lineRule="exact"/>
        <w:rPr>
          <w:sz w:val="20"/>
          <w:szCs w:val="20"/>
          <w:color w:val="auto"/>
        </w:rPr>
      </w:pPr>
    </w:p>
    <w:p>
      <w:pPr>
        <w:ind w:left="1180" w:hanging="544"/>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our future requirements for capital expenditures;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changes in, or cash requirements for, our working capital needs;</w:t>
      </w:r>
    </w:p>
    <w:p>
      <w:pPr>
        <w:spacing w:after="0" w:line="130" w:lineRule="exact"/>
        <w:rPr>
          <w:rFonts w:ascii="Arial" w:cs="Arial" w:eastAsia="Arial" w:hAnsi="Arial"/>
          <w:sz w:val="18"/>
          <w:szCs w:val="18"/>
          <w:color w:val="auto"/>
        </w:rPr>
      </w:pPr>
    </w:p>
    <w:p>
      <w:pPr>
        <w:ind w:left="1180" w:right="420" w:hanging="544"/>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the significant interest expense, or the cash requirements necessary to service interest or principal payments, on our debts; and</w:t>
      </w:r>
    </w:p>
    <w:p>
      <w:pPr>
        <w:spacing w:after="0" w:line="75" w:lineRule="exact"/>
        <w:rPr>
          <w:rFonts w:ascii="Arial" w:cs="Arial" w:eastAsia="Arial" w:hAnsi="Arial"/>
          <w:sz w:val="18"/>
          <w:szCs w:val="18"/>
          <w:color w:val="auto"/>
        </w:rPr>
      </w:pPr>
    </w:p>
    <w:p>
      <w:pPr>
        <w:ind w:left="1180" w:right="120" w:hanging="544"/>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often will have to be replaced in the future, and such measures do not reflect any cash requirements for such replacements.</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Because of these and other limitations, you should rely primarily on our GAAP results and use Adjusted net earnings and Adjusted EBITDA only supplementally. In addition, in evaluating Adjusted net earnings and Adjusted EBITDA, you should be aware that in the future we may incur expenses similar to the adjustments used in deriving Adjusted net earnings and Adjusted EBITDA, and our presentation of Adjusted net earnings and Adjusted EBITDA should not be construed as implying that our future results will be unaffected by unusual or non-recurring items. Our calculation of Adjusted net earnings and Adjusted EBITDA may not be comparable to similarly titled measures utilized by other companies since such companies may not calculate them in the same manner as we do.</w:t>
      </w:r>
    </w:p>
    <w:p>
      <w:pPr>
        <w:spacing w:after="0" w:line="193"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For a reconciliation of Adjusted net earnings and Adjusted EBITDA to the most directly comparable GAAP measure, see “Explanation and Reconciliation of Non-GAAP Measures.”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5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2145" cy="635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This summary is not complete and does not contain all of the information you should consider before deciding whether to purchase shares of our Class A common stock. You should read the entire prospectus carefully before making your investment decision. You should carefully consider, among other information, Post’s Active Nutrition business’s combined financial statements and the accompanying notes and the information under “Unaudited Pro Forma Condensed Consolidated Financial Information,” “Risk Factors” and “Management’s Discussion and Analysis of Financial Condition and Results of Operations” included elsewhere in this prospectus. Some of the statements in this summary contain forward-looking statements, as discussed under “Cautionary Statement Regarding Forward-Looking Statements.”</w:t>
      </w:r>
    </w:p>
    <w:p>
      <w:pPr>
        <w:spacing w:after="0" w:line="189" w:lineRule="exact"/>
        <w:rPr>
          <w:sz w:val="20"/>
          <w:szCs w:val="20"/>
          <w:color w:val="auto"/>
        </w:rPr>
      </w:pPr>
    </w:p>
    <w:p>
      <w:pPr>
        <w:ind w:left="380" w:right="20" w:firstLine="426"/>
        <w:spacing w:after="0" w:line="259" w:lineRule="auto"/>
        <w:rPr>
          <w:sz w:val="20"/>
          <w:szCs w:val="20"/>
          <w:color w:val="auto"/>
        </w:rPr>
      </w:pPr>
      <w:r>
        <w:rPr>
          <w:rFonts w:ascii="Arial" w:cs="Arial" w:eastAsia="Arial" w:hAnsi="Arial"/>
          <w:sz w:val="18"/>
          <w:szCs w:val="18"/>
          <w:i w:val="1"/>
          <w:iCs w:val="1"/>
          <w:color w:val="auto"/>
        </w:rPr>
        <w:t>We describe in this prospectus Post’s Active Nutrition business that will be transferred to BellRing Brands, LLC as part of the formation transactions described below as if it was our business for all historical periods described. Our historical financial results as part of Post contained in this prospectus may not reflect our financial results in the future as a publicly-traded company no longer wholly-owned by Post or what our financial results would have been had we been such a company during the periods presented.</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Company: Bringing Good Energy to the World</w:t>
      </w:r>
    </w:p>
    <w:p>
      <w:pPr>
        <w:spacing w:after="0" w:line="121"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 xml:space="preserve">We are a rapidly growing leader in the global convenient nutrition category, aiming to enhance the lives of our consumers by providing them with highly nutritious, great-tasting products they can enjoy throughout the day. Our primary brands,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target a broad range of consumers and compete in all major product forms, including ready-to-drink (“RTD”) protein shakes, powders and nutrition bars. Our products are distributed across a diverse network of channels including club, food, drug and mass (“FDM”), eCommerce, convenience and specialty. Our vision is to create a healthier world where EVERYONE actively seeks and has access to great-tasting nutrition. Our commitment to consumers is to strive to make highly effective products that deliver best-in-class nutritionals and superior taste. Our Company is guided by the following core values:</w:t>
      </w:r>
    </w:p>
    <w:p>
      <w:pPr>
        <w:spacing w:after="0" w:line="95" w:lineRule="exact"/>
        <w:rPr>
          <w:sz w:val="20"/>
          <w:szCs w:val="20"/>
          <w:color w:val="auto"/>
        </w:rPr>
      </w:pPr>
    </w:p>
    <w:p>
      <w:pPr>
        <w:ind w:left="1320" w:right="680" w:hanging="515"/>
        <w:spacing w:after="0" w:line="277"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Builders. </w:t>
      </w:r>
      <w:r>
        <w:rPr>
          <w:rFonts w:ascii="Arial" w:cs="Arial" w:eastAsia="Arial" w:hAnsi="Arial"/>
          <w:sz w:val="18"/>
          <w:szCs w:val="18"/>
          <w:color w:val="auto"/>
        </w:rPr>
        <w:t>We challenge the status quo, constantly striving for better, smarter ways to do things while maintaining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entrepreneurial agility to quickly seize opportunities.</w:t>
      </w:r>
    </w:p>
    <w:p>
      <w:pPr>
        <w:spacing w:after="0" w:line="75" w:lineRule="exact"/>
        <w:rPr>
          <w:rFonts w:ascii="Arial" w:cs="Arial" w:eastAsia="Arial" w:hAnsi="Arial"/>
          <w:sz w:val="18"/>
          <w:szCs w:val="18"/>
          <w:color w:val="auto"/>
        </w:rPr>
      </w:pPr>
    </w:p>
    <w:p>
      <w:pPr>
        <w:ind w:left="1320" w:right="200" w:hanging="515"/>
        <w:spacing w:after="0" w:line="264"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Champions of Great-Tasting Nutrition. </w:t>
      </w:r>
      <w:r>
        <w:rPr>
          <w:rFonts w:ascii="Arial" w:cs="Arial" w:eastAsia="Arial" w:hAnsi="Arial"/>
          <w:sz w:val="18"/>
          <w:szCs w:val="18"/>
          <w:color w:val="auto"/>
        </w:rPr>
        <w:t>We believe nutrition sits at the core of a healthy and active lifestyle; however,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know that it is not always easy (or enjoyable) to be healthy. This is why we never compromise on our commitment to strive to make highly effective products that deliver best-in-class nutritionals and superior taste.</w:t>
      </w:r>
    </w:p>
    <w:p>
      <w:pPr>
        <w:spacing w:after="0" w:line="86" w:lineRule="exact"/>
        <w:rPr>
          <w:rFonts w:ascii="Arial" w:cs="Arial" w:eastAsia="Arial" w:hAnsi="Arial"/>
          <w:sz w:val="18"/>
          <w:szCs w:val="18"/>
          <w:color w:val="auto"/>
        </w:rPr>
      </w:pPr>
    </w:p>
    <w:p>
      <w:pPr>
        <w:ind w:left="1320" w:right="140" w:hanging="515"/>
        <w:spacing w:after="0" w:line="308" w:lineRule="auto"/>
        <w:tabs>
          <w:tab w:leader="none" w:pos="13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Are Better Together. </w:t>
      </w:r>
      <w:r>
        <w:rPr>
          <w:rFonts w:ascii="Arial" w:cs="Arial" w:eastAsia="Arial" w:hAnsi="Arial"/>
          <w:sz w:val="17"/>
          <w:szCs w:val="17"/>
          <w:color w:val="auto"/>
        </w:rPr>
        <w:t>We value each member of our team and know that success is only achievable through our collective efforts.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coach rather than tell and work hard to build people up through encouragement and empowerment.</w:t>
      </w:r>
    </w:p>
    <w:p>
      <w:pPr>
        <w:spacing w:after="0" w:line="51" w:lineRule="exact"/>
        <w:rPr>
          <w:rFonts w:ascii="Arial" w:cs="Arial" w:eastAsia="Arial" w:hAnsi="Arial"/>
          <w:sz w:val="17"/>
          <w:szCs w:val="17"/>
          <w:color w:val="auto"/>
        </w:rPr>
      </w:pPr>
    </w:p>
    <w:p>
      <w:pPr>
        <w:ind w:left="1320" w:right="100" w:hanging="515"/>
        <w:spacing w:after="0" w:line="277"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Ring the Bell. </w:t>
      </w:r>
      <w:r>
        <w:rPr>
          <w:rFonts w:ascii="Arial" w:cs="Arial" w:eastAsia="Arial" w:hAnsi="Arial"/>
          <w:sz w:val="18"/>
          <w:szCs w:val="18"/>
          <w:color w:val="auto"/>
        </w:rPr>
        <w:t>We celebrate the small victories, as well as the big wins. We are a low-ego group—inspiring and appreciating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happily sharing credit—all to Ring the Bell.</w:t>
      </w:r>
    </w:p>
    <w:p>
      <w:pPr>
        <w:spacing w:after="0" w:line="170" w:lineRule="exact"/>
        <w:rPr>
          <w:sz w:val="20"/>
          <w:szCs w:val="20"/>
          <w:color w:val="auto"/>
        </w:rPr>
      </w:pPr>
    </w:p>
    <w:p>
      <w:pPr>
        <w:ind w:left="380" w:right="20" w:firstLine="426"/>
        <w:spacing w:after="0" w:line="254" w:lineRule="auto"/>
        <w:rPr>
          <w:sz w:val="20"/>
          <w:szCs w:val="20"/>
          <w:color w:val="auto"/>
        </w:rPr>
      </w:pPr>
      <w:r>
        <w:rPr>
          <w:rFonts w:ascii="Arial" w:cs="Arial" w:eastAsia="Arial" w:hAnsi="Arial"/>
          <w:sz w:val="18"/>
          <w:szCs w:val="18"/>
          <w:color w:val="auto"/>
        </w:rPr>
        <w:t xml:space="preserve">We believe our largest brand,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is one of the top growth brands in the U.S. convenient nutrition category based on Nielsen data for Total US xAOC including Convenience for the 52 week period ended August 3, 2019 and is positioned to appeal to mainstream consumers focused on healthy nutrition.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 holds the #1 share position in the convenient nutrition category and RTD protein shakes as measured by Nielsen household panel data for all outlets for the 52 week period ended July 27, 2019. Net sales of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grew at a CAGR of 42% from fiscal 2016 to fiscal 2018.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brand is a market leader targeting fitness enthusiasts, who value the brand for its science-based product development and athletic performance focus. Our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is one of the most well-known brands in the convenient nutrition category based on a survey powered by Qualtrics performed in June 2019 and targets a range of consumers from committed athletes to active individuals.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558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2145" cy="45580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diverse product portfolio includes: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Three product forms have accounted for the majority of our net sales over the last three fiscal years. In fiscal 2018, RTD protein shakes accounted for 71% of net sales, powders accounted for 14% of net sales and nutrition bars accounted for 11% of net sales. In fiscal 2017, RTD protein shakes accounted for 63% of net sales, powders accounted for 16% of net sales and nutrition bars accounted for 16% of net sales. In fiscal 2016, RTD protein shakes accounted for 51% of net sales, powders accounted for 22% of net sales and nutrition bars accounted for 22% of net sales.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240" w:top="459" w:right="7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7278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2145" cy="6727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net sales by brand and product form are reflected below:</w:t>
      </w:r>
    </w:p>
    <w:p>
      <w:pPr>
        <w:spacing w:after="0" w:line="248" w:lineRule="exact"/>
        <w:rPr>
          <w:sz w:val="20"/>
          <w:szCs w:val="20"/>
          <w:color w:val="auto"/>
        </w:rPr>
      </w:pPr>
    </w:p>
    <w:p>
      <w:pPr>
        <w:ind w:left="1920"/>
        <w:spacing w:after="0"/>
        <w:tabs>
          <w:tab w:leader="none" w:pos="6880" w:val="left"/>
        </w:tabs>
        <w:rPr>
          <w:sz w:val="20"/>
          <w:szCs w:val="20"/>
          <w:color w:val="auto"/>
        </w:rPr>
      </w:pPr>
      <w:r>
        <w:rPr>
          <w:rFonts w:ascii="Arial" w:cs="Arial" w:eastAsia="Arial" w:hAnsi="Arial"/>
          <w:sz w:val="18"/>
          <w:szCs w:val="18"/>
          <w:b w:val="1"/>
          <w:bCs w:val="1"/>
          <w:color w:val="auto"/>
        </w:rPr>
        <w:t>Fiscal 2018 Net Sales by Brand</w:t>
      </w:r>
      <w:r>
        <w:rPr>
          <w:sz w:val="20"/>
          <w:szCs w:val="20"/>
          <w:color w:val="auto"/>
        </w:rPr>
        <w:tab/>
      </w:r>
      <w:r>
        <w:rPr>
          <w:rFonts w:ascii="Arial" w:cs="Arial" w:eastAsia="Arial" w:hAnsi="Arial"/>
          <w:sz w:val="16"/>
          <w:szCs w:val="16"/>
          <w:b w:val="1"/>
          <w:bCs w:val="1"/>
          <w:color w:val="auto"/>
        </w:rPr>
        <w:t>Fiscal 2018 Net Sales by Product Form</w:t>
      </w:r>
      <w:r>
        <w:rPr>
          <w:rFonts w:ascii="Arial" w:cs="Arial" w:eastAsia="Arial" w:hAnsi="Arial"/>
          <w:sz w:val="13"/>
          <w:szCs w:val="13"/>
          <w:b w:val="1"/>
          <w:bCs w:val="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020"/>
        <w:spacing w:after="0"/>
        <w:rPr>
          <w:sz w:val="20"/>
          <w:szCs w:val="20"/>
          <w:color w:val="auto"/>
        </w:rPr>
      </w:pPr>
      <w:r>
        <w:rPr>
          <w:rFonts w:ascii="Arial" w:cs="Arial" w:eastAsia="Arial" w:hAnsi="Arial"/>
          <w:sz w:val="14"/>
          <w:szCs w:val="14"/>
          <w:i w:val="1"/>
          <w:iCs w:val="1"/>
          <w:color w:val="auto"/>
        </w:rPr>
        <w:t>(1) Numbers do not add to 100% due to rounding.</w:t>
      </w:r>
    </w:p>
    <w:p>
      <w:pPr>
        <w:spacing w:after="0" w:line="2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Fiscal 2018 Net Sales By Channel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80" w:firstLine="426"/>
        <w:spacing w:after="0" w:line="268" w:lineRule="auto"/>
        <w:rPr>
          <w:sz w:val="20"/>
          <w:szCs w:val="20"/>
          <w:color w:val="auto"/>
        </w:rPr>
      </w:pPr>
      <w:r>
        <w:rPr>
          <w:rFonts w:ascii="Arial" w:cs="Arial" w:eastAsia="Arial" w:hAnsi="Arial"/>
          <w:sz w:val="17"/>
          <w:szCs w:val="17"/>
          <w:color w:val="auto"/>
        </w:rPr>
        <w:t xml:space="preserve">We have benefited from the consumer trends driving the rapid growth in the convenient nutrition category. Mainstream consumers are increasingly focused on consuming healthier food and beverage alternatives, and specifically on increasing protein in their diets. Consumers also are eating more frequently throughout the day. These category tailwinds support our convenient, protein-enriched food and beverage products that can be consumed on-the-go as nutritious snacks or meal replacements. We believe the convenient nutrition category consists of four key consumer need states as defined by management based on a category study performed by Seurat Group in May 2018: everyday nutrition, adult nutrition, sports nutrition and weight management. We believe most brands in the convenient nutrition category are positioned to appeal primarily to one consumer need state, but we have developed brand equities and product value propositions to appeal to a broad range of need states. Everyday nutrition, the need state where we have our largest presence, is the fastest-growing need state in the category based on Nielsen data for Total US xAOC including Convenience for the 52 week period ended August 8, 2015 and the comparable period in 2019 and spans a range of consumption occasions, including breakfast, snack, meal replacement and treat. In the U.S., management estimates that the everyday nutrition need state accounted for $3.2 billion in sales for the 52 week period ended August 3, 2019 and grew at a 17% CAGR from 2015 to 2019, based on data from Nielsen for Total US xAOC including Convenience.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is positioned to satisfy not only the everyday nutrition consumer need state, but also to appeal to the adult nutrition, sports nutrition and weight management need states, while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are primarily focused on the sports nutrition need state.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240" w:top="459" w:right="7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40" w:firstLine="426"/>
        <w:spacing w:after="0" w:line="272" w:lineRule="auto"/>
        <w:rPr>
          <w:sz w:val="20"/>
          <w:szCs w:val="20"/>
          <w:color w:val="auto"/>
        </w:rPr>
      </w:pPr>
      <w:r>
        <w:rPr>
          <w:rFonts w:ascii="Arial" w:cs="Arial" w:eastAsia="Arial" w:hAnsi="Arial"/>
          <w:sz w:val="17"/>
          <w:szCs w:val="17"/>
          <w:color w:val="auto"/>
        </w:rPr>
        <w:t>Consumers in the U.S. and internationally purchase our products through several channels including club, FDM, eCommerce (such as Amazon), convenience (such as 7-Eleven) and specialty (such as The Vitamin Shoppe). We maintain a strong leadership position in the club channel based on Nielsen household panel data for the 52 week period ended July 27, 2019 and have developed deep, long-standing relationships with customers such as Costco (which is not included in Nielsen tracked channels) and Sam’s Club. Continued expansion in FDM represents an exciting opportunity to leverage existing relationships with key retail partners such as Walmart, Target, Kroger and Walgreens to grow our presence. Expansion in FDM and eCommerce increases consumer exposure to and trial of our products, which we believe will drive repeat purchases and increase our penetration across all channels.</w:t>
      </w:r>
    </w:p>
    <w:p>
      <w:pPr>
        <w:spacing w:after="0" w:line="178" w:lineRule="exact"/>
        <w:rPr>
          <w:sz w:val="20"/>
          <w:szCs w:val="20"/>
          <w:color w:val="auto"/>
        </w:rPr>
      </w:pPr>
    </w:p>
    <w:p>
      <w:pPr>
        <w:ind w:left="380" w:right="80" w:firstLine="426"/>
        <w:spacing w:after="0" w:line="290" w:lineRule="auto"/>
        <w:rPr>
          <w:sz w:val="20"/>
          <w:szCs w:val="20"/>
          <w:color w:val="auto"/>
        </w:rPr>
      </w:pPr>
      <w:r>
        <w:rPr>
          <w:rFonts w:ascii="Arial" w:cs="Arial" w:eastAsia="Arial" w:hAnsi="Arial"/>
          <w:sz w:val="16"/>
          <w:szCs w:val="16"/>
          <w:color w:val="auto"/>
        </w:rPr>
        <w:t>We have organically grown our net sales from $574.7 million in fiscal 2016 to $827.5 million in fiscal 2018, representing a CAGR of 20%. Over the same period, net income grew from $19.9 million in fiscal 2016 to $96.1 million in fiscal 2018, representing a CAGR of 120%, Adjusted net earnings grew from $29.3 million in fiscal 2016 to $93.3 million in fiscal 2018, representing a CAGR of 78% and Adjusted EBITDA grew from $72.0 million in fiscal 2016 to $156.5 million in fiscal 2018, representing a CAGR of 47%. Our attractive financial profile includes high margins, modest capital expenditures and limited working capital requirements, which enables us to generate significant free cash flow. These attributes provide us with the financial flexibility to continue to invest in brand marketing, research and development and people development and to pursue value-enhancing acquisition opportunities as they arise. See “Explanation and Reconciliation of Non-GAAP Measures” for a reconciliation of Adjusted net earnings and Adjusted EBITDA, each a non-GAAP measure, to the most directly comparable GAAP measure.</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380" w:right="140" w:firstLine="426"/>
        <w:spacing w:after="0" w:line="277" w:lineRule="auto"/>
        <w:rPr>
          <w:sz w:val="20"/>
          <w:szCs w:val="20"/>
          <w:color w:val="auto"/>
        </w:rPr>
      </w:pPr>
      <w:r>
        <w:rPr>
          <w:rFonts w:ascii="Arial" w:cs="Arial" w:eastAsia="Arial" w:hAnsi="Arial"/>
          <w:sz w:val="18"/>
          <w:szCs w:val="18"/>
          <w:color w:val="auto"/>
        </w:rPr>
        <w:t>We believe the following strengths enabled us to develop a competitive advantage and maintain a leading market position and are critical to our continued success.</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Well-Positioned in Growing and On-trend Category Driven by Positive Consumer Trends</w:t>
      </w:r>
    </w:p>
    <w:p>
      <w:pPr>
        <w:spacing w:after="0" w:line="117" w:lineRule="exact"/>
        <w:rPr>
          <w:sz w:val="20"/>
          <w:szCs w:val="20"/>
          <w:color w:val="auto"/>
        </w:rPr>
      </w:pPr>
    </w:p>
    <w:p>
      <w:pPr>
        <w:jc w:val="both"/>
        <w:ind w:left="380" w:firstLine="426"/>
        <w:spacing w:after="0" w:line="286" w:lineRule="auto"/>
        <w:rPr>
          <w:sz w:val="20"/>
          <w:szCs w:val="20"/>
          <w:color w:val="auto"/>
        </w:rPr>
      </w:pPr>
      <w:r>
        <w:rPr>
          <w:rFonts w:ascii="Arial" w:cs="Arial" w:eastAsia="Arial" w:hAnsi="Arial"/>
          <w:sz w:val="17"/>
          <w:szCs w:val="17"/>
          <w:color w:val="auto"/>
        </w:rPr>
        <w:t>We operate in the $32.7 billion global convenient nutrition category according to Euromonitor data for 2018, a rapidly-growing and on-trend category within food and beverage. Based on Euromonitor data, at $17.1 billion for 2018, the U.S. market is the largest and most developed market in the world and grew at a CAGR of 9% between 2014 and 2018, and is expected to grow to $21.2 billion by 2021.</w:t>
      </w:r>
    </w:p>
    <w:p>
      <w:pPr>
        <w:spacing w:after="0" w:line="166" w:lineRule="exact"/>
        <w:rPr>
          <w:sz w:val="20"/>
          <w:szCs w:val="20"/>
          <w:color w:val="auto"/>
        </w:rPr>
      </w:pPr>
    </w:p>
    <w:p>
      <w:pPr>
        <w:ind w:left="380" w:firstLine="426"/>
        <w:spacing w:after="0" w:line="286" w:lineRule="auto"/>
        <w:rPr>
          <w:sz w:val="20"/>
          <w:szCs w:val="20"/>
          <w:color w:val="auto"/>
        </w:rPr>
      </w:pPr>
      <w:r>
        <w:rPr>
          <w:rFonts w:ascii="Arial" w:cs="Arial" w:eastAsia="Arial" w:hAnsi="Arial"/>
          <w:sz w:val="16"/>
          <w:szCs w:val="16"/>
          <w:color w:val="auto"/>
        </w:rPr>
        <w:t>We believe growth in the category is driven by consumers’ increased desire and dedication to pursue active lifestyles and growing interest in high quality nutrition and health and wellness. In addition, consumers have become more aware of the numerous benefits of protein consumption, including sustained energy, muscle recovery and satiety. This awareness is evidenced by a Nielsen 2018 Consumer Insights article showing U.S. consumers have a growing appetite for protein with 55% of U.S. households indicating that protein is now an important attribute to consider when buying food for their households. Nevertheless, research published in 2018 found that roughly 40% of participants still did not meet current daily protein recommendations according to U.S. News &amp; World Report. Furthermore, approximately one in three U.S. adults are obese and more than 100 million Americans have diabetes or are pre-diabetic according to the Center for Disease Control and Prevention, and 90% of Americans eat more sodium than is recommended according to the American Heart Association, Inc. Additionally, as the IRI 2019 State of the Snack Food Industry report highlights, consumers are increasingly eating more frequently throughout the day, with 47% of consumers snacking more than three times a day. In fact, according to Mintel’s 2019 report, Snacking Motivations and Attitudes, 95% of U.S. adults snack daily. These statistics reflect the broader trend that mainstream consumers, not just fitness enthusiasts, are looking for convenient, protein-enriched food and beverage products that can be consumed on-the-go as nutritious snacks or as meal replacements. New consumer consumption and increasing consumption from existing consumers are fueling growth in the category. Household penetration for liquids and powders are at only 24% and 11%, respectively, versus 43% for bars for the 52 week period ended July 27, 2019 according to Nielsen household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459" w:right="6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131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360"/>
        <w:spacing w:after="0" w:line="342" w:lineRule="auto"/>
        <w:rPr>
          <w:sz w:val="20"/>
          <w:szCs w:val="20"/>
          <w:color w:val="auto"/>
        </w:rPr>
      </w:pPr>
      <w:r>
        <w:rPr>
          <w:rFonts w:ascii="Arial" w:cs="Arial" w:eastAsia="Arial" w:hAnsi="Arial"/>
          <w:sz w:val="16"/>
          <w:szCs w:val="16"/>
          <w:color w:val="auto"/>
        </w:rPr>
        <w:t>panel data for all outlets. These statistics, together with a modest household penetration of just 5% for our RTD protein shakes for the 52 week period ended July 27, 2019 according to Nielsen household panel data for all outlets, demonstrate our significant room for further growth.</w:t>
      </w:r>
    </w:p>
    <w:p>
      <w:pPr>
        <w:spacing w:after="0" w:line="124" w:lineRule="exact"/>
        <w:rPr>
          <w:sz w:val="20"/>
          <w:szCs w:val="20"/>
          <w:color w:val="auto"/>
        </w:rPr>
      </w:pPr>
    </w:p>
    <w:p>
      <w:pPr>
        <w:ind w:left="380" w:right="80" w:firstLine="426"/>
        <w:spacing w:after="0" w:line="259" w:lineRule="auto"/>
        <w:rPr>
          <w:sz w:val="20"/>
          <w:szCs w:val="20"/>
          <w:color w:val="auto"/>
        </w:rPr>
      </w:pPr>
      <w:r>
        <w:rPr>
          <w:rFonts w:ascii="Arial" w:cs="Arial" w:eastAsia="Arial" w:hAnsi="Arial"/>
          <w:sz w:val="18"/>
          <w:szCs w:val="18"/>
          <w:color w:val="auto"/>
        </w:rPr>
        <w:t>Our product portfolio is designed to appeal to these consumer preferences for great-tasting, nutritious and convenient products. The majority of our products that we sell are high in protein, meaning that at least 20% of the recommended amount of protein per day (Recommended Daily Value) comes from the product, while maintaining a superior taste profile. We believe this category will continue to be propelled by positive consumer trends and offer attractive growth opportunities for our Company.</w:t>
      </w:r>
    </w:p>
    <w:p>
      <w:pPr>
        <w:spacing w:after="0" w:line="29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Flagship Brand Supported by Other Well-Recognized Brands with Growth Potential</w:t>
      </w:r>
    </w:p>
    <w:p>
      <w:pPr>
        <w:spacing w:after="0" w:line="117" w:lineRule="exact"/>
        <w:rPr>
          <w:sz w:val="20"/>
          <w:szCs w:val="20"/>
          <w:color w:val="auto"/>
        </w:rPr>
      </w:pPr>
    </w:p>
    <w:p>
      <w:pPr>
        <w:ind w:left="380" w:firstLine="426"/>
        <w:spacing w:after="0" w:line="286" w:lineRule="auto"/>
        <w:rPr>
          <w:sz w:val="20"/>
          <w:szCs w:val="20"/>
          <w:color w:val="auto"/>
        </w:rPr>
      </w:pP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is our flagship brand and is supported by a portfolio of other well-recognized brands with growth potential.</w:t>
      </w:r>
      <w:r>
        <w:rPr>
          <w:rFonts w:ascii="Arial" w:cs="Arial" w:eastAsia="Arial" w:hAnsi="Arial"/>
          <w:sz w:val="16"/>
          <w:szCs w:val="16"/>
          <w:i w:val="1"/>
          <w:iCs w:val="1"/>
          <w:color w:val="auto"/>
        </w:rPr>
        <w:t xml:space="preserve"> Premier Protein </w:t>
      </w:r>
      <w:r>
        <w:rPr>
          <w:rFonts w:ascii="Arial" w:cs="Arial" w:eastAsia="Arial" w:hAnsi="Arial"/>
          <w:sz w:val="16"/>
          <w:szCs w:val="16"/>
          <w:color w:val="auto"/>
        </w:rPr>
        <w:t xml:space="preserve">is positioned to appeal to mainstream consumers seeking convenient, delicious protein products they can enjoy throughout the day. Our 11 ounce </w:t>
      </w: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RTD shake epitomizes this brand commitment, providing a great-tasting, on-the-go beverage with 30 grams of protein and only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one gram of sugar. The combination of taste, leading nutritionals and portability makes drinking shakes an everyday occurrence for many of our consumers. Our brands have strong loyalty because our products help our consumers achieve their desired results, which vary by consumer but include satiety, sustained energy or muscle recovery. We believe the combination of leading nutritionals, superior taste and highly effective results creates strong bonds between our consumers and our brands which will continue to fuel our growth. Our consumer advocates are the cornerstone of our marketing efforts, and we believe no other brand in the category inspires brand love similar to that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The brand has achieved category-leading share requirements and repeat purchase frequencies for liquid brands with sales greater than $2.0 million based on Nielsen household panel data for all outlets for the 52 week period ended July 27, 2019. In addition, we believe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has some of the highest product velocity rates in the convenient nutrition RTD category in the FDM channel based on Nielsen tracked channels data for the 52 week period ended August 3, 2019.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holds the #1 share in the convenient nutrition category and the convenient nutrition RTD category based on Nielsen household panel data for all outlets for the 52 week period ended July 27, 2019.</w:t>
      </w:r>
    </w:p>
    <w:p>
      <w:pPr>
        <w:spacing w:after="0" w:line="175" w:lineRule="exact"/>
        <w:rPr>
          <w:sz w:val="20"/>
          <w:szCs w:val="20"/>
          <w:color w:val="auto"/>
        </w:rPr>
      </w:pPr>
    </w:p>
    <w:p>
      <w:pPr>
        <w:ind w:left="380" w:right="60" w:firstLine="426"/>
        <w:spacing w:after="0" w:line="255" w:lineRule="auto"/>
        <w:rPr>
          <w:sz w:val="20"/>
          <w:szCs w:val="20"/>
          <w:color w:val="auto"/>
        </w:rPr>
      </w:pPr>
      <w:r>
        <w:rPr>
          <w:rFonts w:ascii="Arial" w:cs="Arial" w:eastAsia="Arial" w:hAnsi="Arial"/>
          <w:sz w:val="18"/>
          <w:szCs w:val="18"/>
          <w:i w:val="1"/>
          <w:iCs w:val="1"/>
          <w:color w:val="auto"/>
        </w:rPr>
        <w:t xml:space="preserve">Dymatize </w:t>
      </w:r>
      <w:r>
        <w:rPr>
          <w:rFonts w:ascii="Arial" w:cs="Arial" w:eastAsia="Arial" w:hAnsi="Arial"/>
          <w:sz w:val="18"/>
          <w:szCs w:val="18"/>
          <w:color w:val="auto"/>
        </w:rPr>
        <w:t>is a high-quality sports nutrition brand that targets fitness enthusiasts, who trust the brand for its science-based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development, athletic performance focus and third party validation that its products are free of banned substances.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award-winning product portfolio spans protein powders, protein bars and nutritional supplements. We believe our </w:t>
      </w:r>
      <w:r>
        <w:rPr>
          <w:rFonts w:ascii="Arial" w:cs="Arial" w:eastAsia="Arial" w:hAnsi="Arial"/>
          <w:sz w:val="18"/>
          <w:szCs w:val="18"/>
          <w:i w:val="1"/>
          <w:iCs w:val="1"/>
          <w:color w:val="auto"/>
        </w:rPr>
        <w:t>ISO100</w:t>
      </w:r>
      <w:r>
        <w:rPr>
          <w:rFonts w:ascii="Arial" w:cs="Arial" w:eastAsia="Arial" w:hAnsi="Arial"/>
          <w:sz w:val="18"/>
          <w:szCs w:val="18"/>
          <w:color w:val="auto"/>
        </w:rPr>
        <w:t xml:space="preserve"> product is the best-selling hydrolyzed 100% whey protein isolate in the specialty channel and is known for its superior quality and exceptional taste. The brand has a loyal following among consumers who use sports nutrition to support athletic training regimens and has a strong presence in the domestic specialty and eCommerce channels, as well as internationally. Recently, the brand has demonstrated its ability to expand into new channels through its entry into club and mass, which remain large growth opportunities.</w:t>
      </w:r>
    </w:p>
    <w:p>
      <w:pPr>
        <w:spacing w:after="0" w:line="189" w:lineRule="exact"/>
        <w:rPr>
          <w:sz w:val="20"/>
          <w:szCs w:val="20"/>
          <w:color w:val="auto"/>
        </w:rPr>
      </w:pPr>
    </w:p>
    <w:p>
      <w:pPr>
        <w:ind w:left="380" w:right="20" w:firstLine="426"/>
        <w:spacing w:after="0" w:line="302" w:lineRule="auto"/>
        <w:rPr>
          <w:sz w:val="20"/>
          <w:szCs w:val="20"/>
          <w:color w:val="auto"/>
        </w:rPr>
      </w:pPr>
      <w:r>
        <w:rPr>
          <w:rFonts w:ascii="Arial" w:cs="Arial" w:eastAsia="Arial" w:hAnsi="Arial"/>
          <w:sz w:val="16"/>
          <w:szCs w:val="16"/>
          <w:i w:val="1"/>
          <w:iCs w:val="1"/>
          <w:color w:val="auto"/>
        </w:rPr>
        <w:t xml:space="preserve">PowerBar </w:t>
      </w:r>
      <w:r>
        <w:rPr>
          <w:rFonts w:ascii="Arial" w:cs="Arial" w:eastAsia="Arial" w:hAnsi="Arial"/>
          <w:sz w:val="16"/>
          <w:szCs w:val="16"/>
          <w:color w:val="auto"/>
        </w:rPr>
        <w:t>is one of the most well-known brands in the convenient nutrition category based on a survey powered by Qualtrics performed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June 2019. The brand aims to deliver nutrient dense products to fuel consumers with ambitious, athletic lifestyles. Its product portfolio ranges from great-tasting protein and energy snacks for lifestyle athletes to highly functional and technical energy products for competitive athletes’ in-game usage.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is positioned as a high-quality brand both in the U.S. and internationally and has a notable presence in Western Europe.</w:t>
      </w:r>
    </w:p>
    <w:p>
      <w:pPr>
        <w:spacing w:after="0" w:line="262"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Superior Products with Leading Nutritional Attributes and Taste</w:t>
      </w:r>
    </w:p>
    <w:p>
      <w:pPr>
        <w:spacing w:after="0" w:line="117" w:lineRule="exact"/>
        <w:rPr>
          <w:sz w:val="20"/>
          <w:szCs w:val="20"/>
          <w:color w:val="auto"/>
        </w:rPr>
      </w:pPr>
    </w:p>
    <w:p>
      <w:pPr>
        <w:ind w:left="380" w:right="340" w:firstLine="426"/>
        <w:spacing w:after="0" w:line="277" w:lineRule="auto"/>
        <w:rPr>
          <w:sz w:val="20"/>
          <w:szCs w:val="20"/>
          <w:color w:val="auto"/>
        </w:rPr>
      </w:pPr>
      <w:r>
        <w:rPr>
          <w:rFonts w:ascii="Arial" w:cs="Arial" w:eastAsia="Arial" w:hAnsi="Arial"/>
          <w:sz w:val="18"/>
          <w:szCs w:val="18"/>
          <w:i w:val="1"/>
          <w:iCs w:val="1"/>
          <w:color w:val="auto"/>
        </w:rPr>
        <w:t xml:space="preserve">Premier Protein </w:t>
      </w:r>
      <w:r>
        <w:rPr>
          <w:rFonts w:ascii="Arial" w:cs="Arial" w:eastAsia="Arial" w:hAnsi="Arial"/>
          <w:sz w:val="18"/>
          <w:szCs w:val="18"/>
          <w:color w:val="auto"/>
        </w:rPr>
        <w:t>delivers products with high protein and superior taste. The brand’s RTD protein shakes are formulated to deliver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levels of protein while maintaining one of the leanest nutritional profiles (as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24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131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spacing w:after="0" w:line="259" w:lineRule="auto"/>
        <w:rPr>
          <w:sz w:val="20"/>
          <w:szCs w:val="20"/>
          <w:color w:val="auto"/>
        </w:rPr>
      </w:pPr>
      <w:r>
        <w:rPr>
          <w:rFonts w:ascii="Arial" w:cs="Arial" w:eastAsia="Arial" w:hAnsi="Arial"/>
          <w:sz w:val="18"/>
          <w:szCs w:val="18"/>
          <w:color w:val="auto"/>
        </w:rPr>
        <w:t xml:space="preserve">measured by sugar and calorie content) in the convenient nutrition category. Our RTD protein shakes are gluten- and soy-free, low fat and fortified with 24 vitamins and minerals while maintaining a superior taste profile and certain of our RTD protein shake flavors were awarded the American Masters of Taste Gold Medal for 2015, 2016, 2017, 2018 and 2019. We recently have accelerated our efforts to expand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portfolio to include new flavors, powders and nutrition bars.</w:t>
      </w:r>
    </w:p>
    <w:p>
      <w:pPr>
        <w:spacing w:after="0" w:line="187"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i w:val="1"/>
          <w:iCs w:val="1"/>
          <w:color w:val="auto"/>
        </w:rPr>
        <w:t xml:space="preserve">Dymatize </w:t>
      </w:r>
      <w:r>
        <w:rPr>
          <w:rFonts w:ascii="Arial" w:cs="Arial" w:eastAsia="Arial" w:hAnsi="Arial"/>
          <w:sz w:val="17"/>
          <w:szCs w:val="17"/>
          <w:color w:val="auto"/>
        </w:rPr>
        <w:t>is built on a foundation of science-based product development and athletic performance focus.</w:t>
      </w:r>
      <w:r>
        <w:rPr>
          <w:rFonts w:ascii="Arial" w:cs="Arial" w:eastAsia="Arial" w:hAnsi="Arial"/>
          <w:sz w:val="17"/>
          <w:szCs w:val="17"/>
          <w:i w:val="1"/>
          <w:iCs w:val="1"/>
          <w:color w:val="auto"/>
        </w:rPr>
        <w:t xml:space="preserve"> Dymatize </w:t>
      </w:r>
      <w:r>
        <w:rPr>
          <w:rFonts w:ascii="Arial" w:cs="Arial" w:eastAsia="Arial" w:hAnsi="Arial"/>
          <w:sz w:val="17"/>
          <w:szCs w:val="17"/>
          <w:color w:val="auto"/>
        </w:rPr>
        <w:t>products are formulated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based on the latest scientific research and are rigorously tested in university studies and at elite professional training facilities. The brand’s flagship product, </w:t>
      </w:r>
      <w:r>
        <w:rPr>
          <w:rFonts w:ascii="Arial" w:cs="Arial" w:eastAsia="Arial" w:hAnsi="Arial"/>
          <w:sz w:val="17"/>
          <w:szCs w:val="17"/>
          <w:i w:val="1"/>
          <w:iCs w:val="1"/>
          <w:color w:val="auto"/>
        </w:rPr>
        <w:t>ISO100</w:t>
      </w:r>
      <w:r>
        <w:rPr>
          <w:rFonts w:ascii="Arial" w:cs="Arial" w:eastAsia="Arial" w:hAnsi="Arial"/>
          <w:sz w:val="17"/>
          <w:szCs w:val="17"/>
          <w:color w:val="auto"/>
        </w:rPr>
        <w:t xml:space="preserve">, is a fast absorbing, easily digestible and easily soluble powder. </w:t>
      </w:r>
      <w:r>
        <w:rPr>
          <w:rFonts w:ascii="Arial" w:cs="Arial" w:eastAsia="Arial" w:hAnsi="Arial"/>
          <w:sz w:val="17"/>
          <w:szCs w:val="17"/>
          <w:i w:val="1"/>
          <w:iCs w:val="1"/>
          <w:color w:val="auto"/>
        </w:rPr>
        <w:t>ISO100</w:t>
      </w:r>
      <w:r>
        <w:rPr>
          <w:rFonts w:ascii="Arial" w:cs="Arial" w:eastAsia="Arial" w:hAnsi="Arial"/>
          <w:sz w:val="17"/>
          <w:szCs w:val="17"/>
          <w:color w:val="auto"/>
        </w:rPr>
        <w:t xml:space="preserve"> won the “Isolate Protein of the Year” award for 2013 through 2017 as part of the annual Bodybuilding.com Supplement Awards. It also is known for its exceptional taste which, combined with its leading nutritional attributes, has allowed the brand to develop a large and loyal consumer following. As of July 2019,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has more than one million followers across Facebook and Instagram, growing more than 30% over the last twelve months.</w:t>
      </w:r>
    </w:p>
    <w:p>
      <w:pPr>
        <w:spacing w:after="0" w:line="178" w:lineRule="exact"/>
        <w:rPr>
          <w:sz w:val="20"/>
          <w:szCs w:val="20"/>
          <w:color w:val="auto"/>
        </w:rPr>
      </w:pPr>
    </w:p>
    <w:p>
      <w:pPr>
        <w:ind w:left="380" w:right="20" w:firstLine="426"/>
        <w:spacing w:after="0" w:line="302" w:lineRule="auto"/>
        <w:rPr>
          <w:sz w:val="20"/>
          <w:szCs w:val="20"/>
          <w:color w:val="auto"/>
        </w:rPr>
      </w:pPr>
      <w:r>
        <w:rPr>
          <w:rFonts w:ascii="Arial" w:cs="Arial" w:eastAsia="Arial" w:hAnsi="Arial"/>
          <w:sz w:val="16"/>
          <w:szCs w:val="16"/>
          <w:i w:val="1"/>
          <w:iCs w:val="1"/>
          <w:color w:val="auto"/>
        </w:rPr>
        <w:t xml:space="preserve">PowerBar </w:t>
      </w:r>
      <w:r>
        <w:rPr>
          <w:rFonts w:ascii="Arial" w:cs="Arial" w:eastAsia="Arial" w:hAnsi="Arial"/>
          <w:sz w:val="16"/>
          <w:szCs w:val="16"/>
          <w:color w:val="auto"/>
        </w:rPr>
        <w:t>products deliver concentrated energy and protein in convenient formats that can be consumed by competitive athletes and fitness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enthusiasts to help reach peak performance. The brand’s performance and endurance products, targeted at endurance athletes, delivers carbohydrates in different product forms such as nutrition bars, gels, chews and powders for in-game usage. To adapt to evolving consumer trends, </w:t>
      </w:r>
      <w:r>
        <w:rPr>
          <w:rFonts w:ascii="Arial" w:cs="Arial" w:eastAsia="Arial" w:hAnsi="Arial"/>
          <w:sz w:val="16"/>
          <w:szCs w:val="16"/>
          <w:i w:val="1"/>
          <w:iCs w:val="1"/>
          <w:color w:val="auto"/>
        </w:rPr>
        <w:t xml:space="preserve">PowerBar </w:t>
      </w:r>
      <w:r>
        <w:rPr>
          <w:rFonts w:ascii="Arial" w:cs="Arial" w:eastAsia="Arial" w:hAnsi="Arial"/>
          <w:sz w:val="16"/>
          <w:szCs w:val="16"/>
          <w:color w:val="auto"/>
        </w:rPr>
        <w:t>has expanded its product portfolio to include a natural vegan protein bar and protein bars fortified with calcium and magnesium.</w:t>
      </w:r>
    </w:p>
    <w:p>
      <w:pPr>
        <w:spacing w:after="0" w:line="262"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Proven Track Record Across Channels Based on Strong Customer Relationships</w:t>
      </w:r>
    </w:p>
    <w:p>
      <w:pPr>
        <w:spacing w:after="0" w:line="117" w:lineRule="exact"/>
        <w:rPr>
          <w:sz w:val="20"/>
          <w:szCs w:val="20"/>
          <w:color w:val="auto"/>
        </w:rPr>
      </w:pPr>
    </w:p>
    <w:p>
      <w:pPr>
        <w:ind w:left="380" w:right="120" w:firstLine="426"/>
        <w:spacing w:after="0" w:line="255" w:lineRule="auto"/>
        <w:rPr>
          <w:sz w:val="20"/>
          <w:szCs w:val="20"/>
          <w:color w:val="auto"/>
        </w:rPr>
      </w:pPr>
      <w:r>
        <w:rPr>
          <w:rFonts w:ascii="Arial" w:cs="Arial" w:eastAsia="Arial" w:hAnsi="Arial"/>
          <w:sz w:val="18"/>
          <w:szCs w:val="18"/>
          <w:color w:val="auto"/>
        </w:rPr>
        <w:t xml:space="preserve">Our products are sold across a variety of channels in the U.S. and internationally. Our largest brand,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originated in the club channel and we have deep, long-standing relationships with our club customers. We have organically grown our sales in the club channel, and we have progressively introduced new flavors and product extensions with great success. Our sales in the club channel grew at a 31% CAGR from fiscal 2016 to fiscal 2018. We also have effectively leveraged our strong customer relationships to cross-sell our brands within different channels. For example, we recently secured national distribution of several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with our club, mass and drug customers as well as several regional grocery customers.</w:t>
      </w:r>
    </w:p>
    <w:p>
      <w:pPr>
        <w:spacing w:after="0" w:line="193" w:lineRule="exact"/>
        <w:rPr>
          <w:sz w:val="20"/>
          <w:szCs w:val="20"/>
          <w:color w:val="auto"/>
        </w:rPr>
      </w:pPr>
    </w:p>
    <w:p>
      <w:pPr>
        <w:ind w:left="380" w:right="20" w:firstLine="426"/>
        <w:spacing w:after="0" w:line="293" w:lineRule="auto"/>
        <w:rPr>
          <w:sz w:val="20"/>
          <w:szCs w:val="20"/>
          <w:color w:val="auto"/>
        </w:rPr>
      </w:pPr>
      <w:r>
        <w:rPr>
          <w:rFonts w:ascii="Arial" w:cs="Arial" w:eastAsia="Arial" w:hAnsi="Arial"/>
          <w:sz w:val="16"/>
          <w:szCs w:val="16"/>
          <w:color w:val="auto"/>
        </w:rPr>
        <w:t>We have demonstrated an ability to organically grow in other distribution channels, including expanding our presence in FDM with significant growth across key national retail partners. Our sales in the FDM channel grew at a 38% CAGR from fiscal 2016 to fiscal 2018. Further, we have experienced sizeable organic growth in the eCommerce channel, where our strong brand recognition drives high conversion rates among consumers who view our products online. Our sales in the eCommerce channel grew at a 52% CAGR from fiscal 2016 to fiscal 2018. In convenience and dollar, we recently gained distribution for additional products. Expansion in FDM and eCommerce increases consumer exposure to and trial of our products, which we believe will drive repeat purchases and further our growth across all channels.</w:t>
      </w:r>
    </w:p>
    <w:p>
      <w:pPr>
        <w:spacing w:after="0" w:line="273"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Asset-Light Platform</w:t>
      </w:r>
    </w:p>
    <w:p>
      <w:pPr>
        <w:spacing w:after="0" w:line="117" w:lineRule="exact"/>
        <w:rPr>
          <w:sz w:val="20"/>
          <w:szCs w:val="20"/>
          <w:color w:val="auto"/>
        </w:rPr>
      </w:pPr>
    </w:p>
    <w:p>
      <w:pPr>
        <w:ind w:left="380" w:right="120" w:firstLine="426"/>
        <w:spacing w:after="0" w:line="286" w:lineRule="auto"/>
        <w:rPr>
          <w:sz w:val="20"/>
          <w:szCs w:val="20"/>
          <w:color w:val="auto"/>
        </w:rPr>
      </w:pPr>
      <w:r>
        <w:rPr>
          <w:rFonts w:ascii="Arial" w:cs="Arial" w:eastAsia="Arial" w:hAnsi="Arial"/>
          <w:sz w:val="17"/>
          <w:szCs w:val="17"/>
          <w:color w:val="auto"/>
        </w:rPr>
        <w:t>We utilize a largely outsourced manufacturing network consisting of co-manufacturers and third party logistics providers. Partnering with a diversified group of co-manufacturers enables our Company to focus on our core in-house capabilities, including sales and marketing, brand management, customer service and research and development, allowing management to drive profitable growth.</w:t>
      </w:r>
    </w:p>
    <w:p>
      <w:pPr>
        <w:spacing w:after="0" w:line="166" w:lineRule="exact"/>
        <w:rPr>
          <w:sz w:val="20"/>
          <w:szCs w:val="20"/>
          <w:color w:val="auto"/>
        </w:rPr>
      </w:pPr>
    </w:p>
    <w:p>
      <w:pPr>
        <w:ind w:left="380" w:firstLine="426"/>
        <w:spacing w:after="0" w:line="277" w:lineRule="auto"/>
        <w:rPr>
          <w:sz w:val="20"/>
          <w:szCs w:val="20"/>
          <w:color w:val="auto"/>
        </w:rPr>
      </w:pPr>
      <w:r>
        <w:rPr>
          <w:rFonts w:ascii="Arial" w:cs="Arial" w:eastAsia="Arial" w:hAnsi="Arial"/>
          <w:sz w:val="18"/>
          <w:szCs w:val="18"/>
          <w:color w:val="auto"/>
        </w:rPr>
        <w:t>Utilizing our four research and development facilities, we also have built a highly dynamic research and development platform that leverages input from our customers and sales force to enhance our speed-to-market with new products and flavors.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240" w:top="459" w:right="6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6487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02145" cy="36487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Attractive Organic Growth and Financial Profile</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have an attractive financial profile with a track record of significant organic growth. Net sales have grown organically from</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$574.7 million in fiscal 2016 to $827.5 million in fiscal 2018, representing a CAGR of 20%. Similarly, net income grew from $19.9 million in</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fiscal 2016 to $96.1 million in fiscal 2018, representing a CAGR of 120%, Adjusted net earnings grew from $29.3 million in fiscal 2016 to $93.3</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million in fiscal 2018, representing a CAGR of 78% and Adjusted EBITDA grew from $72.0 million in fiscal 2016 to $156.5 million in fiscal</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2018, representing a CAGR of 47%. See “Explanation and Reconciliation of Non-GAAP Measures” for a reconciliation of Adjusted net earnings</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and Adjusted EBITDA, each a non-GAAP measure, to the most directly comparable GAAP measure. In addition, our operating margin profile</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benefits from the quality of our brand portfolio and our lean organization structure. Our asset-light business model requires modest capital</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expenditures, with annual capital expenditures averaging less than 1% of net sales over the last three years. Our margin profile, along with our</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capital expenditure-light model and limited working capital requirements, drive consistently high cash flow generation, providing significant</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financial flexibility to continue to reinvest in our business and pursue value enhancing acquisition opportunities as they arise.</w:t>
      </w:r>
    </w:p>
    <w:p>
      <w:pPr>
        <w:spacing w:after="0" w:line="31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Experienced and Talented Management Team</w:t>
      </w:r>
    </w:p>
    <w:p>
      <w:pPr>
        <w:spacing w:after="0" w:line="117"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We have assembled an experienced and talented management team led by our President and Chief Executive Officer, Darcy Horn Davenport, who has over twenty years of experience in the consumer packaged goods industry, including nearly ten years with Premier Nutrition and predecessor companies. Our talented management team has an average of eighteen years of experience in the consumer packaged goods industry. This team has demonstrated its ability to enhance the business through active portfolio management, including focused innovation, marketing, expansion of customer relationships and entering new sales channels. Our management team has presided over significant organic growth in the business and has successfully integrated multiple acquisitions.</w:t>
      </w:r>
    </w:p>
    <w:p>
      <w:pPr>
        <w:spacing w:after="0" w:line="193" w:lineRule="exact"/>
        <w:rPr>
          <w:sz w:val="20"/>
          <w:szCs w:val="20"/>
          <w:color w:val="auto"/>
        </w:rPr>
      </w:pPr>
    </w:p>
    <w:p>
      <w:pPr>
        <w:ind w:left="380" w:right="260" w:firstLine="426"/>
        <w:spacing w:after="0" w:line="264" w:lineRule="auto"/>
        <w:rPr>
          <w:sz w:val="20"/>
          <w:szCs w:val="20"/>
          <w:color w:val="auto"/>
        </w:rPr>
      </w:pPr>
      <w:r>
        <w:rPr>
          <w:rFonts w:ascii="Arial" w:cs="Arial" w:eastAsia="Arial" w:hAnsi="Arial"/>
          <w:sz w:val="18"/>
          <w:szCs w:val="18"/>
          <w:color w:val="auto"/>
        </w:rPr>
        <w:t>The strength of our management team is further enhanced by the significant industry experience of the leadership team at our parent company, Post. In particular, Robert V. Vitale, our Executive Chairman and the President and Chief Executive Officer of Post, brings more than thirty years of financial and consumer packaged goods experience to our team.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240" w:top="459" w:right="6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873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02145" cy="68732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380" w:right="80" w:firstLine="426"/>
        <w:spacing w:after="0" w:line="264" w:lineRule="auto"/>
        <w:rPr>
          <w:sz w:val="20"/>
          <w:szCs w:val="20"/>
          <w:color w:val="auto"/>
        </w:rPr>
      </w:pPr>
      <w:r>
        <w:rPr>
          <w:rFonts w:ascii="Arial" w:cs="Arial" w:eastAsia="Arial" w:hAnsi="Arial"/>
          <w:sz w:val="18"/>
          <w:szCs w:val="18"/>
          <w:color w:val="auto"/>
        </w:rPr>
        <w:t>We believe our presence across consumer segments, channels, product forms and geographies is unmatched by any of our competitors. This presence provides us with multiple avenues to drive continued growth in our business at a rate that outpaces the rapidly expanding convenient nutrition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80" w:right="360" w:firstLine="426"/>
        <w:spacing w:after="0" w:line="277" w:lineRule="auto"/>
        <w:rPr>
          <w:sz w:val="20"/>
          <w:szCs w:val="20"/>
          <w:color w:val="auto"/>
        </w:rPr>
      </w:pPr>
      <w:r>
        <w:rPr>
          <w:rFonts w:ascii="Arial" w:cs="Arial" w:eastAsia="Arial" w:hAnsi="Arial"/>
          <w:sz w:val="18"/>
          <w:szCs w:val="18"/>
          <w:color w:val="auto"/>
        </w:rPr>
        <w:t>In addition, as a publicly traded and separately capitalized company, we will be better positioned to reach our full potential, with greater financial and managerial flexibility to pursue our distinct operational priorities.</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Drive Increased Household Penetration and Love for Our Brands</w:t>
      </w:r>
    </w:p>
    <w:p>
      <w:pPr>
        <w:spacing w:after="0" w:line="117" w:lineRule="exact"/>
        <w:rPr>
          <w:sz w:val="20"/>
          <w:szCs w:val="20"/>
          <w:color w:val="auto"/>
        </w:rPr>
      </w:pPr>
    </w:p>
    <w:p>
      <w:pPr>
        <w:ind w:left="380" w:firstLine="426"/>
        <w:spacing w:after="0" w:line="290" w:lineRule="auto"/>
        <w:rPr>
          <w:sz w:val="20"/>
          <w:szCs w:val="20"/>
          <w:color w:val="auto"/>
        </w:rPr>
      </w:pPr>
      <w:r>
        <w:rPr>
          <w:rFonts w:ascii="Arial" w:cs="Arial" w:eastAsia="Arial" w:hAnsi="Arial"/>
          <w:sz w:val="16"/>
          <w:szCs w:val="16"/>
          <w:i w:val="1"/>
          <w:iCs w:val="1"/>
          <w:color w:val="auto"/>
        </w:rPr>
        <w:t>Premier Protein</w:t>
      </w:r>
      <w:r>
        <w:rPr>
          <w:rFonts w:ascii="Arial" w:cs="Arial" w:eastAsia="Arial" w:hAnsi="Arial"/>
          <w:sz w:val="16"/>
          <w:szCs w:val="16"/>
          <w:color w:val="auto"/>
        </w:rPr>
        <w:t>, our largest brand, holds the #1 share position in the convenient nutrition category and RTD protein shakes as measured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Nielsen household panel data for all outlets for the 52 week period ended July 27, 2019. However, household penetration for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is 5% (compared to 24% for liquids in the convenient nutrition category) for the 52 week period ended July 27, 2019 according to Nielsen household panel data for all outlets, which we believe provides significant opportunity for further expansion. We believe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well-positioned to increase household penetration given its mainstream relevance and approachable positioning with the everyday consumer; it has demonstrated this ability by contributing to the overall growth of the category. Based on data from Nielsen for Total US xAOC including Convenience for the 52 week period ended January 26, 2019, 53% of the convenient nutrition RTD category’s growth was driven by the </w:t>
      </w:r>
      <w:r>
        <w:rPr>
          <w:rFonts w:ascii="Arial" w:cs="Arial" w:eastAsia="Arial" w:hAnsi="Arial"/>
          <w:sz w:val="16"/>
          <w:szCs w:val="16"/>
          <w:i w:val="1"/>
          <w:iCs w:val="1"/>
          <w:color w:val="auto"/>
        </w:rPr>
        <w:t>Premier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Protein </w:t>
      </w:r>
      <w:r>
        <w:rPr>
          <w:rFonts w:ascii="Arial" w:cs="Arial" w:eastAsia="Arial" w:hAnsi="Arial"/>
          <w:sz w:val="16"/>
          <w:szCs w:val="16"/>
          <w:color w:val="auto"/>
        </w:rPr>
        <w:t>brand through new category buyers and incremental consumption by existing buyers. We</w:t>
      </w:r>
    </w:p>
    <w:p>
      <w:pPr>
        <w:spacing w:after="0" w:line="200" w:lineRule="exact"/>
        <w:rPr>
          <w:sz w:val="20"/>
          <w:szCs w:val="20"/>
          <w:color w:val="auto"/>
        </w:rPr>
      </w:pPr>
    </w:p>
    <w:p>
      <w:pPr>
        <w:spacing w:after="0" w:line="39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240" w:top="459" w:right="6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131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spacing w:after="0" w:line="285" w:lineRule="auto"/>
        <w:rPr>
          <w:sz w:val="20"/>
          <w:szCs w:val="20"/>
          <w:color w:val="auto"/>
        </w:rPr>
      </w:pPr>
      <w:r>
        <w:rPr>
          <w:rFonts w:ascii="Arial" w:cs="Arial" w:eastAsia="Arial" w:hAnsi="Arial"/>
          <w:sz w:val="16"/>
          <w:szCs w:val="16"/>
          <w:color w:val="auto"/>
        </w:rPr>
        <w:t xml:space="preserve">believe we can continue to increase household penetration and bring in new category buyers by increasing consumer awareness of the role </w:t>
      </w:r>
      <w:r>
        <w:rPr>
          <w:rFonts w:ascii="Arial" w:cs="Arial" w:eastAsia="Arial" w:hAnsi="Arial"/>
          <w:sz w:val="16"/>
          <w:szCs w:val="16"/>
          <w:i w:val="1"/>
          <w:iCs w:val="1"/>
          <w:color w:val="auto"/>
        </w:rPr>
        <w:t>Premier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Protein </w:t>
      </w:r>
      <w:r>
        <w:rPr>
          <w:rFonts w:ascii="Arial" w:cs="Arial" w:eastAsia="Arial" w:hAnsi="Arial"/>
          <w:sz w:val="16"/>
          <w:szCs w:val="16"/>
          <w:color w:val="auto"/>
        </w:rPr>
        <w:t>can play in healthy and active lifestyles. We plan to continue investing in comprehensive marketing plans that include national advertising,</w:t>
      </w:r>
      <w:r>
        <w:rPr>
          <w:rFonts w:ascii="Arial" w:cs="Arial" w:eastAsia="Arial" w:hAnsi="Arial"/>
          <w:sz w:val="16"/>
          <w:szCs w:val="16"/>
          <w:i w:val="1"/>
          <w:iCs w:val="1"/>
          <w:color w:val="auto"/>
        </w:rPr>
        <w:t xml:space="preserve"> </w:t>
      </w:r>
      <w:r>
        <w:rPr>
          <w:rFonts w:ascii="Arial" w:cs="Arial" w:eastAsia="Arial" w:hAnsi="Arial"/>
          <w:sz w:val="16"/>
          <w:szCs w:val="16"/>
          <w:color w:val="auto"/>
        </w:rPr>
        <w:t>social media, sampling and grassroots efforts to introduce consumers to the superior taste and nutritional benefits of our products. We will leverage our fans’ enthusiasm for the brand to spread the word about the exceptional taste and benefits of our products. The strategic theme of our marketing for the last several years has been “Showcasing Our Fan Love,” which is centered around letting fans tell others about our differentiated portfolio.</w:t>
      </w:r>
    </w:p>
    <w:p>
      <w:pPr>
        <w:spacing w:after="0" w:line="2" w:lineRule="exact"/>
        <w:rPr>
          <w:sz w:val="20"/>
          <w:szCs w:val="20"/>
          <w:color w:val="auto"/>
        </w:rPr>
      </w:pPr>
    </w:p>
    <w:p>
      <w:pPr>
        <w:ind w:left="380" w:right="240"/>
        <w:spacing w:after="0" w:line="255" w:lineRule="auto"/>
        <w:rPr>
          <w:sz w:val="20"/>
          <w:szCs w:val="20"/>
          <w:color w:val="auto"/>
        </w:rPr>
      </w:pPr>
      <w:r>
        <w:rPr>
          <w:rFonts w:ascii="Arial" w:cs="Arial" w:eastAsia="Arial" w:hAnsi="Arial"/>
          <w:sz w:val="18"/>
          <w:szCs w:val="18"/>
          <w:color w:val="auto"/>
        </w:rPr>
        <w:t xml:space="preserve">We believe this marketing approach increases relevance, credibility and memorability among our consumers, positioning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as a leading brand that delivers a differentiated offering of nutritional products. We believe these efforts drive new household participation as well as deeper loyalty and consumer love for the brand.</w:t>
      </w:r>
    </w:p>
    <w:p>
      <w:pPr>
        <w:spacing w:after="0" w:line="190" w:lineRule="exact"/>
        <w:rPr>
          <w:sz w:val="20"/>
          <w:szCs w:val="20"/>
          <w:color w:val="auto"/>
        </w:rPr>
      </w:pPr>
    </w:p>
    <w:p>
      <w:pPr>
        <w:ind w:left="380" w:right="60" w:firstLine="426"/>
        <w:spacing w:after="0" w:line="257" w:lineRule="auto"/>
        <w:rPr>
          <w:sz w:val="20"/>
          <w:szCs w:val="20"/>
          <w:color w:val="auto"/>
        </w:rPr>
      </w:pPr>
      <w:r>
        <w:rPr>
          <w:rFonts w:ascii="Arial" w:cs="Arial" w:eastAsia="Arial" w:hAnsi="Arial"/>
          <w:sz w:val="18"/>
          <w:szCs w:val="18"/>
          <w:color w:val="auto"/>
        </w:rPr>
        <w:t xml:space="preserve">Historically,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has been sold predominantly in the specialty channel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internationally in the sports specialty channel. As both brands continue to expand in channels, such as eCommerce and FDM, in the U.S. for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in Europe for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we believe household penetration also will increase through incremental brand exposure. We also plan to deepen consumer love of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PowerBar </w:t>
      </w:r>
      <w:r>
        <w:rPr>
          <w:rFonts w:ascii="Arial" w:cs="Arial" w:eastAsia="Arial" w:hAnsi="Arial"/>
          <w:sz w:val="18"/>
          <w:szCs w:val="18"/>
          <w:color w:val="auto"/>
        </w:rPr>
        <w:t>brands among fitness enthusiasts via our global network of athlete brand ambassadors, along with increased advertising to enhance</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connection via digital channels and our social media outlets.</w:t>
      </w:r>
    </w:p>
    <w:p>
      <w:pPr>
        <w:spacing w:after="0" w:line="29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Deepen Existing Customer Relationships and Continue To Expand Across Channels</w:t>
      </w:r>
    </w:p>
    <w:p>
      <w:pPr>
        <w:spacing w:after="0" w:line="117" w:lineRule="exact"/>
        <w:rPr>
          <w:sz w:val="20"/>
          <w:szCs w:val="20"/>
          <w:color w:val="auto"/>
        </w:rPr>
      </w:pPr>
    </w:p>
    <w:p>
      <w:pPr>
        <w:ind w:left="380" w:right="40" w:firstLine="426"/>
        <w:spacing w:after="0" w:line="288" w:lineRule="auto"/>
        <w:rPr>
          <w:sz w:val="20"/>
          <w:szCs w:val="20"/>
          <w:color w:val="auto"/>
        </w:rPr>
      </w:pPr>
      <w:r>
        <w:rPr>
          <w:rFonts w:ascii="Arial" w:cs="Arial" w:eastAsia="Arial" w:hAnsi="Arial"/>
          <w:sz w:val="16"/>
          <w:szCs w:val="16"/>
          <w:color w:val="auto"/>
        </w:rPr>
        <w:t xml:space="preserve">We believe there are significant growth opportunities in our existing club, FDM, eCommerce and convenience channels across our brand portfolio. We have proven our ability to generate leading velocity rates, even in channels where we currently have a small presence. For example, based on Nielsen tracked channels data for the 52 week period ended August 3, 2019,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maintains only a 4% share of shelf space within the convenient nutrition RTD category in the FDM channel, but is generating 9% of the sales and, we believe, has some of the highest product velocity rates in the category in the FDM channel. We believe </w:t>
      </w:r>
      <w:r>
        <w:rPr>
          <w:rFonts w:ascii="Arial" w:cs="Arial" w:eastAsia="Arial" w:hAnsi="Arial"/>
          <w:sz w:val="16"/>
          <w:szCs w:val="16"/>
          <w:i w:val="1"/>
          <w:iCs w:val="1"/>
          <w:color w:val="auto"/>
        </w:rPr>
        <w:t>Dymatize</w:t>
      </w:r>
      <w:r>
        <w:rPr>
          <w:rFonts w:ascii="Arial" w:cs="Arial" w:eastAsia="Arial" w:hAnsi="Arial"/>
          <w:sz w:val="16"/>
          <w:szCs w:val="16"/>
          <w:color w:val="auto"/>
        </w:rPr>
        <w:t>, which recently entered into the club and mass channels, also is already experiencing strong initial dollar velocities versus its competitors based on data from Nielsen for Total US xAOC including Convenience for the 13 week period ended July 27, 2019. Given this strong performance, we are excited about the opportunity to introduce additional product forms. We plan to work in partnership with our key customers to introduce incremental product forms and flavor extensions to establish a larger share of shelf and to leverage our relationships to cross-sell all of our brands. We also believe there is a growth opportunity by migrating our products to the center-of-store where there is more foot traffic. We intend to test center-of-store placements in partnerships with our key customers.</w:t>
      </w:r>
    </w:p>
    <w:p>
      <w:pPr>
        <w:spacing w:after="0" w:line="169" w:lineRule="exact"/>
        <w:rPr>
          <w:sz w:val="20"/>
          <w:szCs w:val="20"/>
          <w:color w:val="auto"/>
        </w:rPr>
      </w:pPr>
    </w:p>
    <w:p>
      <w:pPr>
        <w:ind w:left="380" w:right="100" w:firstLine="426"/>
        <w:spacing w:after="0" w:line="312" w:lineRule="auto"/>
        <w:rPr>
          <w:sz w:val="20"/>
          <w:szCs w:val="20"/>
          <w:color w:val="auto"/>
        </w:rPr>
      </w:pPr>
      <w:r>
        <w:rPr>
          <w:rFonts w:ascii="Arial" w:cs="Arial" w:eastAsia="Arial" w:hAnsi="Arial"/>
          <w:sz w:val="16"/>
          <w:szCs w:val="16"/>
          <w:color w:val="auto"/>
        </w:rPr>
        <w:t>eCommerce remains a large opportunity for us across all of our brands. Our net sales have grown 52% annually in this channel from fiscal 2016 to fiscal 2018. We already have established a dedicated team to drive sales and deepen our customer relationships in this channel. In the long term, we also believe the foodservice and dollar channels are attractive markets where our brands are positioned for success.</w:t>
      </w:r>
    </w:p>
    <w:p>
      <w:pPr>
        <w:spacing w:after="0" w:line="25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Rapidly Innovate Across Brands to Meet Evolving Consumer Needs</w:t>
      </w:r>
    </w:p>
    <w:p>
      <w:pPr>
        <w:spacing w:after="0" w:line="117" w:lineRule="exact"/>
        <w:rPr>
          <w:sz w:val="20"/>
          <w:szCs w:val="20"/>
          <w:color w:val="auto"/>
        </w:rPr>
      </w:pPr>
    </w:p>
    <w:p>
      <w:pPr>
        <w:ind w:left="380" w:right="160" w:firstLine="426"/>
        <w:spacing w:after="0" w:line="264" w:lineRule="auto"/>
        <w:rPr>
          <w:sz w:val="20"/>
          <w:szCs w:val="20"/>
          <w:color w:val="auto"/>
        </w:rPr>
      </w:pPr>
      <w:r>
        <w:rPr>
          <w:rFonts w:ascii="Arial" w:cs="Arial" w:eastAsia="Arial" w:hAnsi="Arial"/>
          <w:sz w:val="18"/>
          <w:szCs w:val="18"/>
          <w:color w:val="auto"/>
        </w:rPr>
        <w:t>Innovating to deliver delicious tasting products with quality nutrition is a key growth driver of our brands. We are an insights-driven organization and our innovation pipeline is guided by meeting unmet or underserved consumer needs. We employ a dual path innovation strategy with line extensions combined with category disrupting innovation.</w:t>
      </w:r>
    </w:p>
    <w:p>
      <w:pPr>
        <w:spacing w:after="0" w:line="181"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auto"/>
        </w:rPr>
        <w:t xml:space="preserve">For our line extension strategy, we expanded our 30 gram RTD protein shake business from three flavors in 2015 to seven flavors in 2018. The additional flavors contributed 38% of the net sales increase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since the end of fiscal 2015 and accounted for 25% of fiscal 2018 net sales of our </w:t>
      </w:r>
      <w:r>
        <w:rPr>
          <w:rFonts w:ascii="Arial" w:cs="Arial" w:eastAsia="Arial" w:hAnsi="Arial"/>
          <w:sz w:val="18"/>
          <w:szCs w:val="18"/>
          <w:i w:val="1"/>
          <w:iCs w:val="1"/>
          <w:color w:val="auto"/>
        </w:rPr>
        <w:t>Premier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24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spacing w:after="0" w:line="269" w:lineRule="auto"/>
        <w:rPr>
          <w:sz w:val="20"/>
          <w:szCs w:val="20"/>
          <w:color w:val="auto"/>
        </w:rPr>
      </w:pPr>
      <w:r>
        <w:rPr>
          <w:rFonts w:ascii="Arial" w:cs="Arial" w:eastAsia="Arial" w:hAnsi="Arial"/>
          <w:sz w:val="17"/>
          <w:szCs w:val="17"/>
          <w:i w:val="1"/>
          <w:iCs w:val="1"/>
          <w:color w:val="auto"/>
        </w:rPr>
        <w:t xml:space="preserve">Protein </w:t>
      </w:r>
      <w:r>
        <w:rPr>
          <w:rFonts w:ascii="Arial" w:cs="Arial" w:eastAsia="Arial" w:hAnsi="Arial"/>
          <w:sz w:val="17"/>
          <w:szCs w:val="17"/>
          <w:color w:val="auto"/>
        </w:rPr>
        <w:t>RTD shakes. We expect to introduce two additional flavors in the fall of 2019. We also have improved the taste of our</w:t>
      </w:r>
      <w:r>
        <w:rPr>
          <w:rFonts w:ascii="Arial" w:cs="Arial" w:eastAsia="Arial" w:hAnsi="Arial"/>
          <w:sz w:val="17"/>
          <w:szCs w:val="17"/>
          <w:i w:val="1"/>
          <w:iCs w:val="1"/>
          <w:color w:val="auto"/>
        </w:rPr>
        <w:t xml:space="preserve"> Premier Protein </w:t>
      </w:r>
      <w:r>
        <w:rPr>
          <w:rFonts w:ascii="Arial" w:cs="Arial" w:eastAsia="Arial" w:hAnsi="Arial"/>
          <w:sz w:val="17"/>
          <w:szCs w:val="17"/>
          <w:color w:val="auto"/>
        </w:rPr>
        <w:t xml:space="preserve">powder and nutrition bar formulations to ensure we continue to delight consumers. We believe our new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powder offering has achieved top 10% category velocities in FDM since its launch in December 2017 based on Nielsen tracked channels data for the 52 week period ended August 3, 2019.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nutrition bars have achieved the first, second and third highest velocities for branded sports protein bars according to German Nielsen MarketTrack data for the grocery and drug channels for June 2019 and, we believe, continue to have strong growth in Germany. We also have experienced success with our category disrupting innovation strategy. As a recent example, we believe our clear RTD protein beverages have one of the broadest distribution levels for products of this type based on Nielsen data for Total US xAOC including Convenience for the four week period ended August 10, 2019. We launched this platform across both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The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Protein Clear </w:t>
      </w:r>
      <w:r>
        <w:rPr>
          <w:rFonts w:ascii="Arial" w:cs="Arial" w:eastAsia="Arial" w:hAnsi="Arial"/>
          <w:sz w:val="17"/>
          <w:szCs w:val="17"/>
          <w:color w:val="auto"/>
        </w:rPr>
        <w:t>RTD product is now distributed nationwide in Costco and other key retailers.</w:t>
      </w:r>
      <w:r>
        <w:rPr>
          <w:rFonts w:ascii="Arial" w:cs="Arial" w:eastAsia="Arial" w:hAnsi="Arial"/>
          <w:sz w:val="17"/>
          <w:szCs w:val="17"/>
          <w:i w:val="1"/>
          <w:iCs w:val="1"/>
          <w:color w:val="auto"/>
        </w:rPr>
        <w:t xml:space="preserve"> Dymatize </w:t>
      </w:r>
      <w:r>
        <w:rPr>
          <w:rFonts w:ascii="Arial" w:cs="Arial" w:eastAsia="Arial" w:hAnsi="Arial"/>
          <w:sz w:val="17"/>
          <w:szCs w:val="17"/>
          <w:color w:val="auto"/>
        </w:rPr>
        <w:t>continues to be a leader in disruptive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innovation with several leading products for its core enthusiasts, the most recent being </w:t>
      </w:r>
      <w:r>
        <w:rPr>
          <w:rFonts w:ascii="Arial" w:cs="Arial" w:eastAsia="Arial" w:hAnsi="Arial"/>
          <w:sz w:val="17"/>
          <w:szCs w:val="17"/>
          <w:i w:val="1"/>
          <w:iCs w:val="1"/>
          <w:color w:val="auto"/>
        </w:rPr>
        <w:t>All9 Amino</w:t>
      </w:r>
      <w:r>
        <w:rPr>
          <w:rFonts w:ascii="Arial" w:cs="Arial" w:eastAsia="Arial" w:hAnsi="Arial"/>
          <w:sz w:val="17"/>
          <w:szCs w:val="17"/>
          <w:color w:val="auto"/>
        </w:rPr>
        <w:t>, a supplement that provides the nine essential amino acids for optimal muscle protein synthesis.</w:t>
      </w:r>
    </w:p>
    <w:p>
      <w:pPr>
        <w:spacing w:after="0" w:line="183" w:lineRule="exact"/>
        <w:rPr>
          <w:sz w:val="20"/>
          <w:szCs w:val="20"/>
          <w:color w:val="auto"/>
        </w:rPr>
      </w:pPr>
    </w:p>
    <w:p>
      <w:pPr>
        <w:ind w:left="380" w:right="20" w:firstLine="426"/>
        <w:spacing w:after="0" w:line="257" w:lineRule="auto"/>
        <w:rPr>
          <w:sz w:val="20"/>
          <w:szCs w:val="20"/>
          <w:color w:val="auto"/>
        </w:rPr>
      </w:pPr>
      <w:r>
        <w:rPr>
          <w:rFonts w:ascii="Arial" w:cs="Arial" w:eastAsia="Arial" w:hAnsi="Arial"/>
          <w:sz w:val="18"/>
          <w:szCs w:val="18"/>
          <w:color w:val="auto"/>
        </w:rPr>
        <w:t>We maintain a robust three-year insight-driven pipeline that is tailored to a broad range of consumers covering a variety of need states and consumption occasions. We intend to continue to improve and expand our product offerings with new flavors and forms, innovative ingredients and unique packaging options, while maintaining our commitment to delivering the nutrition and taste profiles demanded by our consumers. Our commitment to this objective is demonstrated by our investment in four research and development facilities in Emeryville, California; Dallas, Texas; Boise, Idaho and Voerde, Germany.</w:t>
      </w:r>
    </w:p>
    <w:p>
      <w:pPr>
        <w:spacing w:after="0" w:line="29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Expand Our Presence in International Markets</w:t>
      </w:r>
    </w:p>
    <w:p>
      <w:pPr>
        <w:spacing w:after="0" w:line="117"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auto"/>
        </w:rPr>
        <w:t>While the U.S. convenient nutrition market accounts for the largest portion of our business, we are uniquely positioned to take advantage of the rapidly growing international market. Based on Euromonitor data, the international convenient nutrition category is expected to grow from sales of $15.6 billion in 2018 to sales of $21.1 billion in 2021, representing a CAGR of 11%.</w:t>
      </w:r>
    </w:p>
    <w:p>
      <w:pPr>
        <w:spacing w:after="0" w:line="181" w:lineRule="exact"/>
        <w:rPr>
          <w:sz w:val="20"/>
          <w:szCs w:val="20"/>
          <w:color w:val="auto"/>
        </w:rPr>
      </w:pPr>
    </w:p>
    <w:p>
      <w:pPr>
        <w:ind w:left="380" w:right="100" w:firstLine="426"/>
        <w:spacing w:after="0" w:line="271" w:lineRule="auto"/>
        <w:rPr>
          <w:sz w:val="20"/>
          <w:szCs w:val="20"/>
          <w:color w:val="auto"/>
        </w:rPr>
      </w:pPr>
      <w:r>
        <w:rPr>
          <w:rFonts w:ascii="Arial" w:cs="Arial" w:eastAsia="Arial" w:hAnsi="Arial"/>
          <w:sz w:val="17"/>
          <w:szCs w:val="17"/>
          <w:color w:val="auto"/>
        </w:rPr>
        <w:t xml:space="preserve">We have an established and growing international business for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in several attractive markets, including Western Europe, South America and the Middle East, and for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in Canada. From fiscal 2016 to fiscal 2018, net sales in our international business grew at a CAGR of 9%. In the short-term, we plan to leverage our existing country presence and strong distributor partnerships to rapidly expand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continue distribution momentum for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We are seeking to expand our wholesale and direct-to-consumer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business with specific emphasis on growing sales of our </w:t>
      </w:r>
      <w:r>
        <w:rPr>
          <w:rFonts w:ascii="Arial" w:cs="Arial" w:eastAsia="Arial" w:hAnsi="Arial"/>
          <w:sz w:val="17"/>
          <w:szCs w:val="17"/>
          <w:i w:val="1"/>
          <w:iCs w:val="1"/>
          <w:color w:val="auto"/>
        </w:rPr>
        <w:t>ISO100</w:t>
      </w:r>
      <w:r>
        <w:rPr>
          <w:rFonts w:ascii="Arial" w:cs="Arial" w:eastAsia="Arial" w:hAnsi="Arial"/>
          <w:sz w:val="17"/>
          <w:szCs w:val="17"/>
          <w:color w:val="auto"/>
        </w:rPr>
        <w:t xml:space="preserve"> product. We are focused on leveraging recent marketing investments to accelerate FDM expansion of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in Western Europe, while continuing to maintain a strong presence in the specialty channel, which drives brand awareness. In addition, we intend to drive the expansion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brand by offering a wider range of products in the FDM channel and investing behind our existing eCommerce platform.</w:t>
      </w:r>
    </w:p>
    <w:p>
      <w:pPr>
        <w:spacing w:after="0" w:line="179" w:lineRule="exact"/>
        <w:rPr>
          <w:sz w:val="20"/>
          <w:szCs w:val="20"/>
          <w:color w:val="auto"/>
        </w:rPr>
      </w:pPr>
    </w:p>
    <w:p>
      <w:pPr>
        <w:jc w:val="both"/>
        <w:ind w:left="380" w:right="140" w:firstLine="426"/>
        <w:spacing w:after="0" w:line="264" w:lineRule="auto"/>
        <w:rPr>
          <w:sz w:val="20"/>
          <w:szCs w:val="20"/>
          <w:color w:val="auto"/>
        </w:rPr>
      </w:pPr>
      <w:r>
        <w:rPr>
          <w:rFonts w:ascii="Arial" w:cs="Arial" w:eastAsia="Arial" w:hAnsi="Arial"/>
          <w:sz w:val="18"/>
          <w:szCs w:val="18"/>
          <w:color w:val="auto"/>
        </w:rPr>
        <w:t>We have near and longer-term aspirations to grow our brands through further international expansion in the largest opportunity international markets. We believe our brands have significant growth potential in both large emerging markets such as China and India and established markets such as the United Kingdom (the “U.K.”), Japan and Australia.</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Pursue Value-Accretive Acquisitions</w:t>
      </w:r>
    </w:p>
    <w:p>
      <w:pPr>
        <w:spacing w:after="0" w:line="117" w:lineRule="exact"/>
        <w:rPr>
          <w:sz w:val="20"/>
          <w:szCs w:val="20"/>
          <w:color w:val="auto"/>
        </w:rPr>
      </w:pPr>
    </w:p>
    <w:p>
      <w:pPr>
        <w:ind w:left="380" w:right="380" w:firstLine="426"/>
        <w:spacing w:after="0" w:line="264" w:lineRule="auto"/>
        <w:rPr>
          <w:sz w:val="20"/>
          <w:szCs w:val="20"/>
          <w:color w:val="auto"/>
        </w:rPr>
      </w:pPr>
      <w:r>
        <w:rPr>
          <w:rFonts w:ascii="Arial" w:cs="Arial" w:eastAsia="Arial" w:hAnsi="Arial"/>
          <w:sz w:val="18"/>
          <w:szCs w:val="18"/>
          <w:color w:val="auto"/>
        </w:rPr>
        <w:t>Food and beverage is a highly fragmented industry with many opportunities to pursue value-enhancing acquisitions. We intend to pursue acquisition opportunities that would yield synergistic, accretive and profitable long-term growth. We plan to use our platform to consider all attractive acquisition opportunities within the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240" w:top="459" w:right="6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78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02145" cy="5878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right="220"/>
        <w:spacing w:after="0" w:line="259" w:lineRule="auto"/>
        <w:rPr>
          <w:sz w:val="20"/>
          <w:szCs w:val="20"/>
          <w:color w:val="auto"/>
        </w:rPr>
      </w:pPr>
      <w:r>
        <w:rPr>
          <w:rFonts w:ascii="Arial" w:cs="Arial" w:eastAsia="Arial" w:hAnsi="Arial"/>
          <w:sz w:val="18"/>
          <w:szCs w:val="18"/>
          <w:color w:val="auto"/>
        </w:rPr>
        <w:t>convenient nutrition category, as well as the food and beverage industry more broadly. Our management depth and integration expertise can be leveraged, along with our access to capital and Post’s expertise, to make value-accretive acquisitions. The combination of consolidating selling, general and administrative functions, leveraging our scale and optimizing our supply chain will enable us to drive acquisition synergies in future transactions we may pursue.</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Risks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An investment in our Class A common stock involves a high degree of risk. You should carefully consider the risks summarized in the “Risk</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Factors” section of this prospectus immediately following this prospectus summary. These risks include, but are not limited to, the following:</w:t>
      </w:r>
    </w:p>
    <w:p>
      <w:pPr>
        <w:spacing w:after="0" w:line="128" w:lineRule="exact"/>
        <w:rPr>
          <w:sz w:val="20"/>
          <w:szCs w:val="20"/>
          <w:color w:val="auto"/>
        </w:rPr>
      </w:pPr>
    </w:p>
    <w:p>
      <w:pPr>
        <w:ind w:left="1320" w:right="180" w:hanging="515"/>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substantial amount of our net sales comes from our RTD protein shakes, and a decrease in sales of our RTD protein shakes would adversely affect our business, financial condition, results of operations and cash flows.</w:t>
      </w:r>
    </w:p>
    <w:p>
      <w:pPr>
        <w:spacing w:after="0" w:line="75" w:lineRule="exact"/>
        <w:rPr>
          <w:rFonts w:ascii="Arial" w:cs="Arial" w:eastAsia="Arial" w:hAnsi="Arial"/>
          <w:sz w:val="18"/>
          <w:szCs w:val="18"/>
          <w:color w:val="auto"/>
        </w:rPr>
      </w:pPr>
    </w:p>
    <w:p>
      <w:pPr>
        <w:ind w:left="1320" w:hanging="515"/>
        <w:spacing w:after="0" w:line="290" w:lineRule="auto"/>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We are currently dependent on a limited number of third party contract manufacturers and suppliers for the manufacturing of most of our products, including one manufacturer for the substantial majority of our RTD protein shakes. Our business could suffer as a result of a third party contract manufacturer’s inability to produce our products for us in the quantities required, on time or to our specifications or to obtain the supplies and equipment necessary for such production. For example, due to a combination of better than expected volume growth for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in the second half of fiscal 2018 and delays in planned incremental production capacity by our third party contract manufacturer network, our customer demand exceeded our available capacity and resulted in inventory below acceptable levels at September 30, 2018. These factors resulted in volume increases of our RTD protein shakes for the nine months ended June 30, 2019 being below growth trends experienced in fiscal 2018 and 2017.</w:t>
      </w:r>
    </w:p>
    <w:p>
      <w:pPr>
        <w:spacing w:after="0" w:line="71" w:lineRule="exact"/>
        <w:rPr>
          <w:rFonts w:ascii="Arial" w:cs="Arial" w:eastAsia="Arial" w:hAnsi="Arial"/>
          <w:sz w:val="16"/>
          <w:szCs w:val="16"/>
          <w:color w:val="auto"/>
        </w:rPr>
      </w:pPr>
    </w:p>
    <w:p>
      <w:pPr>
        <w:ind w:left="1320" w:hanging="515"/>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operate in a category with strong competition.</w:t>
      </w:r>
    </w:p>
    <w:p>
      <w:pPr>
        <w:spacing w:after="0" w:line="130" w:lineRule="exact"/>
        <w:rPr>
          <w:rFonts w:ascii="Arial" w:cs="Arial" w:eastAsia="Arial" w:hAnsi="Arial"/>
          <w:sz w:val="18"/>
          <w:szCs w:val="18"/>
          <w:color w:val="auto"/>
        </w:rPr>
      </w:pPr>
    </w:p>
    <w:p>
      <w:pPr>
        <w:ind w:left="1320" w:right="60" w:hanging="515"/>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reliance on a limited number of suppliers for certain ingredients and packaging materials, the price and availability of ingredients and packaging materials, higher freight costs and higher energy costs could negatively impact profits.</w:t>
      </w:r>
    </w:p>
    <w:p>
      <w:pPr>
        <w:spacing w:after="0" w:line="75" w:lineRule="exact"/>
        <w:rPr>
          <w:rFonts w:ascii="Arial" w:cs="Arial" w:eastAsia="Arial" w:hAnsi="Arial"/>
          <w:sz w:val="18"/>
          <w:szCs w:val="18"/>
          <w:color w:val="auto"/>
        </w:rPr>
      </w:pPr>
    </w:p>
    <w:p>
      <w:pPr>
        <w:ind w:left="1320" w:right="200" w:hanging="515"/>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 of our supply chain and changes in weather conditions could have an adverse effect on our business, financial condition, results of operations and cash flows.</w:t>
      </w:r>
    </w:p>
    <w:p>
      <w:pPr>
        <w:spacing w:after="0" w:line="75" w:lineRule="exact"/>
        <w:rPr>
          <w:rFonts w:ascii="Arial" w:cs="Arial" w:eastAsia="Arial" w:hAnsi="Arial"/>
          <w:sz w:val="18"/>
          <w:szCs w:val="18"/>
          <w:color w:val="auto"/>
        </w:rPr>
      </w:pPr>
    </w:p>
    <w:p>
      <w:pPr>
        <w:ind w:left="1320" w:right="160" w:hanging="515"/>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Consolidation in our distribution channels, and competitive, economic and other pressures facing our customers, may hurt our profit margins.</w:t>
      </w:r>
    </w:p>
    <w:p>
      <w:pPr>
        <w:spacing w:after="0" w:line="75" w:lineRule="exact"/>
        <w:rPr>
          <w:rFonts w:ascii="Arial" w:cs="Arial" w:eastAsia="Arial" w:hAnsi="Arial"/>
          <w:sz w:val="18"/>
          <w:szCs w:val="18"/>
          <w:color w:val="auto"/>
        </w:rPr>
      </w:pPr>
    </w:p>
    <w:p>
      <w:pPr>
        <w:ind w:left="1320" w:hanging="515"/>
        <w:spacing w:after="0"/>
        <w:tabs>
          <w:tab w:leader="none" w:pos="1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must identify changing consumer and customer preferences and develop and offer products to meet these preferences.</w:t>
      </w:r>
    </w:p>
    <w:p>
      <w:pPr>
        <w:spacing w:after="0" w:line="142" w:lineRule="exact"/>
        <w:rPr>
          <w:rFonts w:ascii="Arial" w:cs="Arial" w:eastAsia="Arial" w:hAnsi="Arial"/>
          <w:sz w:val="17"/>
          <w:szCs w:val="17"/>
          <w:color w:val="auto"/>
        </w:rPr>
      </w:pPr>
    </w:p>
    <w:p>
      <w:pPr>
        <w:ind w:left="1320" w:hanging="515"/>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results may be adversely impacted if consumers do not maintain favorable perceptions of our brands.</w:t>
      </w:r>
    </w:p>
    <w:p>
      <w:pPr>
        <w:spacing w:after="0" w:line="130" w:lineRule="exact"/>
        <w:rPr>
          <w:rFonts w:ascii="Arial" w:cs="Arial" w:eastAsia="Arial" w:hAnsi="Arial"/>
          <w:sz w:val="18"/>
          <w:szCs w:val="18"/>
          <w:color w:val="auto"/>
        </w:rPr>
      </w:pPr>
    </w:p>
    <w:p>
      <w:pPr>
        <w:ind w:left="1320" w:hanging="515"/>
        <w:spacing w:after="0"/>
        <w:tabs>
          <w:tab w:leader="none" w:pos="1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sales and profit growth are dependent upon our ability to expand existing market penetration and enter into new markets.</w:t>
      </w:r>
    </w:p>
    <w:p>
      <w:pPr>
        <w:spacing w:after="0" w:line="142" w:lineRule="exact"/>
        <w:rPr>
          <w:rFonts w:ascii="Arial" w:cs="Arial" w:eastAsia="Arial" w:hAnsi="Arial"/>
          <w:sz w:val="17"/>
          <w:szCs w:val="17"/>
          <w:color w:val="auto"/>
        </w:rPr>
      </w:pPr>
    </w:p>
    <w:p>
      <w:pPr>
        <w:ind w:left="1320" w:right="60" w:hanging="515"/>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BellRing Brands, LLC will have significant debt and high leverage, which could have a negative impact on our financing options and liquidity position and which could adversely affect our business.</w:t>
      </w:r>
    </w:p>
    <w:p>
      <w:pPr>
        <w:spacing w:after="0" w:line="75" w:lineRule="exact"/>
        <w:rPr>
          <w:rFonts w:ascii="Arial" w:cs="Arial" w:eastAsia="Arial" w:hAnsi="Arial"/>
          <w:sz w:val="18"/>
          <w:szCs w:val="18"/>
          <w:color w:val="auto"/>
        </w:rPr>
      </w:pPr>
    </w:p>
    <w:p>
      <w:pPr>
        <w:ind w:left="1320" w:hanging="515"/>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Post controls our Company and will have the ability to control the direction of our business.</w:t>
      </w:r>
    </w:p>
    <w:p>
      <w:pPr>
        <w:spacing w:after="0" w:line="130" w:lineRule="exact"/>
        <w:rPr>
          <w:rFonts w:ascii="Arial" w:cs="Arial" w:eastAsia="Arial" w:hAnsi="Arial"/>
          <w:sz w:val="18"/>
          <w:szCs w:val="18"/>
          <w:color w:val="auto"/>
        </w:rPr>
      </w:pPr>
    </w:p>
    <w:p>
      <w:pPr>
        <w:ind w:left="1320" w:right="300" w:hanging="515"/>
        <w:spacing w:after="0" w:line="308" w:lineRule="auto"/>
        <w:tabs>
          <w:tab w:leader="none" w:pos="1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Post’s interests may conflict with our interests and the interests of our other stockholders. Conflicts of interest or disputes between Post and our Company could be resolved in a manner unfavorable to our Company and our other stockholders.</w:t>
      </w:r>
    </w:p>
    <w:p>
      <w:pPr>
        <w:spacing w:after="0" w:line="200" w:lineRule="exact"/>
        <w:rPr>
          <w:sz w:val="20"/>
          <w:szCs w:val="20"/>
          <w:color w:val="auto"/>
        </w:rPr>
      </w:pPr>
    </w:p>
    <w:p>
      <w:pPr>
        <w:spacing w:after="0" w:line="37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240" w:top="459" w:right="6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8389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02145" cy="68389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20" w:right="180" w:hanging="515"/>
        <w:spacing w:after="0" w:line="264"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no operating history as a separate public company, and our historical and pro forma financial information is not necessarily representative of the results we would have achieved as a separate public company and may not be a reliable indicator of our future results.</w:t>
      </w:r>
    </w:p>
    <w:p>
      <w:pPr>
        <w:spacing w:after="0" w:line="181" w:lineRule="exact"/>
        <w:rPr>
          <w:sz w:val="20"/>
          <w:szCs w:val="20"/>
          <w:color w:val="auto"/>
        </w:rPr>
      </w:pPr>
    </w:p>
    <w:p>
      <w:pPr>
        <w:ind w:left="380" w:right="320" w:firstLine="426"/>
        <w:spacing w:after="0" w:line="277" w:lineRule="auto"/>
        <w:rPr>
          <w:sz w:val="20"/>
          <w:szCs w:val="20"/>
          <w:color w:val="auto"/>
        </w:rPr>
      </w:pPr>
      <w:r>
        <w:rPr>
          <w:rFonts w:ascii="Arial" w:cs="Arial" w:eastAsia="Arial" w:hAnsi="Arial"/>
          <w:sz w:val="18"/>
          <w:szCs w:val="18"/>
          <w:color w:val="auto"/>
        </w:rPr>
        <w:t>If we are unable to adequately address these and other risks we face, our business, financial condition, results of operations and prospects may be adversely affected.</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Formation Transactions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Summary of Formation Transactions</w:t>
      </w:r>
    </w:p>
    <w:p>
      <w:pPr>
        <w:spacing w:after="0" w:line="117" w:lineRule="exact"/>
        <w:rPr>
          <w:sz w:val="20"/>
          <w:szCs w:val="20"/>
          <w:color w:val="auto"/>
        </w:rPr>
      </w:pPr>
    </w:p>
    <w:p>
      <w:pPr>
        <w:ind w:left="380" w:right="100" w:firstLine="426"/>
        <w:spacing w:after="0" w:line="259" w:lineRule="auto"/>
        <w:rPr>
          <w:sz w:val="20"/>
          <w:szCs w:val="20"/>
          <w:color w:val="auto"/>
        </w:rPr>
      </w:pPr>
      <w:r>
        <w:rPr>
          <w:rFonts w:ascii="Arial" w:cs="Arial" w:eastAsia="Arial" w:hAnsi="Arial"/>
          <w:sz w:val="18"/>
          <w:szCs w:val="18"/>
          <w:color w:val="auto"/>
        </w:rPr>
        <w:t>In connection with this offering, and pursuant to the master transaction agreement, we and Post will complete a series of formation transactions whereby Post’s Active Nutrition business will be transferred to BellRing Brands, LLC and the other transactions described below and in the master transaction agreement will be completed, which collectively are referred to herein as the “formation transactions.” The formation transactions include, or will include, the following:</w:t>
      </w:r>
    </w:p>
    <w:p>
      <w:pPr>
        <w:spacing w:after="0" w:line="92" w:lineRule="exact"/>
        <w:rPr>
          <w:sz w:val="20"/>
          <w:szCs w:val="20"/>
          <w:color w:val="auto"/>
        </w:rPr>
      </w:pPr>
    </w:p>
    <w:p>
      <w:pPr>
        <w:ind w:left="1320" w:right="140" w:hanging="515"/>
        <w:spacing w:after="0" w:line="264"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March 20, 2019, Post formed BellRing Brands, Inc. as a Delaware corporation for this offering. The initial certificate of incorporation of BellRing Brands, Inc. authorized 1,000 shares of common stock, par value $0.01 per share, all of which were issued to Post for $10.00 in the aggregate.</w:t>
      </w:r>
    </w:p>
    <w:p>
      <w:pPr>
        <w:spacing w:after="0" w:line="86" w:lineRule="exact"/>
        <w:rPr>
          <w:rFonts w:ascii="Arial" w:cs="Arial" w:eastAsia="Arial" w:hAnsi="Arial"/>
          <w:sz w:val="18"/>
          <w:szCs w:val="18"/>
          <w:color w:val="auto"/>
        </w:rPr>
      </w:pPr>
    </w:p>
    <w:p>
      <w:pPr>
        <w:ind w:left="1320" w:hanging="515"/>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to completion of this offering:</w:t>
      </w:r>
    </w:p>
    <w:p>
      <w:pPr>
        <w:spacing w:after="0" w:line="130" w:lineRule="exact"/>
        <w:rPr>
          <w:rFonts w:ascii="Arial" w:cs="Arial" w:eastAsia="Arial" w:hAnsi="Arial"/>
          <w:sz w:val="18"/>
          <w:szCs w:val="18"/>
          <w:color w:val="auto"/>
        </w:rPr>
      </w:pPr>
    </w:p>
    <w:p>
      <w:pPr>
        <w:ind w:left="1740" w:hanging="408"/>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B Blockers merged with and into the A Blocker, with the A Blocker as the sole surviving corporation;</w:t>
      </w:r>
    </w:p>
    <w:p>
      <w:pPr>
        <w:spacing w:after="0" w:line="130" w:lineRule="exact"/>
        <w:rPr>
          <w:rFonts w:ascii="Arial" w:cs="Arial" w:eastAsia="Arial" w:hAnsi="Arial"/>
          <w:sz w:val="18"/>
          <w:szCs w:val="18"/>
          <w:color w:val="auto"/>
        </w:rPr>
      </w:pPr>
    </w:p>
    <w:p>
      <w:pPr>
        <w:ind w:left="1740" w:hanging="408"/>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Premier Nutrition converted from a Delaware corporation to a Delaware limited liability company;</w:t>
      </w:r>
    </w:p>
    <w:p>
      <w:pPr>
        <w:spacing w:after="0" w:line="130" w:lineRule="exact"/>
        <w:rPr>
          <w:rFonts w:ascii="Arial" w:cs="Arial" w:eastAsia="Arial" w:hAnsi="Arial"/>
          <w:sz w:val="18"/>
          <w:szCs w:val="18"/>
          <w:color w:val="auto"/>
        </w:rPr>
      </w:pPr>
    </w:p>
    <w:p>
      <w:pPr>
        <w:ind w:left="1740" w:right="40" w:hanging="408"/>
        <w:spacing w:after="0" w:line="277" w:lineRule="auto"/>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each of Premier Nutrition and Dymatize Enterprises distributed to Post their respective intercompany receivables due from Post, in cancellation of such intercompany balances;</w:t>
      </w:r>
    </w:p>
    <w:p>
      <w:pPr>
        <w:spacing w:after="0" w:line="75" w:lineRule="exact"/>
        <w:rPr>
          <w:rFonts w:ascii="Arial" w:cs="Arial" w:eastAsia="Arial" w:hAnsi="Arial"/>
          <w:sz w:val="18"/>
          <w:szCs w:val="18"/>
          <w:color w:val="auto"/>
        </w:rPr>
      </w:pPr>
    </w:p>
    <w:p>
      <w:pPr>
        <w:ind w:left="1740" w:right="140" w:hanging="408"/>
        <w:spacing w:after="0" w:line="277" w:lineRule="auto"/>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Post Acquisition Sub IV, LLC merged with and into BellRing Brands, LLC, with BellRing Brands, LLC as the surviving entity and, as a result, Active Nutrition International is a direct subsidiary of BellRing Brands, LLC;</w:t>
      </w:r>
    </w:p>
    <w:p>
      <w:pPr>
        <w:spacing w:after="0" w:line="75" w:lineRule="exact"/>
        <w:rPr>
          <w:rFonts w:ascii="Arial" w:cs="Arial" w:eastAsia="Arial" w:hAnsi="Arial"/>
          <w:sz w:val="18"/>
          <w:szCs w:val="18"/>
          <w:color w:val="auto"/>
        </w:rPr>
      </w:pPr>
    </w:p>
    <w:p>
      <w:pPr>
        <w:ind w:left="1740" w:right="60" w:hanging="408"/>
        <w:spacing w:after="0" w:line="277" w:lineRule="auto"/>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Post contributed all of the equity interests in Premier Nutrition to BellRing Brands, LLC, such that BellRing Brands, LLC is the direct holder of such equity interests; and</w:t>
      </w:r>
    </w:p>
    <w:p>
      <w:pPr>
        <w:spacing w:after="0" w:line="75" w:lineRule="exact"/>
        <w:rPr>
          <w:rFonts w:ascii="Arial" w:cs="Arial" w:eastAsia="Arial" w:hAnsi="Arial"/>
          <w:sz w:val="18"/>
          <w:szCs w:val="18"/>
          <w:color w:val="auto"/>
        </w:rPr>
      </w:pPr>
    </w:p>
    <w:p>
      <w:pPr>
        <w:ind w:left="1740" w:right="60" w:hanging="408"/>
        <w:spacing w:after="0" w:line="259" w:lineRule="auto"/>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Post will borrow $1,309.5 million under the Post bridge loan, and certain of its subsidiaries will be guarantors of the Post bridge loan (other than BellRing Brands, Inc., but including BellRing Brands, LLC and its domestic subsidiaries) as described under “—Debt Financing Arrangements—Post Bridge Loan” and “Description of Certain Indebtedness.” We will not receive any of the proceeds of the Post bridge loan.</w:t>
      </w:r>
    </w:p>
    <w:p>
      <w:pPr>
        <w:spacing w:after="0" w:line="92" w:lineRule="exact"/>
        <w:rPr>
          <w:rFonts w:ascii="Arial" w:cs="Arial" w:eastAsia="Arial" w:hAnsi="Arial"/>
          <w:sz w:val="18"/>
          <w:szCs w:val="18"/>
          <w:color w:val="auto"/>
        </w:rPr>
      </w:pPr>
    </w:p>
    <w:p>
      <w:pPr>
        <w:ind w:left="1320" w:hanging="515"/>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the same day this offering is completed, but prior to the completion of this offering:</w:t>
      </w:r>
    </w:p>
    <w:p>
      <w:pPr>
        <w:spacing w:after="0" w:line="130" w:lineRule="exact"/>
        <w:rPr>
          <w:rFonts w:ascii="Arial" w:cs="Arial" w:eastAsia="Arial" w:hAnsi="Arial"/>
          <w:sz w:val="18"/>
          <w:szCs w:val="18"/>
          <w:color w:val="auto"/>
        </w:rPr>
      </w:pPr>
    </w:p>
    <w:p>
      <w:pPr>
        <w:ind w:left="1740" w:right="240" w:hanging="408"/>
        <w:spacing w:after="0" w:line="277" w:lineRule="auto"/>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BellRing Brands, Inc. will amend and restate its certificate of incorporation and bylaws to provide for two classes of common stock:</w:t>
      </w:r>
    </w:p>
    <w:p>
      <w:pPr>
        <w:spacing w:after="0" w:line="75" w:lineRule="exact"/>
        <w:rPr>
          <w:rFonts w:ascii="Arial" w:cs="Arial" w:eastAsia="Arial" w:hAnsi="Arial"/>
          <w:sz w:val="18"/>
          <w:szCs w:val="18"/>
          <w:color w:val="auto"/>
        </w:rPr>
      </w:pPr>
    </w:p>
    <w:p>
      <w:pPr>
        <w:ind w:left="2380" w:hanging="616"/>
        <w:spacing w:after="0" w:line="257" w:lineRule="auto"/>
        <w:tabs>
          <w:tab w:leader="none" w:pos="23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Class A common stock, par value $0.01 per share, which will have economic interests, including eligibility for dividends and distributions upon liquidation, and will have one vote per share and, so long as Post or its affiliates (other than us) directly own more than 50% of the BellRing Brands, LLC Units, will, in the aggregate, represent 33% of the combined voting power of the common stock of BellRing Brands, Inc., as described under “Description of Capital Stock;” and</w:t>
      </w:r>
    </w:p>
    <w:p>
      <w:pPr>
        <w:spacing w:after="0" w:line="93" w:lineRule="exact"/>
        <w:rPr>
          <w:rFonts w:ascii="Arial" w:cs="Arial" w:eastAsia="Arial" w:hAnsi="Arial"/>
          <w:sz w:val="18"/>
          <w:szCs w:val="18"/>
          <w:color w:val="auto"/>
        </w:rPr>
      </w:pPr>
    </w:p>
    <w:p>
      <w:pPr>
        <w:ind w:left="2380" w:right="340" w:hanging="616"/>
        <w:spacing w:after="0" w:line="277" w:lineRule="auto"/>
        <w:tabs>
          <w:tab w:leader="none" w:pos="23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Class B common stock, par value $0.01 per share, which will have no economic interests and, so long as Post or its affiliates (other than us) directly own more than 50% of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24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903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02145" cy="6290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300" w:right="520"/>
        <w:spacing w:after="0" w:line="277" w:lineRule="auto"/>
        <w:rPr>
          <w:sz w:val="20"/>
          <w:szCs w:val="20"/>
          <w:color w:val="auto"/>
        </w:rPr>
      </w:pPr>
      <w:r>
        <w:rPr>
          <w:rFonts w:ascii="Arial" w:cs="Arial" w:eastAsia="Arial" w:hAnsi="Arial"/>
          <w:sz w:val="18"/>
          <w:szCs w:val="18"/>
          <w:color w:val="auto"/>
        </w:rPr>
        <w:t>BellRing Brands, LLC Units, will represent 67% of the combined voting power of the common stock of BellRing Brands, Inc., as described under “Description of Capital Stock;”</w:t>
      </w:r>
    </w:p>
    <w:p>
      <w:pPr>
        <w:spacing w:after="0" w:line="76" w:lineRule="exact"/>
        <w:rPr>
          <w:sz w:val="20"/>
          <w:szCs w:val="20"/>
          <w:color w:val="auto"/>
        </w:rPr>
      </w:pPr>
    </w:p>
    <w:p>
      <w:pPr>
        <w:jc w:val="both"/>
        <w:ind w:left="1740" w:right="40" w:hanging="408"/>
        <w:spacing w:after="0" w:line="286" w:lineRule="auto"/>
        <w:tabs>
          <w:tab w:leader="none" w:pos="17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BellRing Brands, Inc. will issue to Post (in exchange for the 1,000 shares of common stock initially issued to Post in connection with its incorporation, which shares will be cancelled as part of the exchange) one share of Class B common stock, which share of Class B common stock cannot be transferred by Post except to its affiliates (other than us).</w:t>
      </w:r>
    </w:p>
    <w:p>
      <w:pPr>
        <w:spacing w:after="0" w:line="70" w:lineRule="exact"/>
        <w:rPr>
          <w:rFonts w:ascii="Arial" w:cs="Arial" w:eastAsia="Arial" w:hAnsi="Arial"/>
          <w:sz w:val="17"/>
          <w:szCs w:val="17"/>
          <w:color w:val="auto"/>
        </w:rPr>
      </w:pPr>
    </w:p>
    <w:p>
      <w:pPr>
        <w:ind w:left="1320" w:hanging="515"/>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the same day this offering is completed:</w:t>
      </w:r>
    </w:p>
    <w:p>
      <w:pPr>
        <w:spacing w:after="0" w:line="130" w:lineRule="exact"/>
        <w:rPr>
          <w:rFonts w:ascii="Arial" w:cs="Arial" w:eastAsia="Arial" w:hAnsi="Arial"/>
          <w:sz w:val="18"/>
          <w:szCs w:val="18"/>
          <w:color w:val="auto"/>
        </w:rPr>
      </w:pPr>
    </w:p>
    <w:p>
      <w:pPr>
        <w:ind w:left="1740" w:right="140" w:hanging="408"/>
        <w:spacing w:after="0" w:line="257" w:lineRule="auto"/>
        <w:tabs>
          <w:tab w:leader="none" w:pos="1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BellRing Brands, LLC will become the borrower under the Post bridge loan and the domestic subsidiaries of BellRing Brands, LLC will continue to guarantee the obligations under the Post bridge loan, and Post and its subsidiaries (other than BellRing Brands, LLC and its domestic subsidiaries) will be released from all of their obligations under the Post bridge loan (and Post will retain all of the net proceeds of the Post bridge loan) as described under “—Debt Financing Arrangements—Post Bridge Loan” and “Description of Certain Indebtedness;”</w:t>
      </w:r>
    </w:p>
    <w:p>
      <w:pPr>
        <w:spacing w:after="0" w:line="93" w:lineRule="exact"/>
        <w:rPr>
          <w:rFonts w:ascii="Arial" w:cs="Arial" w:eastAsia="Arial" w:hAnsi="Arial"/>
          <w:sz w:val="18"/>
          <w:szCs w:val="18"/>
          <w:color w:val="auto"/>
        </w:rPr>
      </w:pPr>
    </w:p>
    <w:p>
      <w:pPr>
        <w:ind w:left="1740" w:right="60" w:hanging="408"/>
        <w:spacing w:after="0" w:line="264" w:lineRule="auto"/>
        <w:tabs>
          <w:tab w:leader="none" w:pos="1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BellRing Brands, Inc. and BellRing Brands, LLC and its subsidiaries will be designated “unrestricted subsidiaries” under Post’s senior note indentures and secured credit facility, as described under “—Debt Financing Arrangements” and “Description of Certain Indebtedness;”</w:t>
      </w:r>
    </w:p>
    <w:p>
      <w:pPr>
        <w:spacing w:after="0" w:line="86" w:lineRule="exact"/>
        <w:rPr>
          <w:rFonts w:ascii="Arial" w:cs="Arial" w:eastAsia="Arial" w:hAnsi="Arial"/>
          <w:sz w:val="18"/>
          <w:szCs w:val="18"/>
          <w:color w:val="auto"/>
        </w:rPr>
      </w:pPr>
    </w:p>
    <w:p>
      <w:pPr>
        <w:ind w:left="1740" w:right="240" w:hanging="408"/>
        <w:spacing w:after="0" w:line="264" w:lineRule="auto"/>
        <w:tabs>
          <w:tab w:leader="none" w:pos="1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BellRing Brands, LLC, BellRing Brands, Inc. and Post will amend and restate the BellRing Brands, LLC limited liability company agreement to provide, among other things, that BellRing Brands, LLC will be manager managed and governed by a Board of Managers and will have two classes of membership units:</w:t>
      </w:r>
    </w:p>
    <w:p>
      <w:pPr>
        <w:spacing w:after="0" w:line="86" w:lineRule="exact"/>
        <w:rPr>
          <w:rFonts w:ascii="Arial" w:cs="Arial" w:eastAsia="Arial" w:hAnsi="Arial"/>
          <w:sz w:val="18"/>
          <w:szCs w:val="18"/>
          <w:color w:val="auto"/>
        </w:rPr>
      </w:pPr>
    </w:p>
    <w:p>
      <w:pPr>
        <w:ind w:left="2380" w:right="360" w:hanging="616"/>
        <w:spacing w:after="0" w:line="277" w:lineRule="auto"/>
        <w:tabs>
          <w:tab w:leader="none" w:pos="23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a voting membership unit, which will represent no economic interests and will have the power to appoint all of the Board of Managers of BellRing Brands, LLC; and</w:t>
      </w:r>
    </w:p>
    <w:p>
      <w:pPr>
        <w:spacing w:after="0" w:line="75" w:lineRule="exact"/>
        <w:rPr>
          <w:rFonts w:ascii="Arial" w:cs="Arial" w:eastAsia="Arial" w:hAnsi="Arial"/>
          <w:sz w:val="18"/>
          <w:szCs w:val="18"/>
          <w:color w:val="auto"/>
        </w:rPr>
      </w:pPr>
    </w:p>
    <w:p>
      <w:pPr>
        <w:ind w:left="2380" w:right="100" w:hanging="616"/>
        <w:spacing w:after="0" w:line="277" w:lineRule="auto"/>
        <w:tabs>
          <w:tab w:leader="none" w:pos="23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BellRing Brands, LLC Units, which will be non-voting membership units and which will represent economic interests in BellRing Brands, LLC;</w:t>
      </w:r>
    </w:p>
    <w:p>
      <w:pPr>
        <w:spacing w:after="0" w:line="75" w:lineRule="exact"/>
        <w:rPr>
          <w:rFonts w:ascii="Arial" w:cs="Arial" w:eastAsia="Arial" w:hAnsi="Arial"/>
          <w:sz w:val="18"/>
          <w:szCs w:val="18"/>
          <w:color w:val="auto"/>
        </w:rPr>
      </w:pPr>
    </w:p>
    <w:p>
      <w:pPr>
        <w:ind w:left="1740" w:hanging="408"/>
        <w:spacing w:after="0"/>
        <w:tabs>
          <w:tab w:leader="none" w:pos="1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Post’s membership interests in BellRing Brands, LLC will be reclassified as 97,474,179 BellRing Brands, LLC Units;</w:t>
      </w:r>
    </w:p>
    <w:p>
      <w:pPr>
        <w:spacing w:after="0" w:line="130" w:lineRule="exact"/>
        <w:rPr>
          <w:rFonts w:ascii="Arial" w:cs="Arial" w:eastAsia="Arial" w:hAnsi="Arial"/>
          <w:sz w:val="18"/>
          <w:szCs w:val="18"/>
          <w:color w:val="auto"/>
        </w:rPr>
      </w:pPr>
    </w:p>
    <w:p>
      <w:pPr>
        <w:ind w:left="1740" w:right="200" w:hanging="408"/>
        <w:spacing w:after="0" w:line="277" w:lineRule="auto"/>
        <w:tabs>
          <w:tab w:leader="none" w:pos="1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BellRing Brands, LLC will issue the voting membership unit to BellRing Brands, Inc., and BellRing Brands, Inc. will appoint the Board of Managers of BellRing Brands, LLC;</w:t>
      </w:r>
    </w:p>
    <w:p>
      <w:pPr>
        <w:spacing w:after="0" w:line="75" w:lineRule="exact"/>
        <w:rPr>
          <w:rFonts w:ascii="Arial" w:cs="Arial" w:eastAsia="Arial" w:hAnsi="Arial"/>
          <w:sz w:val="18"/>
          <w:szCs w:val="18"/>
          <w:color w:val="auto"/>
        </w:rPr>
      </w:pPr>
    </w:p>
    <w:p>
      <w:pPr>
        <w:ind w:left="1740" w:right="100" w:hanging="408"/>
        <w:spacing w:after="0" w:line="286" w:lineRule="auto"/>
        <w:tabs>
          <w:tab w:leader="none" w:pos="17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BellRing Brands, Inc. will contribute the net proceeds it receives in this offering to BellRing Brands, LLC, in exchange for 30,000,000 BellRing Brands, LLC Units (which is equal to the number of shares of Class A common stock sold in this offering or 34,500,000 BellRing Brands, LLC Units if the underwriters exercise their over-allotment option in full);</w:t>
      </w:r>
    </w:p>
    <w:p>
      <w:pPr>
        <w:spacing w:after="0" w:line="70" w:lineRule="exact"/>
        <w:rPr>
          <w:rFonts w:ascii="Arial" w:cs="Arial" w:eastAsia="Arial" w:hAnsi="Arial"/>
          <w:sz w:val="17"/>
          <w:szCs w:val="17"/>
          <w:color w:val="auto"/>
        </w:rPr>
      </w:pPr>
    </w:p>
    <w:p>
      <w:pPr>
        <w:ind w:left="1740" w:hanging="408"/>
        <w:spacing w:after="0" w:line="259" w:lineRule="auto"/>
        <w:tabs>
          <w:tab w:leader="none" w:pos="1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Post, BellRing Brands, Inc., BellRing Brands, LLC and/or their respective subsidiaries will enter into (i) the employee matters agreement, (ii) the investor rights agreement, (iii) the tax matters agreement, (iv) the tax receivable agreement and (v) the master services agreement, each as described under “Certain Relationships and Related Party Transactions—Post-Offering Relationship with Post;” and</w:t>
      </w:r>
    </w:p>
    <w:p>
      <w:pPr>
        <w:spacing w:after="0" w:line="92" w:lineRule="exact"/>
        <w:rPr>
          <w:rFonts w:ascii="Arial" w:cs="Arial" w:eastAsia="Arial" w:hAnsi="Arial"/>
          <w:sz w:val="18"/>
          <w:szCs w:val="18"/>
          <w:color w:val="auto"/>
        </w:rPr>
      </w:pPr>
    </w:p>
    <w:p>
      <w:pPr>
        <w:ind w:left="1740" w:right="520" w:hanging="408"/>
        <w:spacing w:after="0" w:line="308" w:lineRule="auto"/>
        <w:tabs>
          <w:tab w:leader="none" w:pos="17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BellRing Brands, LLC will contribute all of the equity interests in Active Nutrition International and Premier Nutrition to Dymatize Enterprises, such that Dymatize Enterprises will be the direct holder of such equity interests.</w:t>
      </w:r>
    </w:p>
    <w:p>
      <w:pPr>
        <w:spacing w:after="0" w:line="147" w:lineRule="exact"/>
        <w:rPr>
          <w:sz w:val="20"/>
          <w:szCs w:val="20"/>
          <w:color w:val="auto"/>
        </w:rPr>
      </w:pPr>
    </w:p>
    <w:p>
      <w:pPr>
        <w:ind w:left="380" w:right="140" w:firstLine="426"/>
        <w:spacing w:after="0" w:line="264" w:lineRule="auto"/>
        <w:rPr>
          <w:sz w:val="20"/>
          <w:szCs w:val="20"/>
          <w:color w:val="auto"/>
        </w:rPr>
      </w:pPr>
      <w:r>
        <w:rPr>
          <w:rFonts w:ascii="Arial" w:cs="Arial" w:eastAsia="Arial" w:hAnsi="Arial"/>
          <w:sz w:val="18"/>
          <w:szCs w:val="18"/>
          <w:color w:val="auto"/>
        </w:rPr>
        <w:t>In this offering, BellRing Brands, Inc. will issue 30,000,000 shares of Class A common stock (or 34,500,000 shares if the underwriters exercise their over-allotment option in full) in exchange for net proceeds of approximately $486.8 million (or approximately $561.0 million if the underwriters exercise their over-allotment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240" w:top="459" w:right="6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042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02145" cy="59042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60"/>
        <w:spacing w:after="0" w:line="259" w:lineRule="auto"/>
        <w:rPr>
          <w:sz w:val="20"/>
          <w:szCs w:val="20"/>
          <w:color w:val="auto"/>
        </w:rPr>
      </w:pPr>
      <w:r>
        <w:rPr>
          <w:rFonts w:ascii="Arial" w:cs="Arial" w:eastAsia="Arial" w:hAnsi="Arial"/>
          <w:sz w:val="18"/>
          <w:szCs w:val="18"/>
          <w:color w:val="auto"/>
        </w:rPr>
        <w:t>option in full), assuming the shares are offered at $17.50 per share (the midpoint of the price range set forth on the cover page of this prospectus), after deducting underwriting discounts and commissions and offering expenses payable by us. In connection with this offering, BellRing Brands, Inc. will use all of the net proceeds from this offering to acquire a number of newly issued BellRing Brands, LLC Units from BellRing Brands, LLC equal to the number of shares of Class A common stock sold in this offering.</w:t>
      </w:r>
    </w:p>
    <w:p>
      <w:pPr>
        <w:spacing w:after="0" w:line="295" w:lineRule="exact"/>
        <w:rPr>
          <w:sz w:val="20"/>
          <w:szCs w:val="20"/>
          <w:color w:val="auto"/>
        </w:rPr>
      </w:pPr>
    </w:p>
    <w:p>
      <w:pPr>
        <w:ind w:left="820" w:right="3780"/>
        <w:spacing w:after="0" w:line="431" w:lineRule="auto"/>
        <w:rPr>
          <w:sz w:val="20"/>
          <w:szCs w:val="20"/>
          <w:color w:val="auto"/>
        </w:rPr>
      </w:pPr>
      <w:r>
        <w:rPr>
          <w:rFonts w:ascii="Arial" w:cs="Arial" w:eastAsia="Arial" w:hAnsi="Arial"/>
          <w:sz w:val="16"/>
          <w:szCs w:val="16"/>
          <w:b w:val="1"/>
          <w:bCs w:val="1"/>
          <w:i w:val="1"/>
          <w:iCs w:val="1"/>
          <w:color w:val="auto"/>
        </w:rPr>
        <w:t xml:space="preserve">Organizational Structure Following Formation Transactions and Offering </w:t>
      </w:r>
      <w:r>
        <w:rPr>
          <w:rFonts w:ascii="Arial" w:cs="Arial" w:eastAsia="Arial" w:hAnsi="Arial"/>
          <w:sz w:val="16"/>
          <w:szCs w:val="16"/>
          <w:color w:val="auto"/>
        </w:rPr>
        <w:t>Immediately following the consummation of the formation transactions and this offering:</w:t>
      </w:r>
    </w:p>
    <w:p>
      <w:pPr>
        <w:spacing w:after="0" w:line="1" w:lineRule="exact"/>
        <w:rPr>
          <w:sz w:val="20"/>
          <w:szCs w:val="20"/>
          <w:color w:val="auto"/>
        </w:rPr>
      </w:pPr>
    </w:p>
    <w:p>
      <w:pPr>
        <w:ind w:left="1320" w:hanging="515"/>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entities comprising Post’s Active Nutrition business will be direct or indirect subsidiaries of BellRing Brands, LLC.</w:t>
      </w:r>
    </w:p>
    <w:p>
      <w:pPr>
        <w:spacing w:after="0" w:line="130" w:lineRule="exact"/>
        <w:rPr>
          <w:rFonts w:ascii="Arial" w:cs="Arial" w:eastAsia="Arial" w:hAnsi="Arial"/>
          <w:sz w:val="18"/>
          <w:szCs w:val="18"/>
          <w:color w:val="auto"/>
        </w:rPr>
      </w:pPr>
    </w:p>
    <w:p>
      <w:pPr>
        <w:ind w:left="1320" w:right="480" w:hanging="515"/>
        <w:spacing w:after="0" w:line="264"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BellRing Brands, Inc. will be a holding company, will have no material assets other than BellRing Brands, Inc.’s ownership of BellRing Brands, LLC Units and its indirect interests in the subsidiaries of BellRing Brands, LLC and will have no independent means of generating revenue or cash flow.</w:t>
      </w:r>
    </w:p>
    <w:p>
      <w:pPr>
        <w:spacing w:after="0" w:line="86" w:lineRule="exact"/>
        <w:rPr>
          <w:rFonts w:ascii="Arial" w:cs="Arial" w:eastAsia="Arial" w:hAnsi="Arial"/>
          <w:sz w:val="18"/>
          <w:szCs w:val="18"/>
          <w:color w:val="auto"/>
        </w:rPr>
      </w:pPr>
    </w:p>
    <w:p>
      <w:pPr>
        <w:ind w:left="1320" w:hanging="515"/>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members of BellRing Brands, LLC will consist of Post and BellRing Brands, Inc.</w:t>
      </w:r>
    </w:p>
    <w:p>
      <w:pPr>
        <w:spacing w:after="0" w:line="130" w:lineRule="exact"/>
        <w:rPr>
          <w:rFonts w:ascii="Arial" w:cs="Arial" w:eastAsia="Arial" w:hAnsi="Arial"/>
          <w:sz w:val="18"/>
          <w:szCs w:val="18"/>
          <w:color w:val="auto"/>
        </w:rPr>
      </w:pPr>
    </w:p>
    <w:p>
      <w:pPr>
        <w:ind w:left="1320" w:right="80" w:hanging="515"/>
        <w:spacing w:after="0" w:line="302" w:lineRule="auto"/>
        <w:tabs>
          <w:tab w:leader="none" w:pos="1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BellRing Brands, LLC will be treated as a partnership for U.S. federal income tax purposes immediately after BellRing Brands, Inc.’s purchase of BellRing Brands, LLC Units in connection with this offering and, as such, will not itself generally be subject to U.S. federal income tax under current U.S. tax laws. Each member of BellRing Brands, LLC will be required to take into account for U.S. federal income tax purposes its distributive share of the items of income, gain, loss and deduction of BellRing Brands, LLC.</w:t>
      </w:r>
    </w:p>
    <w:p>
      <w:pPr>
        <w:spacing w:after="0" w:line="59" w:lineRule="exact"/>
        <w:rPr>
          <w:rFonts w:ascii="Arial" w:cs="Arial" w:eastAsia="Arial" w:hAnsi="Arial"/>
          <w:sz w:val="16"/>
          <w:szCs w:val="16"/>
          <w:color w:val="auto"/>
        </w:rPr>
      </w:pPr>
    </w:p>
    <w:p>
      <w:pPr>
        <w:ind w:left="1320" w:hanging="515"/>
        <w:spacing w:after="0" w:line="287" w:lineRule="auto"/>
        <w:tabs>
          <w:tab w:leader="none" w:pos="1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Post will hold 97,474,179 BellRing Brands, LLC Units, equal to 76.5% of the economic interest in BellRing Brands, LLC (or 73.9% if the underwriters exercise their over-allotment option in full) and one share of BellRing Brands, Inc. Class B common stock, which, for so long as Post or its affiliates (other than us) directly own more than 50% of the BellRing Brands, LLC Units, will represent 67% of the combined voting power of the common stock of BellRing Brands, Inc. as described in this prospectus. Subject to the terms of the amended and restated limited liability company agreement, Post may redeem BellRing Brands, LLC Units for, at BellRing Brands, LLC’s option (as determined by its Board of Managers), (i) shares of BellRing Brands, Inc. Class A common stock or (ii) cash (based on the market price of the shares of BellRing Brands, Inc. Class A common stock). The redemption of BellRing Brands, LLC Units for shares of Class A common stock will be at an initial redemption rate of one share of Class A common stock for one BellRing Brands, LLC Unit, subject to customary redemption rate adjustments for stock splits, stock dividends and reclassifications. The share of BellRing Brands, Inc. Class B common stock will be initially owned by Post and cannot be transferred except to affiliates of Post (other than us). We do not intend to list our Class B common stock on any stock exchange. See “Certain Relationships and Related Party Transactions—Post-Offering Relationship with Post—Amended and Restated Limited Liability Company Agreement.”</w:t>
      </w:r>
    </w:p>
    <w:p>
      <w:pPr>
        <w:spacing w:after="0" w:line="74" w:lineRule="exact"/>
        <w:rPr>
          <w:rFonts w:ascii="Arial" w:cs="Arial" w:eastAsia="Arial" w:hAnsi="Arial"/>
          <w:sz w:val="16"/>
          <w:szCs w:val="16"/>
          <w:color w:val="auto"/>
        </w:rPr>
      </w:pPr>
    </w:p>
    <w:p>
      <w:pPr>
        <w:ind w:left="1320" w:right="100" w:hanging="515"/>
        <w:spacing w:after="0" w:line="255"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purchasers in this offering (i) will own 30,000,000 shares of our Class A common stock (or 34,500,000 shares if the underwriters exercise their over-allotment option in full), which, for so long as Post or its affiliates (other than us) directly own more than 50% of the BellRing Brands, LLC Units, will represent 33% of the combined voting power of our common stock and 100% of the economic interest in BellRing Brands, Inc., and (ii) through BellRing Brands, Inc.’s ownership of BellRing Brands, LLC Units, indirectly will hold 23.5% of the economic interest in BellRing Brands, LLC (or 26.1% if the underwriters exercise their over-allotment option in full).</w:t>
      </w:r>
    </w:p>
    <w:p>
      <w:pPr>
        <w:spacing w:after="0" w:line="98" w:lineRule="exact"/>
        <w:rPr>
          <w:rFonts w:ascii="Arial" w:cs="Arial" w:eastAsia="Arial" w:hAnsi="Arial"/>
          <w:sz w:val="18"/>
          <w:szCs w:val="18"/>
          <w:color w:val="auto"/>
        </w:rPr>
      </w:pPr>
    </w:p>
    <w:p>
      <w:pPr>
        <w:ind w:left="1320" w:right="160" w:hanging="515"/>
        <w:spacing w:after="0" w:line="277"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BellRing Brands, Inc. and BellRing Brands, LLC will at all times maintain, subject to certain exceptions, a one-to-one ratio between the number of shares of Class A common stock issued by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24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4999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02145" cy="24999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40" w:right="180"/>
        <w:spacing w:after="0" w:line="264" w:lineRule="auto"/>
        <w:rPr>
          <w:sz w:val="20"/>
          <w:szCs w:val="20"/>
          <w:color w:val="auto"/>
        </w:rPr>
      </w:pPr>
      <w:r>
        <w:rPr>
          <w:rFonts w:ascii="Arial" w:cs="Arial" w:eastAsia="Arial" w:hAnsi="Arial"/>
          <w:sz w:val="18"/>
          <w:szCs w:val="18"/>
          <w:color w:val="auto"/>
        </w:rPr>
        <w:t>BellRing Brands, Inc. and the number of BellRing Brands, LLC Units owned by BellRing Brands, Inc. See “Certain Relationships and Related Party Transactions—Post-Offering Relationship with Post—Amended and Restated Limited Liability Company Agreement.”</w:t>
      </w:r>
    </w:p>
    <w:p>
      <w:pPr>
        <w:spacing w:after="0" w:line="87" w:lineRule="exact"/>
        <w:rPr>
          <w:sz w:val="20"/>
          <w:szCs w:val="20"/>
          <w:color w:val="auto"/>
        </w:rPr>
      </w:pPr>
    </w:p>
    <w:p>
      <w:pPr>
        <w:ind w:left="1320" w:hanging="515"/>
        <w:spacing w:after="0" w:line="253" w:lineRule="auto"/>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BellRing Brands, Inc. will hold the voting membership unit of BellRing Brands, LLC (which represents the power to appoint and remove the members of the Board of Managers of, and no economic interest in, BellRing Brands, LLC). BellRing Brands, Inc. will appoint the members of the BellRing Brands, LLC Board of Managers, and therefore, will control BellRing Brands, LLC. The Board of Managers will be responsible for the oversight of BellRing Brands, LLC’s operations and overall performance and strategy, while the management of the day-to-day operations of the business of BellRing Brands, LLC and the execution of business strategy will be the responsibility of the officers and employees of BellRing Brands, LLC and its subsidiaries. Post, in its capacity as a member of BellRing Brands, LLC, will have no power to appoint any members of the Board of Managers or voting rights with respect to BellRing Brands, LLC. Post will control BellRing Brands, Inc. through its ownership of the Class B common stock of BellRing Brands, Inc.</w:t>
      </w:r>
    </w:p>
    <w:p>
      <w:pPr>
        <w:spacing w:after="0" w:line="102" w:lineRule="exact"/>
        <w:rPr>
          <w:rFonts w:ascii="Arial" w:cs="Arial" w:eastAsia="Arial" w:hAnsi="Arial"/>
          <w:sz w:val="18"/>
          <w:szCs w:val="18"/>
          <w:color w:val="auto"/>
        </w:rPr>
      </w:pPr>
    </w:p>
    <w:p>
      <w:pPr>
        <w:jc w:val="both"/>
        <w:ind w:left="1320" w:right="60" w:hanging="515"/>
        <w:spacing w:after="0" w:line="286" w:lineRule="auto"/>
        <w:tabs>
          <w:tab w:leader="none" w:pos="1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financial results of BellRing Brands, LLC and its subsidiaries will be consolidated with BellRing Brands, Inc., and a portion of the consolidated net income (loss) will be allocated to the noncontrolling interest to reflect the entitlement of Post to a portion of the consolidated net income (loss). See “Unaudited Pro Forma Condensed Consolidated Financial Information.”</w:t>
      </w:r>
    </w:p>
    <w:p>
      <w:pPr>
        <w:spacing w:after="0" w:line="200" w:lineRule="exact"/>
        <w:rPr>
          <w:sz w:val="20"/>
          <w:szCs w:val="20"/>
          <w:color w:val="auto"/>
        </w:rPr>
      </w:pPr>
    </w:p>
    <w:p>
      <w:pPr>
        <w:spacing w:after="0" w:line="39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240" w:top="459" w:right="7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71989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02145" cy="71989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The following diagram shows our corporate structure immediately after completion of the formation transactions, this offering and the expected borrowings under the debt facilities described under “—Debt Financing Arrangements—Debt Facilities” and the application of the net proceeds of the offering and the debt facilities for the purposes described under “Use of Proceeds” (assuming an initial public offering price at the midpoint of the estimated offering price range set forth on the cover page of this prospectus and no exercise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Debt Financing Arrangements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Unrestricted Subsidiary Designation</w:t>
      </w:r>
    </w:p>
    <w:p>
      <w:pPr>
        <w:spacing w:after="0" w:line="117" w:lineRule="exact"/>
        <w:rPr>
          <w:sz w:val="20"/>
          <w:szCs w:val="20"/>
          <w:color w:val="auto"/>
        </w:rPr>
      </w:pPr>
    </w:p>
    <w:p>
      <w:pPr>
        <w:ind w:left="380" w:right="200" w:firstLine="426"/>
        <w:spacing w:after="0" w:line="259" w:lineRule="auto"/>
        <w:rPr>
          <w:sz w:val="20"/>
          <w:szCs w:val="20"/>
          <w:color w:val="auto"/>
        </w:rPr>
      </w:pPr>
      <w:r>
        <w:rPr>
          <w:rFonts w:ascii="Arial" w:cs="Arial" w:eastAsia="Arial" w:hAnsi="Arial"/>
          <w:sz w:val="18"/>
          <w:szCs w:val="18"/>
          <w:color w:val="auto"/>
        </w:rPr>
        <w:t>As part of the formation transactions and this offering, BellRing Brands, Inc. and its subsidiaries will be designated “unrestricted subsidiaries” under Post’s senior note indentures and secured credit facility (meaning that they will not be guarantors of Post’s senior notes or secured credit facility or subject to the covenants under Post’s senior note indentures or secured credit facility), and any of such entities that are guarantors under Post’s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240" w:top="459" w:right="7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420"/>
        <w:spacing w:after="0" w:line="286" w:lineRule="auto"/>
        <w:rPr>
          <w:sz w:val="20"/>
          <w:szCs w:val="20"/>
          <w:color w:val="auto"/>
        </w:rPr>
      </w:pPr>
      <w:r>
        <w:rPr>
          <w:rFonts w:ascii="Arial" w:cs="Arial" w:eastAsia="Arial" w:hAnsi="Arial"/>
          <w:sz w:val="17"/>
          <w:szCs w:val="17"/>
          <w:color w:val="auto"/>
        </w:rPr>
        <w:t>secured credit facility will be released, as guarantors, the liens on their assets also will be released and the liens on any of their shares or other equity interests will be released. Thereafter, none of the assets of any such entities or their equity interests, including equity interests in their subsidiaries, will be pledged to secure Post’s debt, and they will not guarantee any of Post’s debt.</w:t>
      </w:r>
    </w:p>
    <w:p>
      <w:pPr>
        <w:spacing w:after="0" w:line="27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Post Bridge Loan</w:t>
      </w:r>
    </w:p>
    <w:p>
      <w:pPr>
        <w:spacing w:after="0" w:line="117" w:lineRule="exact"/>
        <w:rPr>
          <w:sz w:val="20"/>
          <w:szCs w:val="20"/>
          <w:color w:val="auto"/>
        </w:rPr>
      </w:pPr>
    </w:p>
    <w:p>
      <w:pPr>
        <w:ind w:left="380" w:right="20" w:firstLine="426"/>
        <w:spacing w:after="0" w:line="289" w:lineRule="auto"/>
        <w:rPr>
          <w:sz w:val="20"/>
          <w:szCs w:val="20"/>
          <w:color w:val="auto"/>
        </w:rPr>
      </w:pPr>
      <w:r>
        <w:rPr>
          <w:rFonts w:ascii="Arial" w:cs="Arial" w:eastAsia="Arial" w:hAnsi="Arial"/>
          <w:sz w:val="16"/>
          <w:szCs w:val="16"/>
          <w:color w:val="auto"/>
        </w:rPr>
        <w:t>Prior to the completion of this offering, Post will borrow $1,309.5 million under an unsecured bridge loan (which we refer to as the “Post bridge loan”) pursuant to a bridge facility agreement that Post and certain of its subsidiaries as guarantors (other than BellRing Brands, Inc., but including BellRing Brands, LLC and its domestic subsidiaries) will enter into with various financial institutions, including certain affiliates of the underwriters in this offering. The Post bridge loan will bear interest at a rate per annum equal to (i) for the period from and including October 11, 2019 to but excluding October 21, 2019, the Eurodollar Rate (as such term is defined in the bridge facility agreement) plus 450 basis points, (ii) for the period from and including October 21, 2019 to but excluding October 25, 2019, the Eurodollar Rate plus 500 basis points, (iii) for the period from and including October 25, 2019 to but excluding February 8, 2020, 12.00% and (iv) for the period from and including February 8, 2020 to but excluding the maturity date, 12.25%. Payments of interest on the Post bridge loan are due on October 21, 2019, October 25, 2019, December 31, 2019 and the last day of each quarter thereafter. The Post bridge loan will mature on August 23, 2024.</w:t>
      </w:r>
    </w:p>
    <w:p>
      <w:pPr>
        <w:spacing w:after="0" w:line="167" w:lineRule="exact"/>
        <w:rPr>
          <w:sz w:val="20"/>
          <w:szCs w:val="20"/>
          <w:color w:val="auto"/>
        </w:rPr>
      </w:pPr>
    </w:p>
    <w:p>
      <w:pPr>
        <w:ind w:left="380" w:firstLine="426"/>
        <w:spacing w:after="0" w:line="253" w:lineRule="auto"/>
        <w:rPr>
          <w:sz w:val="20"/>
          <w:szCs w:val="20"/>
          <w:color w:val="auto"/>
        </w:rPr>
      </w:pPr>
      <w:r>
        <w:rPr>
          <w:rFonts w:ascii="Arial" w:cs="Arial" w:eastAsia="Arial" w:hAnsi="Arial"/>
          <w:sz w:val="18"/>
          <w:szCs w:val="18"/>
          <w:color w:val="auto"/>
        </w:rPr>
        <w:t>On the same day this offering is completed, BellRing Brands, LLC will enter into an assignment and assumption agreement with Post and the administrative agent (on behalf of the lenders) under the Post bridge loan pursuant to which (i) BellRing Brands, LLC will become the borrower under the Post bridge loan, and Post and its subsidiary guarantors (which will not include BellRing Brands, LLC or its domestic subsidiaries) will be released from their respective obligations thereunder, (ii) the domestic subsidiaries of BellRing Brands, LLC will continue to guarantee the Post bridge loan and (iii) BellRing Brands, LLC’s obligations under the Post bridge loan will become secured by a first priority security interest in substantially all of the assets of BellRing Brands, LLC and in substantially all of the assets of its subsidiary guarantors. Post will retain the net cash proceeds of the Post bridge loan. It is expected that the Post bridge loan will be repaid in full with the proceeds of this offering and the net proceeds of BellRing Brands, LLC’s borrowings under the debt facilities described below under “—Debt Facilities.” See “Description of Certain Indebtedness.”</w:t>
      </w:r>
    </w:p>
    <w:p>
      <w:pPr>
        <w:spacing w:after="0" w:line="30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Debt Facilities</w:t>
      </w:r>
    </w:p>
    <w:p>
      <w:pPr>
        <w:spacing w:after="0" w:line="117" w:lineRule="exact"/>
        <w:rPr>
          <w:sz w:val="20"/>
          <w:szCs w:val="20"/>
          <w:color w:val="auto"/>
        </w:rPr>
      </w:pPr>
    </w:p>
    <w:p>
      <w:pPr>
        <w:ind w:left="380" w:right="240" w:firstLine="426"/>
        <w:spacing w:after="0" w:line="274" w:lineRule="auto"/>
        <w:rPr>
          <w:sz w:val="20"/>
          <w:szCs w:val="20"/>
          <w:color w:val="auto"/>
        </w:rPr>
      </w:pPr>
      <w:r>
        <w:rPr>
          <w:rFonts w:ascii="Arial" w:cs="Arial" w:eastAsia="Arial" w:hAnsi="Arial"/>
          <w:sz w:val="17"/>
          <w:szCs w:val="17"/>
          <w:color w:val="auto"/>
        </w:rPr>
        <w:t>Immediately after the completion of the formation transactions and the completion of this offering, BellRing Brands, LLC expects to enter into debt facilities consisting of a revolving credit facility with approximately $200.0 million borrowing capacity and an approximately</w:t>
      </w:r>
    </w:p>
    <w:p>
      <w:pPr>
        <w:ind w:left="380" w:right="20"/>
        <w:spacing w:after="0" w:line="287" w:lineRule="auto"/>
        <w:rPr>
          <w:sz w:val="20"/>
          <w:szCs w:val="20"/>
          <w:color w:val="auto"/>
        </w:rPr>
      </w:pPr>
      <w:r>
        <w:rPr>
          <w:rFonts w:ascii="Arial" w:cs="Arial" w:eastAsia="Arial" w:hAnsi="Arial"/>
          <w:sz w:val="16"/>
          <w:szCs w:val="16"/>
          <w:color w:val="auto"/>
        </w:rPr>
        <w:t>$820.0 million term loan facility (which we refer to collectively as the “debt facilities”) and use the proceeds of the borrowings thereunder to repay the remaining balance of the Post bridge loan and all interest thereunder, and for the other purposes described under “Use of Proceeds.”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We anticipate that BellRing Brands, LLC, if its Board of Managers determines to borrow under the debt facilities, will borrow approximately $820.0 million under the term loan facility and approximately $30.0 million under the revolving credit facility and receive net proceeds of approximately $6.1 million, after deducting fees and expenses, repayment of the remaining portion of the Post bridge loan and related interest and repayment of cash and cash equivalents to Post.</w:t>
      </w:r>
    </w:p>
    <w:p>
      <w:pPr>
        <w:spacing w:after="0" w:line="170" w:lineRule="exact"/>
        <w:rPr>
          <w:sz w:val="20"/>
          <w:szCs w:val="20"/>
          <w:color w:val="auto"/>
        </w:rPr>
      </w:pPr>
    </w:p>
    <w:p>
      <w:pPr>
        <w:ind w:left="380" w:right="20" w:firstLine="426"/>
        <w:spacing w:after="0" w:line="312" w:lineRule="auto"/>
        <w:rPr>
          <w:sz w:val="20"/>
          <w:szCs w:val="20"/>
          <w:color w:val="auto"/>
        </w:rPr>
      </w:pPr>
      <w:r>
        <w:rPr>
          <w:rFonts w:ascii="Arial" w:cs="Arial" w:eastAsia="Arial" w:hAnsi="Arial"/>
          <w:sz w:val="16"/>
          <w:szCs w:val="16"/>
          <w:color w:val="auto"/>
        </w:rPr>
        <w:t>We expect that the revolving credit facility also will be available for working capital and for general corporate purposes (including acquisitions) and that a portion of the revolving credit facility will be available for letters of credit. The debt facilities also may include incremental revolving and term loan facilities at our request and at the discretion of the lenders, on terms to be agreed upon with such lenders.</w:t>
      </w:r>
    </w:p>
    <w:p>
      <w:pPr>
        <w:spacing w:after="0" w:line="200" w:lineRule="exact"/>
        <w:rPr>
          <w:sz w:val="20"/>
          <w:szCs w:val="20"/>
          <w:color w:val="auto"/>
        </w:rPr>
      </w:pPr>
    </w:p>
    <w:p>
      <w:pPr>
        <w:spacing w:after="0" w:line="37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240" w:top="459" w:right="6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442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02145" cy="6144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We expect that the BellRing Brands, LLC obligations under the debt facilities will be unconditionally guaranteed by its existing and subsequently acquired or organized domestic subsidiaries (other than immaterial subsidiaries) and that the debt facilities will be secured by security interests on substantially all of the assets of BellRing Brands, LLC and the assets of its subsidiary guarantors, subject to limited exceptions. BellRing Brands, Inc. will not be an obligor or guarantor under the debt facilities, nor will BellRing Brands, Inc. pledge its BellRing Brands, LLC Units as collateral. See “Description of Certain Indebtedness.”</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Relationship with Post</w:t>
      </w:r>
    </w:p>
    <w:p>
      <w:pPr>
        <w:spacing w:after="0" w:line="121" w:lineRule="exact"/>
        <w:rPr>
          <w:sz w:val="20"/>
          <w:szCs w:val="20"/>
          <w:color w:val="auto"/>
        </w:rPr>
      </w:pPr>
    </w:p>
    <w:p>
      <w:pPr>
        <w:ind w:left="380" w:firstLine="426"/>
        <w:spacing w:after="0" w:line="293" w:lineRule="auto"/>
        <w:rPr>
          <w:sz w:val="20"/>
          <w:szCs w:val="20"/>
          <w:color w:val="auto"/>
        </w:rPr>
      </w:pPr>
      <w:r>
        <w:rPr>
          <w:rFonts w:ascii="Arial" w:cs="Arial" w:eastAsia="Arial" w:hAnsi="Arial"/>
          <w:sz w:val="16"/>
          <w:szCs w:val="16"/>
          <w:color w:val="auto"/>
        </w:rPr>
        <w:t>BellRing Brands, Inc. is currently a wholly-owned subsidiary of Post. After the consummation of the formation transactions and this offering, Post will own one share of our Class B common stock and, for so long as Post or its affiliates (other than us) directly own more than 50% of the BellRing Brands, LLC Units as described in this prospectus, will control 67% of the combined voting power of our outstanding common stock. Post will control any action requiring the general approval of our stockholders, including the election of our Board of Directors, the adoption of certain amendments to our amended and restated certificate of incorporation and our amended and restated bylaws and the approval of any merger or sale of substantially all of our assets. We do not currently expect to rely on the “controlled company” exemptions of the NYSE.</w:t>
      </w:r>
    </w:p>
    <w:p>
      <w:pPr>
        <w:spacing w:after="0" w:line="165" w:lineRule="exact"/>
        <w:rPr>
          <w:sz w:val="20"/>
          <w:szCs w:val="20"/>
          <w:color w:val="auto"/>
        </w:rPr>
      </w:pPr>
    </w:p>
    <w:p>
      <w:pPr>
        <w:ind w:left="380" w:right="100" w:firstLine="426"/>
        <w:spacing w:after="0" w:line="264" w:lineRule="auto"/>
        <w:rPr>
          <w:sz w:val="20"/>
          <w:szCs w:val="20"/>
          <w:color w:val="auto"/>
        </w:rPr>
      </w:pPr>
      <w:r>
        <w:rPr>
          <w:rFonts w:ascii="Arial" w:cs="Arial" w:eastAsia="Arial" w:hAnsi="Arial"/>
          <w:sz w:val="18"/>
          <w:szCs w:val="18"/>
          <w:color w:val="auto"/>
        </w:rPr>
        <w:t>Post will receive the net proceeds of the Post bridge loan, estimated to be approximately $1,306.2 million after deducting fees and expenses, which it expects to use to repay a portion of its existing debt. Neither BellRing Brands, Inc. nor BellRing Brands, LLC will receive any of the proceeds of the Post bridge loan.</w:t>
      </w:r>
    </w:p>
    <w:p>
      <w:pPr>
        <w:spacing w:after="0" w:line="181" w:lineRule="exact"/>
        <w:rPr>
          <w:sz w:val="20"/>
          <w:szCs w:val="20"/>
          <w:color w:val="auto"/>
        </w:rPr>
      </w:pPr>
    </w:p>
    <w:p>
      <w:pPr>
        <w:jc w:val="both"/>
        <w:ind w:left="380" w:right="100" w:firstLine="426"/>
        <w:spacing w:after="0" w:line="291" w:lineRule="auto"/>
        <w:rPr>
          <w:sz w:val="20"/>
          <w:szCs w:val="20"/>
          <w:color w:val="auto"/>
        </w:rPr>
      </w:pPr>
      <w:r>
        <w:rPr>
          <w:rFonts w:ascii="Arial" w:cs="Arial" w:eastAsia="Arial" w:hAnsi="Arial"/>
          <w:sz w:val="16"/>
          <w:szCs w:val="16"/>
          <w:color w:val="auto"/>
        </w:rPr>
        <w:t>On the same date that this offering is completed, Post, BellRing Brands, Inc., BellRing Brands, LLC and/or their respective subsidiaries will enter into (i) the employee matters agreement, (ii) the investor rights agreement, (iii) the tax receivable agreement, (iv) the tax matters agreement,</w:t>
      </w:r>
    </w:p>
    <w:p>
      <w:pPr>
        <w:ind w:left="380" w:right="620" w:firstLine="6"/>
        <w:spacing w:after="0" w:line="261"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amended and restated limited liability company agreement and (vi) the master services agreement, each as described under “Certain Relationships and Related Party Transactions—Post-Offering Relationship with Post.”</w:t>
      </w:r>
    </w:p>
    <w:p>
      <w:pPr>
        <w:spacing w:after="0" w:line="2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 Developments—Preliminary Fourth Quarter Net Sales</w:t>
      </w:r>
    </w:p>
    <w:p>
      <w:pPr>
        <w:spacing w:after="0" w:line="121" w:lineRule="exact"/>
        <w:rPr>
          <w:sz w:val="20"/>
          <w:szCs w:val="20"/>
          <w:color w:val="auto"/>
        </w:rPr>
      </w:pPr>
    </w:p>
    <w:p>
      <w:pPr>
        <w:ind w:left="380" w:right="740" w:firstLine="426"/>
        <w:spacing w:after="0" w:line="277" w:lineRule="auto"/>
        <w:rPr>
          <w:sz w:val="20"/>
          <w:szCs w:val="20"/>
          <w:color w:val="auto"/>
        </w:rPr>
      </w:pPr>
      <w:r>
        <w:rPr>
          <w:rFonts w:ascii="Arial" w:cs="Arial" w:eastAsia="Arial" w:hAnsi="Arial"/>
          <w:sz w:val="18"/>
          <w:szCs w:val="18"/>
          <w:color w:val="auto"/>
        </w:rPr>
        <w:t>Our preliminary estimate of net sales for our fiscal quarter and fiscal year ended September 30, 2019 is between $211.0 million and $217.0 million and between $850.9 million and $856.9 million, respectively.</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Net sales trends for the quarter ended September 30, 2019 are expected to be impacted by the following:</w:t>
      </w:r>
    </w:p>
    <w:p>
      <w:pPr>
        <w:spacing w:after="0" w:line="131" w:lineRule="exact"/>
        <w:rPr>
          <w:sz w:val="20"/>
          <w:szCs w:val="20"/>
          <w:color w:val="auto"/>
        </w:rPr>
      </w:pPr>
    </w:p>
    <w:p>
      <w:pPr>
        <w:ind w:left="1320" w:right="140" w:hanging="515"/>
        <w:spacing w:after="0" w:line="264" w:lineRule="auto"/>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fourth quarter of fiscal 2019 was negatively impacted by approximately $15 million of net sales associated with the request for early delivery of product made by a large customer to support promotional activity in the third quarter of fiscal 2019, as compared to comparable delivery in the fourth quarter of fiscal 2018.</w:t>
      </w:r>
    </w:p>
    <w:p>
      <w:pPr>
        <w:spacing w:after="0" w:line="86" w:lineRule="exact"/>
        <w:rPr>
          <w:rFonts w:ascii="Arial" w:cs="Arial" w:eastAsia="Arial" w:hAnsi="Arial"/>
          <w:sz w:val="18"/>
          <w:szCs w:val="18"/>
          <w:color w:val="auto"/>
        </w:rPr>
      </w:pPr>
    </w:p>
    <w:p>
      <w:pPr>
        <w:ind w:left="1320" w:right="520" w:hanging="515"/>
        <w:spacing w:after="0" w:line="277" w:lineRule="auto"/>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sales of nutrition bars in North America are estimated to be lower primarily driven by distribution losses and strategic sales reductions of low performing products within our portfolio.</w:t>
      </w:r>
    </w:p>
    <w:p>
      <w:pPr>
        <w:spacing w:after="0" w:line="75" w:lineRule="exact"/>
        <w:rPr>
          <w:rFonts w:ascii="Arial" w:cs="Arial" w:eastAsia="Arial" w:hAnsi="Arial"/>
          <w:sz w:val="18"/>
          <w:szCs w:val="18"/>
          <w:color w:val="auto"/>
        </w:rPr>
      </w:pPr>
    </w:p>
    <w:p>
      <w:pPr>
        <w:ind w:left="1320" w:right="140" w:hanging="515"/>
        <w:spacing w:after="0" w:line="264" w:lineRule="auto"/>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reclassification of certain payments to customers from selling expenses to net sales in the three months ended September 30, 2019, in connection with the adoption of Accounting Standards Update (“ASU”) 2014-09, “Revenue from Contracts with Customers (Topic 606).”</w:t>
      </w:r>
    </w:p>
    <w:p>
      <w:pPr>
        <w:spacing w:after="0" w:line="181" w:lineRule="exact"/>
        <w:rPr>
          <w:sz w:val="20"/>
          <w:szCs w:val="20"/>
          <w:color w:val="auto"/>
        </w:rPr>
      </w:pPr>
    </w:p>
    <w:p>
      <w:pPr>
        <w:ind w:left="380" w:right="340" w:firstLine="426"/>
        <w:spacing w:after="0" w:line="277" w:lineRule="auto"/>
        <w:rPr>
          <w:sz w:val="20"/>
          <w:szCs w:val="20"/>
          <w:color w:val="auto"/>
        </w:rPr>
      </w:pPr>
      <w:r>
        <w:rPr>
          <w:rFonts w:ascii="Arial" w:cs="Arial" w:eastAsia="Arial" w:hAnsi="Arial"/>
          <w:sz w:val="18"/>
          <w:szCs w:val="18"/>
          <w:color w:val="auto"/>
        </w:rPr>
        <w:t xml:space="preserve">Based on Nielsen Total US xAOC including Convenience data for the 13 week period ended August 24, 2019, dollar consumption of our </w:t>
      </w:r>
      <w:r>
        <w:rPr>
          <w:rFonts w:ascii="Arial" w:cs="Arial" w:eastAsia="Arial" w:hAnsi="Arial"/>
          <w:sz w:val="18"/>
          <w:szCs w:val="18"/>
          <w:i w:val="1"/>
          <w:iCs w:val="1"/>
          <w:color w:val="auto"/>
        </w:rPr>
        <w:t xml:space="preserve">Premier Protein </w:t>
      </w:r>
      <w:r>
        <w:rPr>
          <w:rFonts w:ascii="Arial" w:cs="Arial" w:eastAsia="Arial" w:hAnsi="Arial"/>
          <w:sz w:val="18"/>
          <w:szCs w:val="18"/>
          <w:color w:val="auto"/>
        </w:rPr>
        <w:t>RTD shakes increased 13% compared to the same period a year ago.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240" w:top="459" w:right="6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702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02145" cy="6170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firstLine="426"/>
        <w:spacing w:after="0" w:line="270" w:lineRule="auto"/>
        <w:rPr>
          <w:sz w:val="20"/>
          <w:szCs w:val="20"/>
          <w:color w:val="auto"/>
        </w:rPr>
      </w:pPr>
      <w:r>
        <w:rPr>
          <w:rFonts w:ascii="Arial" w:cs="Arial" w:eastAsia="Arial" w:hAnsi="Arial"/>
          <w:sz w:val="17"/>
          <w:szCs w:val="17"/>
          <w:color w:val="auto"/>
        </w:rPr>
        <w:t>We have provided a range for our current preliminary unaudited estimates of net sales because they are subject to the completion of financial closing procedures, final adjustments and other developments that may arise between now and the time the financial results for our fiscal quarter and fiscal year ended September 30, 2019 are finalized. Actual net sales may differ materially from these estimates, and the preliminary estimates are subject to change. While we are currently unaware of any items that would require us to make adjustments to the ranges of net sales set forth above, it is possible that we or our independent registered public accounting firm may identify such items as we complete our financial statements for our fiscal quarter and fiscal year ended September 30, 2019. In addition, the presentation of our preliminary unaudited estimates set forth above is not intended to imply that actual results could not fall outside of the estimated ranges, and our preliminary unaudited estimates of net sales are not necessarily indicative of similar operating results for any future periods. Further, our preliminary unaudited estimates of net sales for our fiscal quarter and fiscal year ended September 30, 2019 have been prepared by our management based only upon information available to them as of the date hereof.</w:t>
      </w:r>
    </w:p>
    <w:p>
      <w:pPr>
        <w:spacing w:after="0" w:line="178" w:lineRule="exact"/>
        <w:rPr>
          <w:sz w:val="20"/>
          <w:szCs w:val="20"/>
          <w:color w:val="auto"/>
        </w:rPr>
      </w:pPr>
    </w:p>
    <w:p>
      <w:pPr>
        <w:ind w:left="380" w:right="320" w:firstLine="426"/>
        <w:spacing w:after="0" w:line="259" w:lineRule="auto"/>
        <w:rPr>
          <w:sz w:val="20"/>
          <w:szCs w:val="20"/>
          <w:color w:val="auto"/>
        </w:rPr>
      </w:pPr>
      <w:r>
        <w:rPr>
          <w:rFonts w:ascii="Arial" w:cs="Arial" w:eastAsia="Arial" w:hAnsi="Arial"/>
          <w:sz w:val="18"/>
          <w:szCs w:val="18"/>
          <w:color w:val="auto"/>
        </w:rPr>
        <w:t>The preliminary financial data included in this registration statement has been prepared by, and is the responsibility of, BellRing Brands, Inc.’s management. PricewaterhouseCoopers LLP has not audited, reviewed, compiled or applied agreed-upon procedures with respect to the preliminary financial data. Accordingly, PricewaterhouseCoopers LLP does not express an opinion or any other form of assurance with respect thereto.</w:t>
      </w:r>
    </w:p>
    <w:p>
      <w:pPr>
        <w:spacing w:after="0" w:line="79"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Accordingly, undue reliance should not be placed on the preliminary estimates set forth above. The preliminary estimates set forth above should be read together with “Risk Factors,” “Cautionary Statement Regarding Forward-Looking Statements,” “Selected Financial Data,” “Management’s Discussion and Analysis of Financial Condition and Results of Operations” and our financial statements and related notes included elsewhere in this prospectus.</w:t>
      </w:r>
    </w:p>
    <w:p>
      <w:pPr>
        <w:spacing w:after="0" w:line="39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380" w:right="460" w:firstLine="426"/>
        <w:spacing w:after="0" w:line="264" w:lineRule="auto"/>
        <w:rPr>
          <w:sz w:val="20"/>
          <w:szCs w:val="20"/>
          <w:color w:val="auto"/>
        </w:rPr>
      </w:pPr>
      <w:r>
        <w:rPr>
          <w:rFonts w:ascii="Arial" w:cs="Arial" w:eastAsia="Arial" w:hAnsi="Arial"/>
          <w:sz w:val="18"/>
          <w:szCs w:val="18"/>
          <w:color w:val="auto"/>
        </w:rPr>
        <w:t>As a company with less than $1.07 billion in gross revenue during our last fiscal year, we qualify as an “emerging growth company” as defined in the Jumpstart Our Business Startups Act of 2012 (the “JOBS Act”). We will continue to be an emerging growth company until the earliest to occur of:</w:t>
      </w:r>
    </w:p>
    <w:p>
      <w:pPr>
        <w:spacing w:after="0" w:line="87" w:lineRule="exact"/>
        <w:rPr>
          <w:sz w:val="20"/>
          <w:szCs w:val="20"/>
          <w:color w:val="auto"/>
        </w:rPr>
      </w:pPr>
    </w:p>
    <w:p>
      <w:pPr>
        <w:ind w:left="1320" w:hanging="515"/>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w:t>
      </w:r>
    </w:p>
    <w:p>
      <w:pPr>
        <w:spacing w:after="0" w:line="130" w:lineRule="exact"/>
        <w:rPr>
          <w:rFonts w:ascii="Arial" w:cs="Arial" w:eastAsia="Arial" w:hAnsi="Arial"/>
          <w:sz w:val="18"/>
          <w:szCs w:val="18"/>
          <w:color w:val="auto"/>
        </w:rPr>
      </w:pPr>
    </w:p>
    <w:p>
      <w:pPr>
        <w:ind w:left="1320" w:hanging="515"/>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gross revenue;</w:t>
      </w:r>
    </w:p>
    <w:p>
      <w:pPr>
        <w:spacing w:after="0" w:line="130" w:lineRule="exact"/>
        <w:rPr>
          <w:rFonts w:ascii="Arial" w:cs="Arial" w:eastAsia="Arial" w:hAnsi="Arial"/>
          <w:sz w:val="18"/>
          <w:szCs w:val="18"/>
          <w:color w:val="auto"/>
        </w:rPr>
      </w:pPr>
    </w:p>
    <w:p>
      <w:pPr>
        <w:ind w:left="1320" w:right="20" w:hanging="515"/>
        <w:spacing w:after="0" w:line="312" w:lineRule="auto"/>
        <w:tabs>
          <w:tab w:leader="none" w:pos="1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last day of the fiscal year in which we are deemed to be a “large accelerated filer” as defined in Rule 12b-2 under the Securities Exchange Act of 1934, as amended (the “Exchange Act”), which would occur if the market value of our common stock that is held by non-affiliates exceeds $700.0 million as of the prior March 31 and we have been publicly reporting for at least 12 months; or</w:t>
      </w:r>
    </w:p>
    <w:p>
      <w:pPr>
        <w:spacing w:after="0" w:line="52" w:lineRule="exact"/>
        <w:rPr>
          <w:rFonts w:ascii="Arial" w:cs="Arial" w:eastAsia="Arial" w:hAnsi="Arial"/>
          <w:sz w:val="16"/>
          <w:szCs w:val="16"/>
          <w:color w:val="auto"/>
        </w:rPr>
      </w:pPr>
    </w:p>
    <w:p>
      <w:pPr>
        <w:ind w:left="1320" w:hanging="515"/>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of non-convertible debt during the prior three-year period.</w:t>
      </w:r>
    </w:p>
    <w:p>
      <w:pPr>
        <w:spacing w:after="0" w:line="225" w:lineRule="exact"/>
        <w:rPr>
          <w:sz w:val="20"/>
          <w:szCs w:val="20"/>
          <w:color w:val="auto"/>
        </w:rPr>
      </w:pPr>
    </w:p>
    <w:p>
      <w:pPr>
        <w:jc w:val="both"/>
        <w:ind w:left="380" w:right="60" w:firstLine="426"/>
        <w:spacing w:after="0" w:line="264" w:lineRule="auto"/>
        <w:rPr>
          <w:sz w:val="20"/>
          <w:szCs w:val="20"/>
          <w:color w:val="auto"/>
        </w:rPr>
      </w:pPr>
      <w:r>
        <w:rPr>
          <w:rFonts w:ascii="Arial" w:cs="Arial" w:eastAsia="Arial" w:hAnsi="Arial"/>
          <w:sz w:val="18"/>
          <w:szCs w:val="18"/>
          <w:color w:val="auto"/>
        </w:rPr>
        <w:t>For so long as we remain an emerging growth company, we are permitted and currently intend to rely on various provisions of the JOBS Act that contain exceptions from disclosure and other requirements that otherwise are applicable to companies that conduct initial public offerings and file periodic reports with the SEC. These JOBS Act provisions:</w:t>
      </w:r>
    </w:p>
    <w:p>
      <w:pPr>
        <w:spacing w:after="0" w:line="87" w:lineRule="exact"/>
        <w:rPr>
          <w:sz w:val="20"/>
          <w:szCs w:val="20"/>
          <w:color w:val="auto"/>
        </w:rPr>
      </w:pPr>
    </w:p>
    <w:p>
      <w:pPr>
        <w:ind w:left="1320" w:hanging="515"/>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permit us to include less than five years of selected financial data in this prospectus;</w:t>
      </w:r>
    </w:p>
    <w:p>
      <w:pPr>
        <w:spacing w:after="0" w:line="130" w:lineRule="exact"/>
        <w:rPr>
          <w:rFonts w:ascii="Arial" w:cs="Arial" w:eastAsia="Arial" w:hAnsi="Arial"/>
          <w:sz w:val="18"/>
          <w:szCs w:val="18"/>
          <w:color w:val="auto"/>
        </w:rPr>
      </w:pPr>
    </w:p>
    <w:p>
      <w:pPr>
        <w:ind w:left="1320" w:right="460" w:hanging="515"/>
        <w:spacing w:after="0" w:line="277" w:lineRule="auto"/>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permit us to include reduced disclosure regarding our executive compensation in this prospectus and our SEC filings as a public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240" w:top="459" w:right="6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2837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02145" cy="42837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20" w:right="240" w:hanging="515"/>
        <w:spacing w:after="0" w:line="277" w:lineRule="auto"/>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an exemption from the independent public accountant attestation requirement in the assessment of our internal control over financial reporting under the Sarbanes-Oxley Act of 2002 (the “Sarbanes-Oxley Act”);</w:t>
      </w:r>
    </w:p>
    <w:p>
      <w:pPr>
        <w:spacing w:after="0" w:line="75" w:lineRule="exact"/>
        <w:rPr>
          <w:rFonts w:ascii="Arial" w:cs="Arial" w:eastAsia="Arial" w:hAnsi="Arial"/>
          <w:sz w:val="18"/>
          <w:szCs w:val="18"/>
          <w:color w:val="auto"/>
        </w:rPr>
      </w:pPr>
    </w:p>
    <w:p>
      <w:pPr>
        <w:ind w:left="1320" w:right="60" w:hanging="515"/>
        <w:spacing w:after="0" w:line="264" w:lineRule="auto"/>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an exemption from compliance with any new requirements adopted by the Public Company Accounting Oversight Board (the “PCAOB”) requiring mandatory audit firm rotation or a supplement to our auditor’s report in which the auditor would be required to provide additional information about the audit and our financial statements; and</w:t>
      </w:r>
    </w:p>
    <w:p>
      <w:pPr>
        <w:spacing w:after="0" w:line="86" w:lineRule="exact"/>
        <w:rPr>
          <w:rFonts w:ascii="Arial" w:cs="Arial" w:eastAsia="Arial" w:hAnsi="Arial"/>
          <w:sz w:val="18"/>
          <w:szCs w:val="18"/>
          <w:color w:val="auto"/>
        </w:rPr>
      </w:pPr>
    </w:p>
    <w:p>
      <w:pPr>
        <w:ind w:left="1320" w:right="40" w:hanging="515"/>
        <w:spacing w:after="0" w:line="277" w:lineRule="auto"/>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an exemption from the requirement to hold non-binding stockholder advisory votes on executive compensation and on golden parachute arrangements not previously approved.</w:t>
      </w:r>
    </w:p>
    <w:p>
      <w:pPr>
        <w:spacing w:after="0" w:line="170" w:lineRule="exact"/>
        <w:rPr>
          <w:sz w:val="20"/>
          <w:szCs w:val="20"/>
          <w:color w:val="auto"/>
        </w:rPr>
      </w:pPr>
    </w:p>
    <w:p>
      <w:pPr>
        <w:ind w:left="380" w:right="160" w:firstLine="426"/>
        <w:spacing w:after="0" w:line="259" w:lineRule="auto"/>
        <w:rPr>
          <w:sz w:val="20"/>
          <w:szCs w:val="20"/>
          <w:color w:val="auto"/>
        </w:rPr>
      </w:pPr>
      <w:r>
        <w:rPr>
          <w:rFonts w:ascii="Arial" w:cs="Arial" w:eastAsia="Arial" w:hAnsi="Arial"/>
          <w:sz w:val="18"/>
          <w:szCs w:val="18"/>
          <w:color w:val="auto"/>
        </w:rPr>
        <w:t>We have elected to take advantage of certain of the reduced disclosure obligations in this prospectus and the registration statement of which this prospectus is a part, and we may elect to take advantage of other reduced reporting requirements in future filings. As a result, the information that we provide to our stockholders may be different than they might receive from other public reporting companies in which they hold equity interests.</w:t>
      </w:r>
    </w:p>
    <w:p>
      <w:pPr>
        <w:spacing w:after="0" w:line="187" w:lineRule="exact"/>
        <w:rPr>
          <w:sz w:val="20"/>
          <w:szCs w:val="20"/>
          <w:color w:val="auto"/>
        </w:rPr>
      </w:pPr>
    </w:p>
    <w:p>
      <w:pPr>
        <w:ind w:left="380" w:right="80" w:firstLine="426"/>
        <w:spacing w:after="0" w:line="273" w:lineRule="auto"/>
        <w:rPr>
          <w:sz w:val="20"/>
          <w:szCs w:val="20"/>
          <w:color w:val="auto"/>
        </w:rPr>
      </w:pPr>
      <w:r>
        <w:rPr>
          <w:rFonts w:ascii="Arial" w:cs="Arial" w:eastAsia="Arial" w:hAnsi="Arial"/>
          <w:sz w:val="17"/>
          <w:szCs w:val="17"/>
          <w:color w:val="auto"/>
        </w:rPr>
        <w:t>The JOBS Act also permits an emerging growth company such as us to take advantage of an extended transition period to comply with new or revised financial accounting standards applicable to public companies. This provision of the JOBS Act allows an emerging growth company to delay the adoption of certain accounting standards until those standards would otherwise apply to private companies. We have elected to not take advantage of the extended transition period, which means that the financial statements included in this prospectus, as well as financial statements we file in the future, will be subject to all new or revised financial accounting standards generally applicable to public companies. Our election not to take advantage of the extended transition period is irrevocable.</w:t>
      </w:r>
    </w:p>
    <w:p>
      <w:pPr>
        <w:spacing w:after="0" w:line="39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380" w:firstLine="426"/>
        <w:spacing w:after="0" w:line="297" w:lineRule="auto"/>
        <w:rPr>
          <w:sz w:val="20"/>
          <w:szCs w:val="20"/>
          <w:color w:val="auto"/>
        </w:rPr>
      </w:pPr>
      <w:r>
        <w:rPr>
          <w:rFonts w:ascii="Arial" w:cs="Arial" w:eastAsia="Arial" w:hAnsi="Arial"/>
          <w:sz w:val="16"/>
          <w:szCs w:val="16"/>
          <w:color w:val="auto"/>
        </w:rPr>
        <w:t>BellRing Brands, Inc. was incorporated in the State of Delaware on March 20, 2019 for the purpose of completing this offering and to date has engaged only in activities in contemplation of this offering. BellRing Brands, Inc.’s principal executive offices are at 2503 S. Hanley Road, St. Louis, Missouri 63144, and its telephone number is (314) 644-7600. BellRing Brands, Inc.’s website is www.bellring.com. The information and other content contained on BellRing Brands, Inc.’s website are not part of (or incorporated by reference in) this prospectus. You should not rely on any information contained or included on BellRing Brands, Inc.’s website in making your decision whether to purchase our Class A common stock.</w:t>
      </w:r>
    </w:p>
    <w:p>
      <w:pPr>
        <w:spacing w:after="0" w:line="200" w:lineRule="exact"/>
        <w:rPr>
          <w:sz w:val="20"/>
          <w:szCs w:val="20"/>
          <w:color w:val="auto"/>
        </w:rPr>
      </w:pPr>
    </w:p>
    <w:p>
      <w:pPr>
        <w:spacing w:after="0" w:line="39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240" w:top="459" w:right="6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218440</wp:posOffset>
            </wp:positionV>
            <wp:extent cx="7002145" cy="56381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02145" cy="5638165"/>
                    </a:xfrm>
                    <a:prstGeom prst="rect">
                      <a:avLst/>
                    </a:prstGeom>
                    <a:noFill/>
                  </pic:spPr>
                </pic:pic>
              </a:graphicData>
            </a:graphic>
          </wp:anchor>
        </w:drawing>
      </w:r>
    </w:p>
    <w:p>
      <w:pPr>
        <w:sectPr>
          <w:pgSz w:w="11900" w:h="16838" w:orient="portrait"/>
          <w:cols w:equalWidth="0" w:num="1">
            <w:col w:w="11000"/>
          </w:cols>
          <w:pgMar w:left="240" w:top="45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Issuer</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Class A common stock offered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Class A common stock to be outstanding after this offering</w:t>
      </w:r>
    </w:p>
    <w:p>
      <w:pPr>
        <w:spacing w:after="0" w:line="200" w:lineRule="exact"/>
        <w:rPr>
          <w:sz w:val="20"/>
          <w:szCs w:val="20"/>
          <w:color w:val="auto"/>
        </w:rPr>
      </w:pPr>
    </w:p>
    <w:p>
      <w:pPr>
        <w:spacing w:after="0" w:line="33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Over-allotment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Class B common stock to be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32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BellRing Brands, Inc.</w:t>
      </w:r>
    </w:p>
    <w:p>
      <w:pPr>
        <w:spacing w:after="0" w:line="77" w:lineRule="exact"/>
        <w:rPr>
          <w:sz w:val="20"/>
          <w:szCs w:val="20"/>
          <w:color w:val="auto"/>
        </w:rPr>
      </w:pPr>
    </w:p>
    <w:p>
      <w:pPr>
        <w:ind w:left="1080" w:right="60" w:hanging="179"/>
        <w:spacing w:after="0" w:line="259" w:lineRule="auto"/>
        <w:rPr>
          <w:sz w:val="20"/>
          <w:szCs w:val="20"/>
          <w:color w:val="auto"/>
        </w:rPr>
      </w:pPr>
      <w:r>
        <w:rPr>
          <w:rFonts w:ascii="Arial" w:cs="Arial" w:eastAsia="Arial" w:hAnsi="Arial"/>
          <w:sz w:val="18"/>
          <w:szCs w:val="18"/>
          <w:color w:val="auto"/>
        </w:rPr>
        <w:t>30,000,000 shares (or 34,500,000 shares if the underwriters exercise their over-allotment option in full). Each share of our Class A common stock will be eligible for dividends and distributions upon liquidation.</w:t>
      </w:r>
    </w:p>
    <w:p>
      <w:pPr>
        <w:spacing w:after="0" w:line="254" w:lineRule="exact"/>
        <w:rPr>
          <w:sz w:val="20"/>
          <w:szCs w:val="20"/>
          <w:color w:val="auto"/>
        </w:rPr>
      </w:pPr>
    </w:p>
    <w:p>
      <w:pPr>
        <w:ind w:left="1080" w:right="160" w:hanging="179"/>
        <w:spacing w:after="0" w:line="277" w:lineRule="auto"/>
        <w:rPr>
          <w:sz w:val="20"/>
          <w:szCs w:val="20"/>
          <w:color w:val="auto"/>
        </w:rPr>
      </w:pPr>
      <w:r>
        <w:rPr>
          <w:rFonts w:ascii="Arial" w:cs="Arial" w:eastAsia="Arial" w:hAnsi="Arial"/>
          <w:sz w:val="18"/>
          <w:szCs w:val="18"/>
          <w:color w:val="auto"/>
        </w:rPr>
        <w:t>30,000,000 shares (or 34,500,000 shares if the underwriters exercise their over-allotment option in full).</w:t>
      </w:r>
    </w:p>
    <w:p>
      <w:pPr>
        <w:spacing w:after="0" w:line="2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 have granted to the underwriters an option to purchase up</w:t>
      </w:r>
    </w:p>
    <w:p>
      <w:pPr>
        <w:spacing w:after="0" w:line="23" w:lineRule="exact"/>
        <w:rPr>
          <w:sz w:val="20"/>
          <w:szCs w:val="20"/>
          <w:color w:val="auto"/>
        </w:rPr>
      </w:pPr>
    </w:p>
    <w:p>
      <w:pPr>
        <w:jc w:val="both"/>
        <w:ind w:left="1080" w:right="160"/>
        <w:spacing w:after="0" w:line="273" w:lineRule="auto"/>
        <w:rPr>
          <w:sz w:val="20"/>
          <w:szCs w:val="20"/>
          <w:color w:val="auto"/>
        </w:rPr>
      </w:pPr>
      <w:r>
        <w:rPr>
          <w:rFonts w:ascii="Arial" w:cs="Arial" w:eastAsia="Arial" w:hAnsi="Arial"/>
          <w:sz w:val="17"/>
          <w:szCs w:val="17"/>
          <w:color w:val="auto"/>
        </w:rPr>
        <w:t>to 4,500,000 additional shares of our Class A common stock from us at the initial public offering price (less underwriting discounts and commissions) to cover over-allotments, if any, for a period of thirty days from the date of this prospectus.</w:t>
      </w:r>
    </w:p>
    <w:p>
      <w:pPr>
        <w:spacing w:after="0" w:line="244" w:lineRule="exact"/>
        <w:rPr>
          <w:sz w:val="20"/>
          <w:szCs w:val="20"/>
          <w:color w:val="auto"/>
        </w:rPr>
      </w:pPr>
    </w:p>
    <w:p>
      <w:pPr>
        <w:ind w:left="1080" w:right="360" w:hanging="179"/>
        <w:spacing w:after="0" w:line="311" w:lineRule="auto"/>
        <w:rPr>
          <w:sz w:val="20"/>
          <w:szCs w:val="20"/>
          <w:color w:val="auto"/>
        </w:rPr>
      </w:pPr>
      <w:r>
        <w:rPr>
          <w:rFonts w:ascii="Arial" w:cs="Arial" w:eastAsia="Arial" w:hAnsi="Arial"/>
          <w:sz w:val="16"/>
          <w:szCs w:val="16"/>
          <w:color w:val="auto"/>
        </w:rPr>
        <w:t>One share, which will be issued to Post. The share of our Class B common stock will have no economic rights and cannot be transferred by Post except to its affiliates (other than us).</w:t>
      </w:r>
    </w:p>
    <w:p>
      <w:pPr>
        <w:spacing w:after="0" w:line="1" w:lineRule="exact"/>
        <w:rPr>
          <w:sz w:val="20"/>
          <w:szCs w:val="20"/>
          <w:color w:val="auto"/>
        </w:rPr>
      </w:pPr>
    </w:p>
    <w:p>
      <w:pPr>
        <w:ind w:left="1080" w:hanging="179"/>
        <w:spacing w:after="0" w:line="285" w:lineRule="auto"/>
        <w:rPr>
          <w:sz w:val="20"/>
          <w:szCs w:val="20"/>
          <w:color w:val="auto"/>
        </w:rPr>
      </w:pPr>
      <w:r>
        <w:rPr>
          <w:rFonts w:ascii="Arial" w:cs="Arial" w:eastAsia="Arial" w:hAnsi="Arial"/>
          <w:sz w:val="16"/>
          <w:szCs w:val="16"/>
          <w:color w:val="auto"/>
        </w:rPr>
        <w:t>One vote per share for Class A common stock; Class A common stock and Class B common stock vote together as a single class on all matters submitted to a vote of stockholders. See “Description of Capital Stock.” For so long as Post or its affiliates (other than us) directly own more than 50% of the BellRing Brands, LLC Units, the aggregate voting power of the share of our Class B common stock will represent 67% of the combined voting power of the common stock of BellRing Brands, Inc. and, in the aggregate, the holders of the Class A common stock will have 33% of the combined voting power of the common stock of BellRing Brands, Inc. In the event that Post and its affiliates (other than us) hold 50% or less of the BellRing Brands, LLC Units, the holder of the share of Class B common stock shall be entitled to a number of votes equal to the number of BellRing Brands, LLC Units held by all persons other than us; provided, that (i) Post, or its applicable affiliate, as the holder of the share of our Class B common stock, will only be entitled to cast a number of votes on its own behalf and at its own discretion equal to the number of BellRing Brands, LLC</w:t>
      </w:r>
    </w:p>
    <w:p>
      <w:pPr>
        <w:spacing w:after="0" w:line="200" w:lineRule="exact"/>
        <w:rPr>
          <w:sz w:val="20"/>
          <w:szCs w:val="20"/>
          <w:color w:val="auto"/>
        </w:rPr>
      </w:pPr>
    </w:p>
    <w:p>
      <w:pPr>
        <w:sectPr>
          <w:pgSz w:w="11900" w:h="16838" w:orient="portrait"/>
          <w:cols w:equalWidth="0" w:num="2">
            <w:col w:w="4640" w:space="380"/>
            <w:col w:w="5980"/>
          </w:cols>
          <w:pgMar w:left="240" w:top="459" w:right="65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000"/>
          </w:cols>
          <w:pgMar w:left="240" w:top="459" w:right="65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4800" w:type="dxa"/>
            <w:vAlign w:val="bottom"/>
            <w:tcBorders>
              <w:top w:val="single" w:sz="8" w:color="auto"/>
              <w:left w:val="single" w:sz="8" w:color="auto"/>
            </w:tcBorders>
          </w:tcPr>
          <w:p>
            <w:pPr>
              <w:spacing w:after="0"/>
              <w:rPr>
                <w:sz w:val="24"/>
                <w:szCs w:val="24"/>
                <w:color w:val="auto"/>
              </w:rPr>
            </w:pPr>
          </w:p>
        </w:tc>
        <w:tc>
          <w:tcPr>
            <w:tcW w:w="624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w w:val="99"/>
              </w:rPr>
              <w:t>Units held by Post and its affiliates (other than us), and (ii) in the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event that any BellRing Brands, LLC Units are held by persons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8"/>
              </w:rPr>
              <w:t>other than us or Post and its affiliates, then Post, or its applicable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8"/>
              </w:rPr>
              <w:t>affiliate, as the holder of the share of our Class B common stock,</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6"/>
              </w:rPr>
              <w:t>will cast the remainder of the votes to which the share of our Class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B common stock is entitled only in accordance with instructions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and directions from such other holders of the BellRing Brands, LLC</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Units in accordance with proxies granted by Post to, or voting</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4"/>
              </w:rPr>
              <w:t>agreements or other voting arrangements entered into by Post with,</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8"/>
              </w:rPr>
              <w:t>such other holders pursuant to the amended and restated limited</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liability company agreement.</w:t>
            </w:r>
          </w:p>
        </w:tc>
        <w:tc>
          <w:tcPr>
            <w:tcW w:w="0" w:type="dxa"/>
            <w:vAlign w:val="bottom"/>
          </w:tcPr>
          <w:p>
            <w:pPr>
              <w:spacing w:after="0"/>
              <w:rPr>
                <w:sz w:val="1"/>
                <w:szCs w:val="1"/>
                <w:color w:val="auto"/>
              </w:rPr>
            </w:pPr>
          </w:p>
        </w:tc>
      </w:tr>
      <w:tr>
        <w:trPr>
          <w:trHeight w:val="284"/>
        </w:trPr>
        <w:tc>
          <w:tcPr>
            <w:tcW w:w="48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Redemption Rights of the BellRing Brands, LLC Units</w:t>
            </w:r>
          </w:p>
        </w:tc>
        <w:tc>
          <w:tcPr>
            <w:tcW w:w="6240" w:type="dxa"/>
            <w:vAlign w:val="bottom"/>
            <w:tcBorders>
              <w:right w:val="single" w:sz="8" w:color="auto"/>
            </w:tcBorders>
            <w:vMerge w:val="restart"/>
          </w:tcPr>
          <w:p>
            <w:pPr>
              <w:ind w:left="920"/>
              <w:spacing w:after="0"/>
              <w:rPr>
                <w:sz w:val="20"/>
                <w:szCs w:val="20"/>
                <w:color w:val="auto"/>
              </w:rPr>
            </w:pPr>
            <w:r>
              <w:rPr>
                <w:rFonts w:ascii="Arial" w:cs="Arial" w:eastAsia="Arial" w:hAnsi="Arial"/>
                <w:sz w:val="18"/>
                <w:szCs w:val="18"/>
                <w:color w:val="auto"/>
              </w:rPr>
              <w:t>Subject to the terms of the amended and restated limited liability</w:t>
            </w:r>
          </w:p>
        </w:tc>
        <w:tc>
          <w:tcPr>
            <w:tcW w:w="0" w:type="dxa"/>
            <w:vAlign w:val="bottom"/>
          </w:tcPr>
          <w:p>
            <w:pPr>
              <w:spacing w:after="0"/>
              <w:rPr>
                <w:sz w:val="1"/>
                <w:szCs w:val="1"/>
                <w:color w:val="auto"/>
              </w:rPr>
            </w:pPr>
          </w:p>
        </w:tc>
      </w:tr>
      <w:tr>
        <w:trPr>
          <w:trHeight w:val="202"/>
        </w:trPr>
        <w:tc>
          <w:tcPr>
            <w:tcW w:w="4800" w:type="dxa"/>
            <w:vAlign w:val="bottom"/>
            <w:tcBorders>
              <w:left w:val="single" w:sz="8" w:color="auto"/>
            </w:tcBorders>
          </w:tcPr>
          <w:p>
            <w:pPr>
              <w:spacing w:after="0"/>
              <w:rPr>
                <w:sz w:val="17"/>
                <w:szCs w:val="17"/>
                <w:color w:val="auto"/>
              </w:rPr>
            </w:pPr>
          </w:p>
        </w:tc>
        <w:tc>
          <w:tcPr>
            <w:tcW w:w="62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company agreement, BellRing Brands, LLC Units may be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redeemed at any time for, at BellRing Brands, LLC’s option (as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determined by its Board of Managers), (i) shares of our Class A</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common stock or (ii) cash (based on the market price of the shares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of our Class A common stock). The redemption of BellRing Brands,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8"/>
              </w:rPr>
              <w:t>LLC Units for shares of Class A common stock will be at an initial</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redemption rate of one share of Class A common stock for one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8"/>
              </w:rPr>
              <w:t>BellRing Brands, LLC Unit, subject to customary redemption rate</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7"/>
              </w:rPr>
              <w:t>adjustments for stock splits, stock dividends and reclassifications.</w:t>
            </w:r>
          </w:p>
        </w:tc>
        <w:tc>
          <w:tcPr>
            <w:tcW w:w="0" w:type="dxa"/>
            <w:vAlign w:val="bottom"/>
          </w:tcPr>
          <w:p>
            <w:pPr>
              <w:spacing w:after="0"/>
              <w:rPr>
                <w:sz w:val="1"/>
                <w:szCs w:val="1"/>
                <w:color w:val="auto"/>
              </w:rPr>
            </w:pPr>
          </w:p>
        </w:tc>
      </w:tr>
      <w:tr>
        <w:trPr>
          <w:trHeight w:val="269"/>
        </w:trPr>
        <w:tc>
          <w:tcPr>
            <w:tcW w:w="48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Listing</w:t>
            </w:r>
          </w:p>
        </w:tc>
        <w:tc>
          <w:tcPr>
            <w:tcW w:w="62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We have received approval to list our Class A common stock on the</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NYSE under the trading symbol “BRBR”.</w:t>
            </w:r>
          </w:p>
        </w:tc>
        <w:tc>
          <w:tcPr>
            <w:tcW w:w="0" w:type="dxa"/>
            <w:vAlign w:val="bottom"/>
          </w:tcPr>
          <w:p>
            <w:pPr>
              <w:spacing w:after="0"/>
              <w:rPr>
                <w:sz w:val="1"/>
                <w:szCs w:val="1"/>
                <w:color w:val="auto"/>
              </w:rPr>
            </w:pPr>
          </w:p>
        </w:tc>
      </w:tr>
      <w:tr>
        <w:trPr>
          <w:trHeight w:val="269"/>
        </w:trPr>
        <w:tc>
          <w:tcPr>
            <w:tcW w:w="48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Controlled company</w:t>
            </w:r>
          </w:p>
        </w:tc>
        <w:tc>
          <w:tcPr>
            <w:tcW w:w="62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As a result of Post’s ownership of our share of Class B common stock</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following this offering, Post will beneficially own more than 50%</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9"/>
              </w:rPr>
              <w:t>of the combined voting power of our outstanding common stock,</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and we will be a “controlled company” within the meaning of the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NYSE corporate governance standards; however, we do not</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9"/>
              </w:rPr>
              <w:t>currently expect to rely on the “controlled company” exemptions.</w:t>
            </w:r>
          </w:p>
        </w:tc>
        <w:tc>
          <w:tcPr>
            <w:tcW w:w="0" w:type="dxa"/>
            <w:vAlign w:val="bottom"/>
          </w:tcPr>
          <w:p>
            <w:pPr>
              <w:spacing w:after="0"/>
              <w:rPr>
                <w:sz w:val="1"/>
                <w:szCs w:val="1"/>
                <w:color w:val="auto"/>
              </w:rPr>
            </w:pPr>
          </w:p>
        </w:tc>
      </w:tr>
      <w:tr>
        <w:trPr>
          <w:trHeight w:val="269"/>
        </w:trPr>
        <w:tc>
          <w:tcPr>
            <w:tcW w:w="48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62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We estimate that the net proceeds from the sale of our Class A</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common stock in this offering, after deducting the underwriting</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discount and expenses of this offering, will be approximately</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9"/>
              </w:rPr>
              <w:t>$486.8 million (or $561.0 million if the underwriters exercise their</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over-allotment option in full) based on an assumed initial public</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offering price of $17.50 per share (the midpoint of the estimated</w:t>
            </w:r>
          </w:p>
        </w:tc>
        <w:tc>
          <w:tcPr>
            <w:tcW w:w="0" w:type="dxa"/>
            <w:vAlign w:val="bottom"/>
          </w:tcPr>
          <w:p>
            <w:pPr>
              <w:spacing w:after="0"/>
              <w:rPr>
                <w:sz w:val="1"/>
                <w:szCs w:val="1"/>
                <w:color w:val="auto"/>
              </w:rPr>
            </w:pPr>
          </w:p>
        </w:tc>
      </w:tr>
      <w:tr>
        <w:trPr>
          <w:trHeight w:val="240"/>
        </w:trPr>
        <w:tc>
          <w:tcPr>
            <w:tcW w:w="4800" w:type="dxa"/>
            <w:vAlign w:val="bottom"/>
            <w:tcBorders>
              <w:left w:val="single" w:sz="8" w:color="auto"/>
              <w:bottom w:val="single" w:sz="8" w:color="auto"/>
            </w:tcBorders>
          </w:tcPr>
          <w:p>
            <w:pPr>
              <w:spacing w:after="0"/>
              <w:rPr>
                <w:sz w:val="20"/>
                <w:szCs w:val="20"/>
                <w:color w:val="auto"/>
              </w:rPr>
            </w:pPr>
          </w:p>
        </w:tc>
        <w:tc>
          <w:tcPr>
            <w:tcW w:w="6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4800" w:type="dxa"/>
            <w:vAlign w:val="bottom"/>
          </w:tcPr>
          <w:p>
            <w:pPr>
              <w:spacing w:after="0"/>
              <w:rPr>
                <w:sz w:val="24"/>
                <w:szCs w:val="24"/>
                <w:color w:val="auto"/>
              </w:rPr>
            </w:pPr>
          </w:p>
        </w:tc>
        <w:tc>
          <w:tcPr>
            <w:tcW w:w="6240" w:type="dxa"/>
            <w:vAlign w:val="bottom"/>
          </w:tcPr>
          <w:p>
            <w:pPr>
              <w:ind w:left="6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3520" w:type="dxa"/>
            <w:vAlign w:val="bottom"/>
            <w:tcBorders>
              <w:top w:val="single" w:sz="8" w:color="auto"/>
              <w:left w:val="single" w:sz="8" w:color="auto"/>
            </w:tcBorders>
          </w:tcPr>
          <w:p>
            <w:pPr>
              <w:spacing w:after="0"/>
              <w:rPr>
                <w:sz w:val="24"/>
                <w:szCs w:val="24"/>
                <w:color w:val="auto"/>
              </w:rPr>
            </w:pPr>
          </w:p>
        </w:tc>
        <w:tc>
          <w:tcPr>
            <w:tcW w:w="7520" w:type="dxa"/>
            <w:vAlign w:val="bottom"/>
            <w:tcBorders>
              <w:top w:val="single" w:sz="8" w:color="auto"/>
              <w:right w:val="single" w:sz="8" w:color="auto"/>
            </w:tcBorders>
          </w:tcPr>
          <w:p>
            <w:pPr>
              <w:ind w:left="2380"/>
              <w:spacing w:after="0"/>
              <w:rPr>
                <w:sz w:val="20"/>
                <w:szCs w:val="20"/>
                <w:color w:val="auto"/>
              </w:rPr>
            </w:pPr>
            <w:r>
              <w:rPr>
                <w:rFonts w:ascii="Arial" w:cs="Arial" w:eastAsia="Arial" w:hAnsi="Arial"/>
                <w:sz w:val="18"/>
                <w:szCs w:val="18"/>
                <w:color w:val="auto"/>
                <w:w w:val="95"/>
              </w:rPr>
              <w:t>offering price range set forth on the cover page of this prospectus).</w:t>
            </w:r>
          </w:p>
        </w:tc>
      </w:tr>
      <w:tr>
        <w:trPr>
          <w:trHeight w:val="283"/>
        </w:trPr>
        <w:tc>
          <w:tcPr>
            <w:tcW w:w="3520" w:type="dxa"/>
            <w:vAlign w:val="bottom"/>
            <w:tcBorders>
              <w:left w:val="single" w:sz="8" w:color="auto"/>
            </w:tcBorders>
          </w:tcPr>
          <w:p>
            <w:pPr>
              <w:spacing w:after="0"/>
              <w:rPr>
                <w:sz w:val="24"/>
                <w:szCs w:val="24"/>
                <w:color w:val="auto"/>
              </w:rPr>
            </w:pPr>
          </w:p>
        </w:tc>
        <w:tc>
          <w:tcPr>
            <w:tcW w:w="75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7"/>
              </w:rPr>
              <w:t>BellRing Brands, Inc. will contribute the net proceeds of this offering</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to BellRing Brands, LLC in exchange for BellRing Brands, LLC</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Units as described under “Prospectus Summary—Formation</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Transactions.” BellRing Brands, LLC, in turn, will use the net</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6"/>
              </w:rPr>
              <w:t>proceeds of this offering that it receives from BellRing Brands, Inc.</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to repay a portion of the Post bridge loan and related interest.</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6"/>
              </w:rPr>
              <w:t>Immediately after the completion of the formation transactions and</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the completion of this offering, BellRing Brands, LLC expects to</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4"/>
              </w:rPr>
              <w:t>enter into the debt facilities and use the proceeds of such borrowing</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under the term loan facility and the revolving credit facility (i) to</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5"/>
              </w:rPr>
              <w:t>repay the remaining balance of the Post bridge loan and all interest</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6"/>
              </w:rPr>
              <w:t>thereunder, (ii) to pay directly, or reimburse Post for, as applicable,</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5"/>
              </w:rPr>
              <w:t>all fees and expenses incurred by us or Post in connection with this</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6"/>
              </w:rPr>
              <w:t>offering and the formation transactions (including the debt facilities</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9"/>
              </w:rPr>
              <w:t>but excluding the Post bridge loan), (iii) to reimburse Post for the</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amount of cash on our balance sheet immediately prior to the</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completion of this offering, and (iv) to the extent there are any</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6"/>
              </w:rPr>
              <w:t>remaining proceeds, for general corporate purposes, including, for</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8"/>
              </w:rPr>
              <w:t>example, to redeem for cash any BellRing Brands, LLC Units that</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7"/>
              </w:rPr>
              <w:t>Post may elect in the future to redeem. Post has advised us that it</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may determine to redeem a portion of its BellRing Brands, LLC</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Units in the event the proceeds of this offering together with the</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5"/>
              </w:rPr>
              <w:t>proceeds of the borrowings under the debt facilities as described in</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6"/>
              </w:rPr>
              <w:t>this prospectus result in net proceeds to BellRing Brands, LLC that</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7"/>
              </w:rPr>
              <w:t>exceed the amount of funds required to satisfy the uses described</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under clauses (i) through (iii) above. See “Use of Proceeds” and</w:t>
            </w:r>
          </w:p>
        </w:tc>
      </w:tr>
      <w:tr>
        <w:trPr>
          <w:trHeight w:val="230"/>
        </w:trPr>
        <w:tc>
          <w:tcPr>
            <w:tcW w:w="352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“Description of Certain Indebtedness—Debt Facilities.”</w:t>
            </w:r>
          </w:p>
        </w:tc>
      </w:tr>
      <w:tr>
        <w:trPr>
          <w:trHeight w:val="283"/>
        </w:trPr>
        <w:tc>
          <w:tcPr>
            <w:tcW w:w="35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Conflicts of Interest</w:t>
            </w:r>
          </w:p>
        </w:tc>
        <w:tc>
          <w:tcPr>
            <w:tcW w:w="75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rPr>
              <w:t>Affiliates of Morgan Stanley &amp; Co. LLC, Citigroup Global Markets</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Inc., J.P. Morgan Securities LLC, Goldman Sachs &amp; Co. LLC,</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5"/>
              </w:rPr>
              <w:t>BofA Securities, Inc. and Credit Suisse Securities (USA) LLC, each</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of which is an underwriter in this offering, are lenders under the</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7"/>
              </w:rPr>
              <w:t>Post bridge loan. The proceeds received by BellRing Brands, LLC</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7"/>
              </w:rPr>
              <w:t>from its sale of BellRing Brands, LLC Units will be used to repay a</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6"/>
              </w:rPr>
              <w:t>portion of the Post bridge loan and related interest. Because of the</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manner in which the proceeds will be used, this offering will be</w:t>
            </w:r>
          </w:p>
        </w:tc>
      </w:tr>
      <w:tr>
        <w:trPr>
          <w:trHeight w:val="230"/>
        </w:trPr>
        <w:tc>
          <w:tcPr>
            <w:tcW w:w="352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conducted in accordance with</w:t>
            </w:r>
          </w:p>
        </w:tc>
      </w:tr>
      <w:tr>
        <w:trPr>
          <w:trHeight w:val="240"/>
        </w:trPr>
        <w:tc>
          <w:tcPr>
            <w:tcW w:w="3520" w:type="dxa"/>
            <w:vAlign w:val="bottom"/>
            <w:tcBorders>
              <w:left w:val="single" w:sz="8" w:color="auto"/>
              <w:bottom w:val="single" w:sz="8" w:color="auto"/>
            </w:tcBorders>
          </w:tcPr>
          <w:p>
            <w:pPr>
              <w:spacing w:after="0"/>
              <w:rPr>
                <w:sz w:val="20"/>
                <w:szCs w:val="20"/>
                <w:color w:val="auto"/>
              </w:rPr>
            </w:pPr>
          </w:p>
        </w:tc>
        <w:tc>
          <w:tcPr>
            <w:tcW w:w="7520" w:type="dxa"/>
            <w:vAlign w:val="bottom"/>
            <w:tcBorders>
              <w:bottom w:val="single" w:sz="8" w:color="auto"/>
              <w:right w:val="single" w:sz="8" w:color="auto"/>
            </w:tcBorders>
          </w:tcPr>
          <w:p>
            <w:pPr>
              <w:spacing w:after="0"/>
              <w:rPr>
                <w:sz w:val="20"/>
                <w:szCs w:val="20"/>
                <w:color w:val="auto"/>
              </w:rPr>
            </w:pPr>
          </w:p>
        </w:tc>
      </w:tr>
      <w:tr>
        <w:trPr>
          <w:trHeight w:val="604"/>
        </w:trPr>
        <w:tc>
          <w:tcPr>
            <w:tcW w:w="3520" w:type="dxa"/>
            <w:vAlign w:val="bottom"/>
          </w:tcPr>
          <w:p>
            <w:pPr>
              <w:spacing w:after="0"/>
              <w:rPr>
                <w:sz w:val="24"/>
                <w:szCs w:val="24"/>
                <w:color w:val="auto"/>
              </w:rPr>
            </w:pPr>
          </w:p>
        </w:tc>
        <w:tc>
          <w:tcPr>
            <w:tcW w:w="7520" w:type="dxa"/>
            <w:vAlign w:val="bottom"/>
          </w:tcPr>
          <w:p>
            <w:pPr>
              <w:ind w:left="190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780" w:type="dxa"/>
            <w:vAlign w:val="bottom"/>
            <w:tcBorders>
              <w:top w:val="single" w:sz="8" w:color="auto"/>
              <w:left w:val="single" w:sz="8" w:color="auto"/>
            </w:tcBorders>
          </w:tcPr>
          <w:p>
            <w:pPr>
              <w:spacing w:after="0"/>
              <w:rPr>
                <w:sz w:val="24"/>
                <w:szCs w:val="24"/>
                <w:color w:val="auto"/>
              </w:rPr>
            </w:pPr>
          </w:p>
        </w:tc>
        <w:tc>
          <w:tcPr>
            <w:tcW w:w="7260" w:type="dxa"/>
            <w:vAlign w:val="bottom"/>
            <w:tcBorders>
              <w:top w:val="single" w:sz="8" w:color="auto"/>
              <w:right w:val="single" w:sz="8" w:color="auto"/>
            </w:tcBorders>
          </w:tcPr>
          <w:p>
            <w:pPr>
              <w:ind w:left="2120"/>
              <w:spacing w:after="0"/>
              <w:rPr>
                <w:sz w:val="20"/>
                <w:szCs w:val="20"/>
                <w:color w:val="auto"/>
              </w:rPr>
            </w:pPr>
            <w:r>
              <w:rPr>
                <w:rFonts w:ascii="Arial" w:cs="Arial" w:eastAsia="Arial" w:hAnsi="Arial"/>
                <w:sz w:val="18"/>
                <w:szCs w:val="18"/>
                <w:color w:val="auto"/>
              </w:rPr>
              <w:t>Financial Industry Regulatory Authority, Inc., or FINRA, Rule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5121. This rule requires, among other things, that a qualified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5"/>
              </w:rPr>
              <w:t>independent underwriter has participated in the preparation of, and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7"/>
              </w:rPr>
              <w:t>has exercised the usual standards of ‘‘due diligence’’ with respect</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to, this prospectus and the registration statement of which this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5"/>
              </w:rPr>
              <w:t>prospectus forms a part. Barclays Capital Inc. has agreed to act as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6"/>
              </w:rPr>
              <w:t>qualified independent underwriter for the offering and to undertake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8"/>
              </w:rPr>
              <w:t>the legal responsibilities and liabilities of an underwriter under the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5"/>
              </w:rPr>
              <w:t>Securities Act, specifically including those inherent in Section 11 of</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6"/>
              </w:rPr>
              <w:t>the Securities Act. We will agree to indemnify Barclays Capital Inc.</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against liabilities incurred in connection with acting as qualified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9"/>
              </w:rPr>
              <w:t>independent underwriter, including liabilities under the Securities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Act. Moreover, none of Morgan Stanley &amp; Co. LLC, Citigroup</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7"/>
              </w:rPr>
              <w:t>Global Markets Inc., J.P. Morgan Securities LLC, Goldman Sachs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&amp; Co. LLC, BofA Securities, Inc. and Credit Suisse Securities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(USA) LLC, is permitted to sell Class A common stock in this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offering to an account over which it exercises discretionary</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8"/>
              </w:rPr>
              <w:t>authority without the prior specific written approval of the account</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holder. See “Underwriting (Conflicts of Interest).”</w:t>
            </w:r>
          </w:p>
        </w:tc>
      </w:tr>
      <w:tr>
        <w:trPr>
          <w:trHeight w:val="269"/>
        </w:trPr>
        <w:tc>
          <w:tcPr>
            <w:tcW w:w="37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Dividend Policy</w:t>
            </w:r>
          </w:p>
        </w:tc>
        <w:tc>
          <w:tcPr>
            <w:tcW w:w="726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w w:val="94"/>
              </w:rPr>
              <w:t>We do not intend to pay dividends on our Class A common stock or to</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8"/>
              </w:rPr>
              <w:t>cause BellRing Brands, LLC to make distributions to its members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3"/>
              </w:rPr>
              <w:t>(other than to make certain distributions as described under “Certain</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Relationships and Related Party Transactions—Post-Offering</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9"/>
              </w:rPr>
              <w:t>Relationship with Post—Amended and Restated Limited Liability</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Company Agreement”). We anticipate that we will retain all</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8"/>
              </w:rPr>
              <w:t>available funds and any future earnings to support our operations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9"/>
              </w:rPr>
              <w:t>and to finance the growth and development of our business. Any</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4"/>
              </w:rPr>
              <w:t>future determination to pay dividends on our Class A common stock</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will be made by our Board of Directors.</w:t>
            </w:r>
          </w:p>
        </w:tc>
      </w:tr>
      <w:tr>
        <w:trPr>
          <w:trHeight w:val="269"/>
        </w:trPr>
        <w:tc>
          <w:tcPr>
            <w:tcW w:w="37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Tax Receivable Agreement</w:t>
            </w:r>
          </w:p>
        </w:tc>
        <w:tc>
          <w:tcPr>
            <w:tcW w:w="726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rPr>
              <w:t>We intend to enter into a tax receivable agreement with Post and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BellRing Brands, LLC that will provide for the payment by us to</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6"/>
              </w:rPr>
              <w:t>Post (or certain of its transferees or other assignees) of 85% of the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7"/>
              </w:rPr>
              <w:t>amount of cash savings, if any, in U.S. federal income tax, as well</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5"/>
              </w:rPr>
              <w:t>as state and local income tax and franchise tax (using an assumed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tax rate on a base equal to the U.S. federal taxable income of</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BellRing Brands, Inc.), that we actually realize (or, in some</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circumstances, we are deemed to realize)</w:t>
            </w:r>
          </w:p>
        </w:tc>
      </w:tr>
      <w:tr>
        <w:trPr>
          <w:trHeight w:val="240"/>
        </w:trPr>
        <w:tc>
          <w:tcPr>
            <w:tcW w:w="3780" w:type="dxa"/>
            <w:vAlign w:val="bottom"/>
            <w:tcBorders>
              <w:left w:val="single" w:sz="8" w:color="auto"/>
              <w:bottom w:val="single" w:sz="8" w:color="auto"/>
            </w:tcBorders>
          </w:tcPr>
          <w:p>
            <w:pPr>
              <w:spacing w:after="0"/>
              <w:rPr>
                <w:sz w:val="20"/>
                <w:szCs w:val="20"/>
                <w:color w:val="auto"/>
              </w:rPr>
            </w:pPr>
          </w:p>
        </w:tc>
        <w:tc>
          <w:tcPr>
            <w:tcW w:w="7260" w:type="dxa"/>
            <w:vAlign w:val="bottom"/>
            <w:tcBorders>
              <w:bottom w:val="single" w:sz="8" w:color="auto"/>
              <w:right w:val="single" w:sz="8" w:color="auto"/>
            </w:tcBorders>
          </w:tcPr>
          <w:p>
            <w:pPr>
              <w:spacing w:after="0"/>
              <w:rPr>
                <w:sz w:val="20"/>
                <w:szCs w:val="20"/>
                <w:color w:val="auto"/>
              </w:rPr>
            </w:pPr>
          </w:p>
        </w:tc>
      </w:tr>
      <w:tr>
        <w:trPr>
          <w:trHeight w:val="604"/>
        </w:trPr>
        <w:tc>
          <w:tcPr>
            <w:tcW w:w="3780" w:type="dxa"/>
            <w:vAlign w:val="bottom"/>
          </w:tcPr>
          <w:p>
            <w:pPr>
              <w:spacing w:after="0"/>
              <w:rPr>
                <w:sz w:val="24"/>
                <w:szCs w:val="24"/>
                <w:color w:val="auto"/>
              </w:rPr>
            </w:pPr>
          </w:p>
        </w:tc>
        <w:tc>
          <w:tcPr>
            <w:tcW w:w="7260" w:type="dxa"/>
            <w:vAlign w:val="bottom"/>
          </w:tcPr>
          <w:p>
            <w:pPr>
              <w:ind w:left="164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5751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02145" cy="45751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as a result of (a) the increase in the tax basis of assets of BellRing</w:t>
      </w:r>
    </w:p>
    <w:p>
      <w:pPr>
        <w:spacing w:after="0" w:line="46"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Brands, LLC attributable to (i) the redemption of BellRing Brands,</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LLC Units by Post (or certain of its transferees or assignees)</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pursuant to the amended and restated limited liability company</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agreement, (ii) deemed sales by Post (or certain of its transferees or</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assignees) of BellRing Brands, LLC Units or assets to BellRing</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Brands, Inc., (iii) certain actual or deemed distributions from</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BellRing Brands, LLC to Post (or certain of its transferees or</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assignees) and (iv) certain formation transactions,</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(b) disproportionate allocations of tax benefits to BellRing Brands,</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Inc. as a result of Section 704(c) of the Internal Revenue Code of</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1986, as amended (the “Code”) and (c) certain tax benefits (e.g.,</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basis adjustments, deductions, etc.) attributable to payments under</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the tax receivable agreement. See “Certain Relationships and</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Related Party Transactions—Post-Offering Relationship with Post</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—Tax Receivable Agreement.”</w:t>
      </w:r>
    </w:p>
    <w:p>
      <w:pPr>
        <w:spacing w:after="0" w:line="211" w:lineRule="exact"/>
        <w:rPr>
          <w:sz w:val="20"/>
          <w:szCs w:val="20"/>
          <w:color w:val="auto"/>
        </w:rPr>
      </w:pPr>
    </w:p>
    <w:p>
      <w:pPr>
        <w:ind w:left="380" w:firstLine="426"/>
        <w:spacing w:after="0" w:line="302" w:lineRule="auto"/>
        <w:rPr>
          <w:sz w:val="20"/>
          <w:szCs w:val="20"/>
          <w:color w:val="auto"/>
        </w:rPr>
      </w:pPr>
      <w:r>
        <w:rPr>
          <w:rFonts w:ascii="Arial" w:cs="Arial" w:eastAsia="Arial" w:hAnsi="Arial"/>
          <w:sz w:val="16"/>
          <w:szCs w:val="16"/>
          <w:color w:val="auto"/>
        </w:rPr>
        <w:t>Unless otherwise noted, references in this prospectus to the number of shares of our common stock outstanding after this offering exclude shares of our Class A common stock that may be granted under the BellRing Brands, Inc. 2019 Long-Term Incentive Plan (the “2019 LTIP”), which was adopted prior to this offering. We have reserved 2,000,000 shares of our Class A common stock for issuance under the 2019 LTIP. See “Executive Compensation—BellRing Brands, Inc. 2019 Long-Term Incentive Plan” for additional information regarding our equity incentive plan.</w:t>
      </w:r>
    </w:p>
    <w:p>
      <w:pPr>
        <w:spacing w:after="0" w:line="154" w:lineRule="exact"/>
        <w:rPr>
          <w:sz w:val="20"/>
          <w:szCs w:val="20"/>
          <w:color w:val="auto"/>
        </w:rPr>
      </w:pPr>
    </w:p>
    <w:p>
      <w:pPr>
        <w:ind w:left="380" w:right="240" w:firstLine="426"/>
        <w:spacing w:after="0" w:line="277" w:lineRule="auto"/>
        <w:rPr>
          <w:sz w:val="20"/>
          <w:szCs w:val="20"/>
          <w:color w:val="auto"/>
        </w:rPr>
      </w:pPr>
      <w:r>
        <w:rPr>
          <w:rFonts w:ascii="Arial" w:cs="Arial" w:eastAsia="Arial" w:hAnsi="Arial"/>
          <w:sz w:val="18"/>
          <w:szCs w:val="18"/>
          <w:color w:val="auto"/>
        </w:rPr>
        <w:t>Unless otherwise indicated, the information contained in this prospectus is as of the date set forth on the cover page of this prospectus and assumes:</w:t>
      </w:r>
    </w:p>
    <w:p>
      <w:pPr>
        <w:spacing w:after="0" w:line="76" w:lineRule="exact"/>
        <w:rPr>
          <w:sz w:val="20"/>
          <w:szCs w:val="20"/>
          <w:color w:val="auto"/>
        </w:rPr>
      </w:pPr>
    </w:p>
    <w:p>
      <w:pPr>
        <w:ind w:left="1320" w:hanging="515"/>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completion of the formation transactions as described elsewhere in this prospectus;</w:t>
      </w:r>
    </w:p>
    <w:p>
      <w:pPr>
        <w:spacing w:after="0" w:line="130" w:lineRule="exact"/>
        <w:rPr>
          <w:rFonts w:ascii="Arial" w:cs="Arial" w:eastAsia="Arial" w:hAnsi="Arial"/>
          <w:sz w:val="18"/>
          <w:szCs w:val="18"/>
          <w:color w:val="auto"/>
        </w:rPr>
      </w:pPr>
    </w:p>
    <w:p>
      <w:pPr>
        <w:ind w:left="1320" w:right="180" w:hanging="515"/>
        <w:spacing w:after="0" w:line="277" w:lineRule="auto"/>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initial public offering price of $17.50 per share, which is the midpoint of the estimated offering price range set forth on the cover page of this prospectus;</w:t>
      </w:r>
    </w:p>
    <w:p>
      <w:pPr>
        <w:spacing w:after="0" w:line="75" w:lineRule="exact"/>
        <w:rPr>
          <w:rFonts w:ascii="Arial" w:cs="Arial" w:eastAsia="Arial" w:hAnsi="Arial"/>
          <w:sz w:val="18"/>
          <w:szCs w:val="18"/>
          <w:color w:val="auto"/>
        </w:rPr>
      </w:pPr>
    </w:p>
    <w:p>
      <w:pPr>
        <w:ind w:left="1320" w:hanging="515"/>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BellRing Brands, LLC has entered into debt facilities on the terms described in this prospectus; and</w:t>
      </w:r>
    </w:p>
    <w:p>
      <w:pPr>
        <w:spacing w:after="0" w:line="130" w:lineRule="exact"/>
        <w:rPr>
          <w:rFonts w:ascii="Arial" w:cs="Arial" w:eastAsia="Arial" w:hAnsi="Arial"/>
          <w:sz w:val="18"/>
          <w:szCs w:val="18"/>
          <w:color w:val="auto"/>
        </w:rPr>
      </w:pPr>
    </w:p>
    <w:p>
      <w:pPr>
        <w:ind w:left="1320" w:hanging="515"/>
        <w:spacing w:after="0"/>
        <w:tabs>
          <w:tab w:leader="none" w:pos="1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that the underwriters’ over-allotment option to purchase from us additional shares of Class A common stock is not exercised.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240" w:top="459" w:right="6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3058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02145" cy="33058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SUMMARY HISTORICAL CONDENSED COMBINED FINANCIAL AND OTHER INFORMATION</w:t>
      </w:r>
    </w:p>
    <w:p>
      <w:pPr>
        <w:spacing w:after="0" w:line="229" w:lineRule="exact"/>
        <w:rPr>
          <w:sz w:val="20"/>
          <w:szCs w:val="20"/>
          <w:color w:val="auto"/>
        </w:rPr>
      </w:pPr>
    </w:p>
    <w:p>
      <w:pPr>
        <w:ind w:left="380" w:right="60" w:firstLine="426"/>
        <w:spacing w:after="0" w:line="253" w:lineRule="auto"/>
        <w:rPr>
          <w:sz w:val="20"/>
          <w:szCs w:val="20"/>
          <w:color w:val="auto"/>
        </w:rPr>
      </w:pPr>
      <w:r>
        <w:rPr>
          <w:rFonts w:ascii="Arial" w:cs="Arial" w:eastAsia="Arial" w:hAnsi="Arial"/>
          <w:sz w:val="18"/>
          <w:szCs w:val="18"/>
          <w:color w:val="auto"/>
        </w:rPr>
        <w:t>The following tables set forth certain summary historical condensed combined financial data for Post’s Active Nutrition business as of September 30, 2018 and 2017 and for each of the fiscal years in the three-year period ended September 30, 2018, and as of June 30, 2019 and for the nine months ended June 30, 2019 and 2018. Post’s Active Nutrition business is the predecessor of BellRing Brands, Inc. for financial reporting purposes. The summary historical financial data set forth below should be read in conjunction with: (i) the sections entitled “Use of Proceeds,” “Capitalization” and “Unaudited Pro Forma Condensed Consolidated Financial Information,” (ii) Post’s Active Nutrition business’s audited combined financial statements and the notes thereto as of and for the three fiscal years ended September 30, 2018, (iii) Post’s Active Nutrition business’s unaudited condensed combined financial statements and the notes thereto as of and for the nine months ended June 30, 2019 and 2018 and (iv) “Management’s Discussion and Analysis of Financial Condition and Results of Operations,” each of which is contained elsewhere in this prospectus.</w:t>
      </w:r>
    </w:p>
    <w:p>
      <w:pPr>
        <w:spacing w:after="0" w:line="197"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The summary historical condensed combined financial data as of September 30, 2018 and 2017 and as of each of the fiscal years in the three-year period ended September 30, 2018 have been derived from the audited combined financial statements of Post’s Active Nutrition business. The summary unaudited historical condensed combined financial data as of June 30, 2019 and for the nine months ended June 30, 2019 and 2018 have been derived from Post’s Active Nutrition business’s unaudited condensed combined financial statements, and include, in the opinion of management, all adjustments, consisting of only normal, recurring adjustments, necessary for a fair statement of such information. The financial data presented for the interim periods are not necessarily indicative of the results for the full fiscal year.</w:t>
      </w:r>
    </w:p>
    <w:p>
      <w:pPr>
        <w:spacing w:after="0" w:line="178" w:lineRule="exact"/>
        <w:rPr>
          <w:sz w:val="20"/>
          <w:szCs w:val="20"/>
          <w:color w:val="auto"/>
        </w:rPr>
      </w:pPr>
    </w:p>
    <w:p>
      <w:pPr>
        <w:jc w:val="both"/>
        <w:ind w:left="380" w:right="140" w:firstLine="426"/>
        <w:spacing w:after="0" w:line="264" w:lineRule="auto"/>
        <w:rPr>
          <w:sz w:val="20"/>
          <w:szCs w:val="20"/>
          <w:color w:val="auto"/>
        </w:rPr>
      </w:pPr>
      <w:r>
        <w:rPr>
          <w:rFonts w:ascii="Arial" w:cs="Arial" w:eastAsia="Arial" w:hAnsi="Arial"/>
          <w:sz w:val="18"/>
          <w:szCs w:val="18"/>
          <w:color w:val="auto"/>
        </w:rPr>
        <w:t>The summary historical consolidated financial and other data of BellRing Brands, Inc. has not been presented as BellRing Brands, Inc. is a newly incorporated entity, has had no business transactions or activities to date and had no assets or liabilities during the periods presented in this section.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240" w:top="459" w:right="6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3981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02145" cy="53981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4"/>
                <w:szCs w:val="14"/>
                <w:b w:val="1"/>
                <w:bCs w:val="1"/>
                <w:color w:val="auto"/>
                <w:w w:val="95"/>
              </w:rPr>
              <w:t>Active Nutrition</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5"/>
          </w:tcPr>
          <w:p>
            <w:pPr>
              <w:jc w:val="center"/>
              <w:ind w:right="150"/>
              <w:spacing w:after="0" w:line="119" w:lineRule="exact"/>
              <w:rPr>
                <w:sz w:val="20"/>
                <w:szCs w:val="20"/>
                <w:color w:val="auto"/>
              </w:rPr>
            </w:pPr>
            <w:r>
              <w:rPr>
                <w:rFonts w:ascii="Arial" w:cs="Arial" w:eastAsia="Arial" w:hAnsi="Arial"/>
                <w:sz w:val="13"/>
                <w:szCs w:val="13"/>
                <w:b w:val="1"/>
                <w:bCs w:val="1"/>
                <w:color w:val="auto"/>
              </w:rPr>
              <w:t>Nine Months Ended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6"/>
            <w:vMerge w:val="restart"/>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left="254"/>
              <w:spacing w:after="0" w:line="149" w:lineRule="exact"/>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5"/>
          </w:tcPr>
          <w:p>
            <w:pPr>
              <w:jc w:val="center"/>
              <w:ind w:right="15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2019</w:t>
            </w:r>
          </w:p>
        </w:tc>
        <w:tc>
          <w:tcPr>
            <w:tcW w:w="3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639.9</w:t>
            </w:r>
          </w:p>
        </w:tc>
        <w:tc>
          <w:tcPr>
            <w:tcW w:w="700" w:type="dxa"/>
            <w:vAlign w:val="bottom"/>
            <w:gridSpan w:val="3"/>
          </w:tcPr>
          <w:p>
            <w:pPr>
              <w:jc w:val="right"/>
              <w:ind w:right="50"/>
              <w:spacing w:after="0"/>
              <w:rPr>
                <w:sz w:val="20"/>
                <w:szCs w:val="20"/>
                <w:color w:val="auto"/>
              </w:rPr>
            </w:pPr>
            <w:r>
              <w:rPr>
                <w:rFonts w:ascii="Arial" w:cs="Arial" w:eastAsia="Arial" w:hAnsi="Arial"/>
                <w:sz w:val="18"/>
                <w:szCs w:val="18"/>
                <w:color w:val="auto"/>
                <w:w w:val="93"/>
              </w:rPr>
              <w:t>$ 607.6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827.5</w:t>
            </w:r>
          </w:p>
        </w:tc>
        <w:tc>
          <w:tcPr>
            <w:tcW w:w="1040" w:type="dxa"/>
            <w:vAlign w:val="bottom"/>
            <w:gridSpan w:val="6"/>
          </w:tcPr>
          <w:p>
            <w:pPr>
              <w:jc w:val="right"/>
              <w:ind w:right="300"/>
              <w:spacing w:after="0"/>
              <w:rPr>
                <w:sz w:val="20"/>
                <w:szCs w:val="20"/>
                <w:color w:val="auto"/>
              </w:rPr>
            </w:pPr>
            <w:r>
              <w:rPr>
                <w:rFonts w:ascii="Arial" w:cs="Arial" w:eastAsia="Arial" w:hAnsi="Arial"/>
                <w:sz w:val="18"/>
                <w:szCs w:val="18"/>
                <w:color w:val="auto"/>
              </w:rPr>
              <w:t>$713.2</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$574.7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404.8</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3"/>
              </w:rPr>
              <w:t>403.6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549.8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8"/>
              </w:rPr>
              <w:t>467.4</w:t>
            </w:r>
          </w:p>
        </w:tc>
        <w:tc>
          <w:tcPr>
            <w:tcW w:w="56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235.1</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204.0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277.7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4"/>
              </w:rPr>
              <w:t>245.8</w:t>
            </w:r>
          </w:p>
        </w:tc>
        <w:tc>
          <w:tcPr>
            <w:tcW w:w="320" w:type="dxa"/>
            <w:vAlign w:val="bottom"/>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179.2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92.0</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3"/>
              </w:rPr>
              <w:t>104.1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135.1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8"/>
              </w:rPr>
              <w:t>131.0</w:t>
            </w:r>
          </w:p>
        </w:tc>
        <w:tc>
          <w:tcPr>
            <w:tcW w:w="56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goodwill</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26.5</w:t>
            </w:r>
          </w:p>
        </w:tc>
        <w:tc>
          <w:tcPr>
            <w:tcW w:w="16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Other operating expenses, net</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126.5</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119.8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65.6</w:t>
            </w:r>
          </w:p>
        </w:tc>
        <w:tc>
          <w:tcPr>
            <w:tcW w:w="16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31.7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30.1</w:t>
            </w:r>
          </w:p>
        </w:tc>
        <w:tc>
          <w:tcPr>
            <w:tcW w:w="140" w:type="dxa"/>
            <w:vAlign w:val="bottom"/>
          </w:tcPr>
          <w:p>
            <w:pPr>
              <w:spacing w:after="0"/>
              <w:rPr>
                <w:sz w:val="18"/>
                <w:szCs w:val="18"/>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69.7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96.1</w:t>
            </w:r>
          </w:p>
        </w:tc>
        <w:tc>
          <w:tcPr>
            <w:tcW w:w="320" w:type="dxa"/>
            <w:vAlign w:val="bottom"/>
            <w:gridSpan w:val="3"/>
            <w:shd w:val="clear" w:color="auto" w:fill="CCEEFF"/>
          </w:tcPr>
          <w:p>
            <w:pPr>
              <w:jc w:val="center"/>
              <w:ind w:left="155"/>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35.2</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Statements of Cash Flows Data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25.9</w:t>
            </w:r>
          </w:p>
        </w:tc>
        <w:tc>
          <w:tcPr>
            <w:tcW w:w="320" w:type="dxa"/>
            <w:vAlign w:val="bottom"/>
            <w:gridSpan w:val="3"/>
            <w:shd w:val="clear" w:color="auto" w:fill="CCEEFF"/>
          </w:tcPr>
          <w:p>
            <w:pPr>
              <w:jc w:val="center"/>
              <w:ind w:left="155"/>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25.3</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Cash provided by (used in):</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3"/>
              </w:rPr>
              <w:t>100.5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141.2</w:t>
            </w:r>
          </w:p>
        </w:tc>
        <w:tc>
          <w:tcPr>
            <w:tcW w:w="320" w:type="dxa"/>
            <w:vAlign w:val="bottom"/>
            <w:gridSpan w:val="3"/>
            <w:shd w:val="clear" w:color="auto" w:fill="CCEEFF"/>
          </w:tcPr>
          <w:p>
            <w:pPr>
              <w:jc w:val="center"/>
              <w:ind w:left="155"/>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80.4</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40.8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(133.0)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7"/>
              </w:rPr>
              <w:t>(84.0)</w:t>
            </w:r>
          </w:p>
        </w:tc>
        <w:tc>
          <w:tcPr>
            <w:tcW w:w="600" w:type="dxa"/>
            <w:vAlign w:val="bottom"/>
            <w:tcBorders>
              <w:lef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324"/>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Other Financial Data</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earnings</w:t>
            </w:r>
            <w:r>
              <w:rPr>
                <w:rFonts w:ascii="Arial" w:cs="Arial" w:eastAsia="Arial" w:hAnsi="Arial"/>
                <w:sz w:val="15"/>
                <w:szCs w:val="15"/>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66.9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93.3</w:t>
            </w:r>
          </w:p>
        </w:tc>
        <w:tc>
          <w:tcPr>
            <w:tcW w:w="320" w:type="dxa"/>
            <w:vAlign w:val="bottom"/>
            <w:gridSpan w:val="3"/>
            <w:shd w:val="clear" w:color="auto" w:fill="CCEEFF"/>
          </w:tcPr>
          <w:p>
            <w:pPr>
              <w:jc w:val="center"/>
              <w:ind w:left="155"/>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51.7</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151.8</w:t>
            </w:r>
          </w:p>
        </w:tc>
        <w:tc>
          <w:tcPr>
            <w:tcW w:w="140" w:type="dxa"/>
            <w:vAlign w:val="bottom"/>
          </w:tcPr>
          <w:p>
            <w:pPr>
              <w:spacing w:after="0"/>
              <w:rPr>
                <w:sz w:val="20"/>
                <w:szCs w:val="20"/>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w w:val="93"/>
              </w:rPr>
              <w:t>112.5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156.5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w w:val="88"/>
              </w:rPr>
              <w:t>118.5</w:t>
            </w:r>
          </w:p>
        </w:tc>
        <w:tc>
          <w:tcPr>
            <w:tcW w:w="1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72.0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4"/>
                <w:szCs w:val="14"/>
                <w:b w:val="1"/>
                <w:bCs w:val="1"/>
                <w:color w:val="auto"/>
                <w:w w:val="97"/>
              </w:rPr>
              <w:t>Active Nutrition</w:t>
            </w: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6"/>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June 30,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6"/>
            <w:vMerge w:val="restart"/>
          </w:tcPr>
          <w:p>
            <w:pPr>
              <w:jc w:val="right"/>
              <w:ind w:right="280"/>
              <w:spacing w:after="0"/>
              <w:rPr>
                <w:sz w:val="20"/>
                <w:szCs w:val="20"/>
                <w:color w:val="auto"/>
              </w:rPr>
            </w:pPr>
            <w:r>
              <w:rPr>
                <w:rFonts w:ascii="Arial" w:cs="Arial" w:eastAsia="Arial" w:hAnsi="Arial"/>
                <w:sz w:val="14"/>
                <w:szCs w:val="14"/>
                <w:b w:val="1"/>
                <w:bCs w:val="1"/>
                <w:color w:val="auto"/>
              </w:rPr>
              <w:t>September 30,</w:t>
            </w:r>
          </w:p>
        </w:tc>
        <w:tc>
          <w:tcPr>
            <w:tcW w:w="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gridSpan w:val="3"/>
            <w:vMerge w:val="restart"/>
          </w:tcPr>
          <w:p>
            <w:pPr>
              <w:jc w:val="center"/>
              <w:ind w:right="91"/>
              <w:spacing w:after="0" w:line="149"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gridSpan w:val="6"/>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6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4"/>
            <w:vMerge w:val="restart"/>
          </w:tcPr>
          <w:p>
            <w:pPr>
              <w:jc w:val="right"/>
              <w:ind w:right="1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6"/>
              </w:rPr>
              <w:t>(unaudited)</w:t>
            </w:r>
          </w:p>
        </w:tc>
        <w:tc>
          <w:tcPr>
            <w:tcW w:w="6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Sheet Data</w:t>
            </w: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16"/>
              <w:spacing w:after="0"/>
              <w:rPr>
                <w:sz w:val="20"/>
                <w:szCs w:val="20"/>
                <w:color w:val="auto"/>
              </w:rPr>
            </w:pPr>
            <w:r>
              <w:rPr>
                <w:rFonts w:ascii="Arial" w:cs="Arial" w:eastAsia="Arial" w:hAnsi="Arial"/>
                <w:sz w:val="18"/>
                <w:szCs w:val="18"/>
                <w:color w:val="auto"/>
                <w:w w:val="95"/>
              </w:rPr>
              <w:t>3.4</w:t>
            </w:r>
          </w:p>
        </w:tc>
        <w:tc>
          <w:tcPr>
            <w:tcW w:w="80" w:type="dxa"/>
            <w:vAlign w:val="bottom"/>
          </w:tcPr>
          <w:p>
            <w:pPr>
              <w:spacing w:after="0"/>
              <w:rPr>
                <w:sz w:val="18"/>
                <w:szCs w:val="18"/>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10.9</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16"/>
              <w:spacing w:after="0"/>
              <w:rPr>
                <w:sz w:val="20"/>
                <w:szCs w:val="20"/>
                <w:color w:val="auto"/>
              </w:rPr>
            </w:pPr>
            <w:r>
              <w:rPr>
                <w:rFonts w:ascii="Arial" w:cs="Arial" w:eastAsia="Arial" w:hAnsi="Arial"/>
                <w:sz w:val="18"/>
                <w:szCs w:val="18"/>
                <w:color w:val="auto"/>
              </w:rPr>
              <w:t>597.6</w:t>
            </w:r>
          </w:p>
        </w:tc>
        <w:tc>
          <w:tcPr>
            <w:tcW w:w="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560.4</w:t>
            </w:r>
          </w:p>
        </w:tc>
        <w:tc>
          <w:tcPr>
            <w:tcW w:w="3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4"/>
              </w:rPr>
              <w:t>583.2</w:t>
            </w: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16"/>
              <w:spacing w:after="0"/>
              <w:rPr>
                <w:sz w:val="20"/>
                <w:szCs w:val="20"/>
                <w:color w:val="auto"/>
              </w:rPr>
            </w:pPr>
            <w:r>
              <w:rPr>
                <w:rFonts w:ascii="Arial" w:cs="Arial" w:eastAsia="Arial" w:hAnsi="Arial"/>
                <w:sz w:val="18"/>
                <w:szCs w:val="18"/>
                <w:color w:val="auto"/>
                <w:w w:val="95"/>
              </w:rPr>
              <w:t>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parent company equity</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16"/>
              <w:spacing w:after="0"/>
              <w:rPr>
                <w:sz w:val="20"/>
                <w:szCs w:val="20"/>
                <w:color w:val="auto"/>
              </w:rPr>
            </w:pPr>
            <w:r>
              <w:rPr>
                <w:rFonts w:ascii="Arial" w:cs="Arial" w:eastAsia="Arial" w:hAnsi="Arial"/>
                <w:sz w:val="18"/>
                <w:szCs w:val="18"/>
                <w:color w:val="auto"/>
              </w:rPr>
              <w:t>491.0</w:t>
            </w:r>
          </w:p>
        </w:tc>
        <w:tc>
          <w:tcPr>
            <w:tcW w:w="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451.7</w:t>
            </w:r>
          </w:p>
        </w:tc>
        <w:tc>
          <w:tcPr>
            <w:tcW w:w="3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4"/>
              </w:rPr>
              <w:t>484.4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00" w:right="260" w:hanging="414"/>
        <w:spacing w:after="0" w:line="277"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 “Explanation and Reconciliation of Non-GAAP Measures” for a reconciliation of Adjusted net earnings and Adjusted EBITDA to the most directly comparable GAAP measure.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240" w:top="459" w:right="6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described below, together with all of the other information in this prospectus, including Post’s Active Nutrition business’s combined financial statements and the accompanying notes, before deciding whether to purchase shares of our Class A common stock. The occurrence of any of the risks described below could materially and adversely affect our business, financial condition, results of operations and cash flows. As a result, the market price of our Class A common stock could decline, and you could lose all or a part of your investment. Some statements in this prospectus, including statements in the following risk factors, constitute forward-looking statements. Please refer to “Cautionary Statement Regarding Forward-Looking Statements” for more information regarding forward-looking statements.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A substantial amount of our net sales comes from our RTD protein shakes, and a decrease in sales of our RTD protein shakes would adversely affect our business, financial condition, results of operations and cash flows.</w:t>
      </w:r>
    </w:p>
    <w:p>
      <w:pPr>
        <w:spacing w:after="0" w:line="62"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A substantial amount of our net sales is derived from our RTD protein shakes. Sales of our RTD protein shakes represented approximately 71% of our net sales in fiscal 2018. We believe that sales of our RTD protein shakes will continue to constitute a substantial amount of our net sales for the foreseeable future. Our business, financial condition, results of operations and cash flows would be harmed by a decline in the market for our RTD protein shakes, increased competition in the market for those products, disruptions in our ability to produce those products, whether due to manufacturer inability, supply chain failures or otherwise, or our failure or inability to provide sufficient investment to support and market those products as needed to maintain or grow their competitive position or to achieve more widespread market acceptance.</w:t>
      </w:r>
    </w:p>
    <w:p>
      <w:pPr>
        <w:spacing w:after="0" w:line="287" w:lineRule="exact"/>
        <w:rPr>
          <w:sz w:val="20"/>
          <w:szCs w:val="20"/>
          <w:color w:val="auto"/>
        </w:rPr>
      </w:pPr>
    </w:p>
    <w:p>
      <w:pPr>
        <w:ind w:left="640" w:right="100"/>
        <w:spacing w:after="0" w:line="279" w:lineRule="auto"/>
        <w:rPr>
          <w:sz w:val="20"/>
          <w:szCs w:val="20"/>
          <w:color w:val="auto"/>
        </w:rPr>
      </w:pPr>
      <w:r>
        <w:rPr>
          <w:rFonts w:ascii="Arial" w:cs="Arial" w:eastAsia="Arial" w:hAnsi="Arial"/>
          <w:sz w:val="17"/>
          <w:szCs w:val="17"/>
          <w:b w:val="1"/>
          <w:bCs w:val="1"/>
          <w:i w:val="1"/>
          <w:iCs w:val="1"/>
          <w:color w:val="auto"/>
        </w:rPr>
        <w:t>We are currently dependent on a limited number of third party contract manufacturers and suppliers for the manufacturing of most of our products, including one manufacturer for the substantial majority of our RTD protein shakes. Our business could suffer as a result of a third party contract manufacturer’s inability to produce our products for us in the quantities required, on time or to our specifications or to obtain the supplies and equipment necessary for such production.</w:t>
      </w:r>
    </w:p>
    <w:p>
      <w:pPr>
        <w:spacing w:after="0" w:line="6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All of our RTD protein shakes and most of our other products are manufactured by a limited number of independent third party contract manufacturers. For the last twelve months ended June 30, 2019, approximately 84%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 supply came from a single supplier and approximately 57% from a single facility of that manufacturer. In addition, production of the RTD protein shakes in the 11 ounce size by our third party contract manufacturers requires packaging that we currently are sourcing from only one supplier and equipment that our third party contract manufacturers are currently sourcing from the same supplier. Although we have added additional contract manufacturers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to our third party contract manufacturing network, our number of third party contract manufacturers is still limited and if one or more of our third party contract manufacturers is unable to meet our supply requirements, it could have a material adverse impact on our business, financial condition, results of operations and cash flows. Although there are alternative suppliers if this current sole supplier can no longer supply us and our third party contract manufacturers with equipment or sufficient packaging, a change in supplier could delay the production of our RTD protein shakes in the 11 ounce size by our third party contract manufacturers. Also, if we experience significant increases in demand for our products, we and these third party contract manufacturers may not be able to obtain in a timely manner the equipment or packaging materials required to manufacture our products (including, in particular, the RTD protein shakes in the 11 ounce size) and allocate sufficient capacity to us in order to meet our requirements, fill our orders in a timely manner or meet our quality standards. Further, we may experience operational difficulties with any of these third party contract manufacturers, such as limitations on production capacity, failure to meet our quantity requirements, increases in manufacturing costs, errors in complying with product specifications, insufficient quality control and failure to meet production deadlines. We are currently in a dispute</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3" w:lineRule="auto"/>
        <w:rPr>
          <w:sz w:val="20"/>
          <w:szCs w:val="20"/>
          <w:color w:val="auto"/>
        </w:rPr>
      </w:pPr>
      <w:r>
        <w:rPr>
          <w:rFonts w:ascii="Arial" w:cs="Arial" w:eastAsia="Arial" w:hAnsi="Arial"/>
          <w:sz w:val="18"/>
          <w:szCs w:val="18"/>
          <w:color w:val="auto"/>
        </w:rPr>
        <w:t>with one of our former third party contract manufacturers, which we had expected to produce less than 10% of our RTD protein shakes for fiscal year 2019, that has resulted in our termination of our agreement with them and related litigation. In addition, we rely in part on our independent third party contract manufacturers to maintain the quality of our products. The failure or inability of our independent third party contract manufacturers to comply with the specifications and requirements of our products could result in product withdrawal or recall, which could materially and adversely affect our reputation and subject us to significant liability should the consumption of any of our products cause or be claimed to cause illness or physical harm. Additionally, our business could be adversely affected if we fail to develop or maintain our relationships with any of these third parties, including the packaging and equipment supplier for our RTD protein shakes in the 11 ounce size, if any of these third parties fail to comply with governmental regulations applicable to the manufacturing of our products or if any of these third parties cease doing business with us or go out of business. The inability of third party contract manufacturers to ship orders in a timely manner, in desirable quantities or to meet our safety, quality and social compliance standards or regulatory requirements could have a material adverse impact on our business, financial condition, results of operations and cash flows.</w:t>
      </w:r>
    </w:p>
    <w:p>
      <w:pPr>
        <w:spacing w:after="0" w:line="193"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 xml:space="preserve">Certain of our relationships with these third parties are subject to minimum volume commitments, whereby the third party contract manufacturer has committed to produce, and we have committed to purchase, a minimum quantity of product, and we or the contract manufacturer may alternatively pay the other a mostly fixed amount rather than produce or purchase the minimum quantities. Despite the minimum volume commitments, we may nonetheless experience situations where such manufacturers are unable to fulfill their minimum volume obligations under our agreements or cannot produce sufficient amount of product to meet consumer demand. For example, due to a combination of better than expected volume growth for our </w:t>
      </w: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RTD shakes in the second half of fiscal 2018 and delays in planned incremental production capacity by our third party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 network, our customer demand exceeded our available capacity and resulted in inventory below acceptable levels at September 30, 2018. These factors resulted in volume increases of our RTD protein shakes for the nine months ended June 30, 2019 being below growth trends experienced in fiscal 2018 and 2017. See “Management’s Discussion and Analysis of Financial Condition and Results of Operations.” If we need to replace an existing third party contract manufacturer, our products may not be available when required on acceptable terms, or at all.</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operate in a category with strong competition.</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convenient nutrition category, which we believe includes the everyday nutrition, adult nutrition, sports nutrition and weight management consumer need states, is highly competitive. We compete with other brands in the convenient nutrition category and with many nutritional food and beverage players, as well as manufacturers of private label products. Many of our competitors offer products similar to our products, or a wider range of products than we offer, and may offer their products at more competitive prices than we do. Competition in our industry is based on product quality, taste, functional benefits, convenience, brand loyalty and positioning, product variety, product packaging, shelf space, price, promotional efforts and ingredients.</w:t>
      </w:r>
    </w:p>
    <w:p>
      <w:pPr>
        <w:spacing w:after="0" w:line="193"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Some of our principal competitors have substantially more financial, marketing and other resources than we have. Our category also includes a number of smaller competitors, many of whom offer products similar to ours and may have unique ties to retailers. A strong competitive response from one or more of our competitors to our marketplace efforts, or a shift in consumer preferences to competitors’ products, could result in us reducing pricing, increasing marketing or other expenditures or losing market share. Competitive pressures also may restrict our ability to increase our prices, including in response to cost increases. Our profits could decrease if a reduction in prices or increased costs are not counterbalanced with increased sales volume. In addition, our competitors are increasingly using social media networks to advertise products. If we are unable to use social media effectively to advertise our products, it could adversely affect our business, financial condition, results of operations and cash flows.</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40"/>
        <w:spacing w:after="0" w:line="277" w:lineRule="auto"/>
        <w:rPr>
          <w:sz w:val="20"/>
          <w:szCs w:val="20"/>
          <w:color w:val="auto"/>
        </w:rPr>
      </w:pPr>
      <w:r>
        <w:rPr>
          <w:rFonts w:ascii="Arial" w:cs="Arial" w:eastAsia="Arial" w:hAnsi="Arial"/>
          <w:sz w:val="18"/>
          <w:szCs w:val="18"/>
          <w:b w:val="1"/>
          <w:bCs w:val="1"/>
          <w:i w:val="1"/>
          <w:iCs w:val="1"/>
          <w:color w:val="auto"/>
        </w:rPr>
        <w:t>Our reliance on a limited number of suppliers for certain ingredients and packaging materials, the price and availability of ingredients and packaging materials, higher freight costs and higher energy costs could negatively impact profits.</w:t>
      </w:r>
    </w:p>
    <w:p>
      <w:pPr>
        <w:spacing w:after="0" w:line="62"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 xml:space="preserve">We rely on a limited number of third party suppliers to provide certain ingredients used in our business. The primary ingredients used in our business include milk-based, whey-based and soy-based proteins and protein blends, and one supplier provides the majority of our milk-based protein. The supply and price of these ingredients are subject to market conditions and are influenced by many factors beyond our control, including animal feed costs, weather patterns affecting ingredient production, governmental programs and regulations, insects, plant diseases and inflation. Our primary packaging materials include aseptic foil and plastic lined cardboard cartons, aseptic plastic bottles, plastic jars and lids, flexible film, cartons and corrugate. We utilize a sole supplier for the aseptic packaging for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in the 11 ounce size. Although we maintain relationships with suppliers with the objective of ensuring that we have adequate sources for the supply of such ingredients and packaging materials, increases in demand for such items, both within our industry and in general, can result in shortages and higher costs. Our suppliers may not be able to meet our delivery schedules, we may lose a significant or sole supplier, a supplier may not be able to meet performance and quality specifications and we may not be able to purchase such items at a competitive cost. Further, the cost of ingredients and packaging materials may fluctuate widely, and we may experience shortages in certain items as a result of limited availability, increased demand, weather conditions and natural disasters, as well as other factors outside of our control. Our freight costs may increase due to factors such as limited carrier availability, increased fuel costs, increased compliance costs associated with new or changing government regulations and inflation. Higher prices for natural gas, propane, electricity and fuel also may increase our ingredient, production and delivery costs. The prices charged for our products may not reflect changes in our ingredient, packaging material, freight, tariff and energy costs at the time they occur, or at all.</w:t>
      </w:r>
    </w:p>
    <w:p>
      <w:pPr>
        <w:spacing w:after="0" w:line="183"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The loss of key supply sources, for any reason, our inability to obtain necessary quantities of ingredients and packaging materials or changes in freight or energy costs may limit our ability to maintain existing margins and may have a material adverse effect on our business, financial condition, results of operations and cash flows. If we fail, or are unable, to hedge and prices subsequently increase, or if we institute a hedge and prices subsequently decrease, our costs may be greater than anticipated or greater than our competitors’ costs, and our business, financial condition, results of operations and cash flows could be adversely affected.</w:t>
      </w:r>
    </w:p>
    <w:p>
      <w:pPr>
        <w:spacing w:after="0" w:line="296"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Disruption of our supply chain and changes in weather conditions could have an adverse effect on our business, financial condition, results of operations and cash flows.</w:t>
      </w:r>
    </w:p>
    <w:p>
      <w:pPr>
        <w:spacing w:after="0" w:line="62"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Our ability to make, move and sell products in coordination with our suppliers, business partners and third party contract manufacturers is critical to our success. Damage or disruption to our collective supply, manufacturing or distribution capabilities resulting from weather, freight carrier availability, any potential effects of climate change, natural disaster, disease, fire, explosion, cyber-attacks, terrorism, pandemics, strikes, repairs or enhancements at facilities manufacturing or delivering our products or other reasons could impair our ability to manufacture, sell or timely deliver our products.</w:t>
      </w:r>
    </w:p>
    <w:p>
      <w:pPr>
        <w:spacing w:after="0" w:line="188"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 xml:space="preserve">Changes in weather conditions and natural disasters, such as fires, floods, droughts, frosts, hurricanes, earthquakes, tornados, insect infestations and plant disease, also may affect the cost and supply of commodities used as raw materials, including milk-based, whey-based and soy-based proteins and protein blends. Further, as we rely on a limited number of third party suppliers to provide certain ingredients and packaging materials, and one supplier for the majority of our milk-based protein, adverse events affecting such suppliers may limit our ability to obtain such raw materials, or alternatives for these raw materials, at competitive prices, or at all. For example, for the last twelve months ended June 30, 2019, approximately 84% of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 supply came from our largest contract manufacturer, Stremick’s Heritage Foods, LLC, from its three manufacturing facilities located in Riverside and Santa Ana, California and Joplin, Missouri, with approximately 57% of such supply manufactured at the Joplin, Missouri facility. In 2011, a major tornado struck Joplin, Missouri, but our supply of product from the Joplin, Missouri facility was not impacted. In addition, production</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302" w:lineRule="auto"/>
        <w:rPr>
          <w:sz w:val="20"/>
          <w:szCs w:val="20"/>
          <w:color w:val="auto"/>
        </w:rPr>
      </w:pPr>
      <w:r>
        <w:rPr>
          <w:rFonts w:ascii="Arial" w:cs="Arial" w:eastAsia="Arial" w:hAnsi="Arial"/>
          <w:sz w:val="16"/>
          <w:szCs w:val="16"/>
          <w:color w:val="auto"/>
        </w:rPr>
        <w:t>of the RTD protein shakes in the 11 ounce size by our third party contract manufacturers requires packaging that we currently are sourcing from only one supplier, and equipment that our third party contract manufacturers are currently sourcing from the same supplier. Our supply of packaging for our 11 ounce RTD protein shakes from this supplier comes primarily from its locations in Mexicali, Baja California, Mexico and Denton, Texas. Competitors can be affected differently by weather conditions and natural disasters depending on the location of their suppliers and operations.</w:t>
      </w:r>
    </w:p>
    <w:p>
      <w:pPr>
        <w:spacing w:after="0" w:line="154"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Failure to take adequate steps to reduce the likelihood or mitigate the potential impact of such events, or to effectively manage such events if they occur, particularly when an ingredient or packaging material is sourced from a single location or supplier, could adversely affect our business, financial condition, results of operations and cash flows and/or require additional resources to restore our supply chain.</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Consolidation in our distribution channels, and competitive, economic and other pressures facing our customers, may hurt our profit margins.</w:t>
      </w:r>
    </w:p>
    <w:p>
      <w:pPr>
        <w:spacing w:after="0" w:line="152"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Over the past several years, our channels have undergone significant consolidations and mass merchandisers and non-traditional retailers are gaining market share. As this trend continues and such customers grow larger, they may seek to use their position to improve their profitability through improved efficiency, lower pricing, increased reliance on their own brand name products, increased emphasis on generic and other value brands and increased promotional programs. If we are unable to respond to these requirements, our profitability or volume growth could be negatively impacted. Additionally, if any of our customers are consolidated with another entity and the surviving entity of any such consolidation is not a customer or decides to discontinue purchasing our products, we may lose significant amounts of our preexisting business with the acquired customer. Further, the economic and competitive landscape for our customers is constantly changing, such as the emergence of new sales channels like eCommerce, and our customers’ responses to those changes could impact our business. Consolidation in our channels also increases the risk that adverse changes to our customers’ business operations or financial performance would have a material adverse effect on us.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must identify changing consumer and customer preferences and develop and offer products to meet these preferences.</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Our consumers are constantly seeking new products and strategies to help them achieve their healthy eating and fitness goals, and our success relies heavily on our ability to continue to develop and market to our consumers and our customers new and innovative products and extensions of existing products. Consumer focus includes dietary, fitness and health and wellness trends, different nutritional aspects and health effects of foods and beverages, sourcing practices relating to ingredients and animal welfare concerns. Emerging science and theories regarding health are constantly evolving, and products or methods of eating once considered healthy may over time become disfavored by consumers or no longer be perceived as healthy. Approaches regarding healthy lifestyles also are the subject of numerous studies and publications, often with differing views and opinions, some of which may be adverse to us. In order to respond to new and evolving consumer and customer demands, achieve market acceptance and keep pace with new nutritional, technological and other developments, we must constantly introduce new and innovative products into the market. We may not be successful in developing, introducing on a timely basis or marketing any new or enhanced products, and specifically, the initial sales volumes for new or enhanced products may not reach anticipated levels, we may be required to engage in extensive marketing efforts to promote such products, the costs of developing and promoting such products may exceed our expectations and such products may not perform as expected. Further, certain ingredients used in our products may become negatively perceived by consumers, resulting in decreased demand for our products or reformulation of existing products to remove such ingredients, which may negatively affect taste or other qualities. Prolonged negative perceptions concerning the health implications of certain food and beverage products could influence consumer preferences and acceptance of some of our products and marketing programs. Although we strive to respond to consumer preferences and social expectations, we may not be successful in these efforts. Any significant changes in consumer or customer preferences or our inability to anticipate or react,</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or effectively introduce new products in response, to such changes could negatively impact our business, financial condition, results of operations and cash flows.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results may be adversely impacted if consumers do not maintain favorable perceptions of our brands.</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Maintaining and continually enhancing the value of our brands is critical to the success of our business. Brand value is based in large part on consumer perceptions. Success in promoting and enhancing brand value depends to a significant extent on our ability to provide high-quality products. Brand value could diminish significantly due to a number of factors, including our products becoming unavailable to consumers, our failure to maintain the quality of our products, the failure of our products to deliver consistently positive consumer experiences, adverse publicity about our products, packaging or ingredients (whether or not valid), concerns about food safety, real or perceived health concerns regarding our products or consumer perception that we have acted in an irresponsible manner. Consumer demand for our products also may be impacted by changes in the level of advertising or promotional support. We may need to increase our marketing and advertising spending in order to maintain and increase customer and consumer awareness, protect and grow our existing market share or to promote new products, which could impact our business, financial condition, results of operations and cash flows. However, an increase in our marketing and advertising efforts may not maintain our current reputation or lead to an increase in brand awareness. The growing use of social and digital media by consumers, us and third parties increases the speed and extent that information or misinformation and opinions can be shared. Negative posts or comments about us, our brands, products or packaging or the food industry generally on social or digital media could seriously damage our brands and reputation. If we do not maintain favorable perceptions of our products and our brands, including if we are unable to respond effectively to negative posts or comments or erroneous statements about our products on social or digital media, our business, financial condition, results of operations and cash flows could be adversely impacted.</w:t>
      </w:r>
    </w:p>
    <w:p>
      <w:pPr>
        <w:spacing w:after="0" w:line="17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In addition, our success in maintaining and enhancing our brand image depends on our ability to anticipate change and adapt to a rapidly changing marketing and media environment, including our increasing reliance on social media and online, digital and mobile dissemination of marketing and advertising campaigns and the increasing accessibility and speed of dissemination of information. A variety of legal and regulatory restrictions limit how and to whom we market our products. These restrictions may limit our brand renovation, innovation and promotion plans, particularly as social media and the communications environment continue to evolve. Negative posts or comments about us or our brands on social media or websites (whether factual or not) or security breaches related to use of our social media and failure to respond effectively to these posts, comments or activities could damage our reputation and brand image across the various regions in which we operate. In addition, we might fail to invest sufficiently in maintaining, extending and expanding our brands, our marketing efforts might not achieve desired results and we might be required to recognize impairment charges on our brands or related intangible assets or goodwill. Furthermore, third parties may sell counterfeit or imitation versions of our products that are inferior or pose safety risks. If consumers confuse these counterfeit products for our products or have a bad experience with the counterfeit brand, they might refrain from purchasing our brands in the future, which could harm our brand image and sales. If we do not successfully maintain and enhance our reputation and brand health, then our brands, product sales, financial condition and results of operations could be materially and adversely affected.</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sales and profit growth are dependent upon our ability to expand existing market penetration and enter into new markets.</w:t>
      </w:r>
    </w:p>
    <w:p>
      <w:pPr>
        <w:spacing w:after="0" w:line="1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Successful growth depends in part on our ability to add new customers, as well as expand the number of products sold through existing customers. This growth would include expanding the number of our products retailers offer for sale, our product placement and our ability to secure additional shelf or retail space for our products, as well as increased access to online platforms to sell our products. Shelf and retail space is limited and subject to competitive and other pressures. The expansion of our business depends on our ability to obtain new, or expand our business with existing, customers, such as club, FDM, eCommerce, convenience and specialty customers.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rapid emergence of new distribution channels, particularly eCommerce, may create consumer price deflation, affecting our customer relationships and presenting additional challenges to increasing prices in response to commodity or other cost increases. We also may need to increase or reallocate spending on marketing, retail trade incentives, materials, advertising and new product innovation to maintain or increase market share. These expenditures are subject to risks, including uncertainties about trade and consumer acceptance of our efforts. Our failure to obtain new, or expand our business with existing, customers could have a material adverse effect on our business, financial condition, results of operations and cash flows.</w:t>
      </w:r>
    </w:p>
    <w:p>
      <w:pPr>
        <w:spacing w:after="0" w:line="266"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b w:val="1"/>
          <w:bCs w:val="1"/>
          <w:i w:val="1"/>
          <w:iCs w:val="1"/>
          <w:color w:val="auto"/>
        </w:rPr>
        <w:t>If our products become adulterated or contaminated, or if they are misbranded or mislabeled, we might need to recall or withdraw those items and may experience product liability claims if consumers are injured.</w:t>
      </w:r>
    </w:p>
    <w:p>
      <w:pPr>
        <w:spacing w:after="0" w:line="62"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Selling food products, beverages and nutritional supplements involves a number of legal and other risks, including contamination, spoilage, tampering, mislabeling or other adulteration. Additionally, many of the raw materials used to make certain of our products, particularly milk-based protein and nuts, are vulnerable to contamination by naturally occurring molds and pathogens, such as salmonella. We may need to recall or withdraw some or all of our products if they become adulterated, mislabeled or misbranded, whether caused by us or someone in our manufacturing or supply chain. A recall or withdrawal could result in destruction of product inventory, negative publicity, temporary plant closings for us or our third party contract manufacturers, supply chain interruption, substantial costs of compliance or remediation, fines and increased scrutiny by federal, state and foreign regulatory agencies. Should consumption of any product cause injury, we may be liable for monetary damages as a result of a judgment against us. In addition, adverse publicity, including claims, whether or not valid, that our products or ingredients are unsafe or of poor quality, may discourage consumers from buying our products or cause production and delivery disruptions. Any of these events, including a significant product liability claim against us, could result in a loss of consumer confidence in our products. Although we have various insurance programs in place and may have rights to indemnification in certain situations, any of these events and/or a loss of consumer confidence could have an adverse effect on our business, financial condition, results of operations and cash flows.</w:t>
      </w:r>
    </w:p>
    <w:p>
      <w:pPr>
        <w:spacing w:after="0" w:line="288" w:lineRule="exact"/>
        <w:rPr>
          <w:sz w:val="20"/>
          <w:szCs w:val="20"/>
          <w:color w:val="auto"/>
        </w:rPr>
      </w:pPr>
    </w:p>
    <w:p>
      <w:pPr>
        <w:ind w:left="640" w:right="320"/>
        <w:spacing w:after="0" w:line="277" w:lineRule="auto"/>
        <w:rPr>
          <w:sz w:val="20"/>
          <w:szCs w:val="20"/>
          <w:color w:val="auto"/>
        </w:rPr>
      </w:pPr>
      <w:r>
        <w:rPr>
          <w:rFonts w:ascii="Arial" w:cs="Arial" w:eastAsia="Arial" w:hAnsi="Arial"/>
          <w:sz w:val="18"/>
          <w:szCs w:val="18"/>
          <w:b w:val="1"/>
          <w:bCs w:val="1"/>
          <w:i w:val="1"/>
          <w:iCs w:val="1"/>
          <w:color w:val="auto"/>
        </w:rPr>
        <w:t>Violations of laws or regulations by us or our third party contract manufacturers, as well as new laws or regulations or changes to existing laws or regulations, could adversely affect our business.</w:t>
      </w:r>
    </w:p>
    <w:p>
      <w:pPr>
        <w:spacing w:after="0" w:line="62"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convenient nutrition category in which we operate is subject to a variety of federal, state and foreign laws and regulations, including requirements related to food safety, quality, manufacturing, processing, storage, marketing, advertising, labeling and distribution, as well as those related to worker health and workplace safety. Our activities, both inside and outside of the U.S., are subject to extensive regulation. In the U.S., we are regulated by, and our activities are affected by, among other federal and state authorities and regulations, the Food and Drug Administration (the “FDA”), the U.S. Department of Agriculture (the “USDA”), the Federal Trade Commission, the Occupational Safety and Health Administration and California’s Safe Drinking Water and Toxic Enforcement Act of 1986 (Proposition 65). In Europe, we are regulated by, among other authorities, the European Union Parliament and the Council of the European Union and the U.K.’s Food Standards Agency, Health and Safety Executive, Environment Agency, Environmental Health Officers and Trading Standards Officers and their equivalents in other European Union (the “E.U.”) member states. We also are regulated by similar authorities in Canada, Mexico and elsewhere in the world. Governmental regulations also affect taxes and levies, tariffs, healthcare costs, energy usage, data privacy and immigration and labor issues, any or all of which may have a direct or indirect effect on our business or the businesses of our customers or suppliers. In addition, we could be the target of claims relating to alleged false or deceptive advertising under federal, state and foreign laws and regulations (whether or not valid).</w:t>
      </w:r>
    </w:p>
    <w:p>
      <w:pPr>
        <w:spacing w:after="0" w:line="18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impact of current laws and regulations, changes in these laws or regulations or the introduction of new laws or regulations could increase the costs of doing business for us or our customers or suppliers, causing our business, financial condition, results of operations and cash flows to be adversely affected. Further, if we are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found to be out of compliance with applicable laws and regulations in these areas, we could be subject to civil remedies, including fines, revocations of required licenses, detention, seizure, injunctions or recalls, as well as potential criminal sanctions, any or all of which could have a material adverse effect on our business, financial condition, results of operations and cash flows.</w:t>
      </w:r>
    </w:p>
    <w:p>
      <w:pPr>
        <w:spacing w:after="0" w:line="289" w:lineRule="exact"/>
        <w:rPr>
          <w:sz w:val="20"/>
          <w:szCs w:val="20"/>
          <w:color w:val="auto"/>
        </w:rPr>
      </w:pPr>
    </w:p>
    <w:p>
      <w:pPr>
        <w:ind w:left="640" w:right="380"/>
        <w:spacing w:after="0" w:line="277" w:lineRule="auto"/>
        <w:rPr>
          <w:sz w:val="20"/>
          <w:szCs w:val="20"/>
          <w:color w:val="auto"/>
        </w:rPr>
      </w:pPr>
      <w:r>
        <w:rPr>
          <w:rFonts w:ascii="Arial" w:cs="Arial" w:eastAsia="Arial" w:hAnsi="Arial"/>
          <w:sz w:val="18"/>
          <w:szCs w:val="18"/>
          <w:b w:val="1"/>
          <w:bCs w:val="1"/>
          <w:i w:val="1"/>
          <w:iCs w:val="1"/>
          <w:color w:val="auto"/>
        </w:rPr>
        <w:t>Certain of our products are subject to a higher level of regulatory scrutiny, resulting in increased costs of operations and the potential for delays in product sales.</w:t>
      </w:r>
    </w:p>
    <w:p>
      <w:pPr>
        <w:spacing w:after="0" w:line="62"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Some of our products are regulated by the FDA as dietary supplements, which are subject to FDA regulations and levels of regulatory scrutiny different from those applicable to conventional food. It also is possible that federal, state or foreign enforcement authorities might take regulatory or enforcement action, which could result in significant fines or penalties. If we are found to be significantly out of compliance, an enforcement authority could issue a warning letter and/or institute enforcement actions that could result in additional costs, substantial delays in production or even a temporary shutdown in manufacturing and product sales while the non-conformances are rectified. Also, we may have to recall product or otherwise remove product from the market, and temporarily cease its manufacture and distribution, which would increase our costs and reduce our revenues. Any product liability claims resulting from the failure to comply with applicable laws and regulations would be expensive to defend and could result in substantial damage awards against us or harm our reputation. The convenient nutrition category is regulated internationally as food, dietary supplements and in some cases, drug products. There is some risk that product classifications could be changed by the regulators, which could result in significant fines, penalties, discontinued distribution and relabeling costs. Any of these events would negatively impact our revenues and costs of operations.</w:t>
      </w:r>
    </w:p>
    <w:p>
      <w:pPr>
        <w:spacing w:after="0" w:line="277"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We may not be able to effectively manage our growth, which could materially harm our business, financial condition, results of operations and cash flows.</w:t>
      </w:r>
    </w:p>
    <w:p>
      <w:pPr>
        <w:spacing w:after="0" w:line="62"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Our recent growth has placed, and we expect that our continued growth may place, a significant demand on our management, personnel, systems and resources. Given our largely outsourced manufacturing model, as of September 1, 2019, we had approximately 380 employees. Our continued growth will require an increased investment by us in our contract manufacturing relationships, personnel, technology, facilities and financial and management systems and controls, including monitoring and assuring our compliance with applicable regulations. We will need to integrate, train and manage a growing employee base. Unless our growth results in an increase in our revenues that is proportionate to the increase in our costs associated with this growth, our operating margins and profitability will be adversely affected. If we fail to effectively manage our growth, our business, financial condition, results of operations and cash flows could be materially harmed.</w:t>
      </w:r>
    </w:p>
    <w:p>
      <w:pPr>
        <w:spacing w:after="0" w:line="286" w:lineRule="exact"/>
        <w:rPr>
          <w:sz w:val="20"/>
          <w:szCs w:val="20"/>
          <w:color w:val="auto"/>
        </w:rPr>
      </w:pPr>
    </w:p>
    <w:p>
      <w:pPr>
        <w:ind w:left="640" w:right="900"/>
        <w:spacing w:after="0" w:line="277" w:lineRule="auto"/>
        <w:rPr>
          <w:sz w:val="20"/>
          <w:szCs w:val="20"/>
          <w:color w:val="auto"/>
        </w:rPr>
      </w:pPr>
      <w:r>
        <w:rPr>
          <w:rFonts w:ascii="Arial" w:cs="Arial" w:eastAsia="Arial" w:hAnsi="Arial"/>
          <w:sz w:val="18"/>
          <w:szCs w:val="18"/>
          <w:b w:val="1"/>
          <w:bCs w:val="1"/>
          <w:i w:val="1"/>
          <w:iCs w:val="1"/>
          <w:color w:val="auto"/>
        </w:rPr>
        <w:t>If we pursue acquisitions or other strategic transactions, we may not be able to successfully consummate favorable transactions or successfully integrate acquired businesses.</w:t>
      </w:r>
    </w:p>
    <w:p>
      <w:pPr>
        <w:spacing w:after="0" w:line="62"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From time to time, we may evaluate potential acquisitions or other strategic transactions. Any such transaction could happen at any time, could be material to our business and could take any number of forms, including, for example, an acquisition, investment or merger, for cash or in exchange for our equity securities, a divestiture or a joint venture.</w:t>
      </w:r>
    </w:p>
    <w:p>
      <w:pPr>
        <w:spacing w:after="0" w:line="181"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Companies or operations acquired or joint ventures created may not be profitable or may not achieve the anticipated sales levels and profitability that justify the investments made. Further, evaluating potential transactions, including divestitures, requires additional expenditures (including legal, accounting and due diligence expenses, higher administrative costs to support the acquired entities and information technology, personnel and other integration expenses) and may divert the attention of our management from day-to-day operating matters.</w:t>
      </w:r>
    </w:p>
    <w:p>
      <w:pPr>
        <w:spacing w:after="0" w:line="17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With respect to acquisitions, we may not be able to identify suitable candidates, consummate a transaction on terms that are favorable to us or achieve expected returns and other benefits as a result of integration challenges.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The successful integration of acquisitions is complex and depends on our ability to manage the operations and personnel of the acquired businesses. Potential difficulties we may encounter as part of the integration process include, but are not limited to, the following: employees may voluntarily or involuntarily separate from employment with us or the acquired businesses because of the acquisitions; our management may have its attention diverted while trying to integrate the acquired businesses; we may encounter obstacles when incorporating the acquired businesses into our operations and management; we may be required to recognize impairment charges; and integration may be more costly or more time consuming and complex or less effective than anticipated. With respect to proposed divestitures of assets or businesses, we may encounter difficulty in finding acquirers or alternative exit strategies on terms that are favorable to us, which could delay the accomplishment of our strategic objectives, or our divestiture activities may require us to recognize impairment charges.</w:t>
      </w:r>
    </w:p>
    <w:p>
      <w:pPr>
        <w:spacing w:after="0" w:line="179"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Our corporate development activities may present financial and operational risks and may have adverse effects on existing business relationships with suppliers and customers. Future acquisitions also could result in potentially dilutive issuances of equity securities, the incurrence of debt, contingent liabilities and amortization expenses related to certain intangible assets and increased operating expenses, all of which could, individually or collectively, adversely affect our business, financial condition, results of operations and cash flows.</w:t>
      </w:r>
    </w:p>
    <w:p>
      <w:pPr>
        <w:spacing w:after="0" w:line="280"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b w:val="1"/>
          <w:bCs w:val="1"/>
          <w:i w:val="1"/>
          <w:iCs w:val="1"/>
          <w:color w:val="auto"/>
        </w:rPr>
        <w:t>Fluctuations in our business due to changes in our promotional activities and seasonality may have an adverse impact on our financial condition, results of operations and cash flows.</w:t>
      </w:r>
    </w:p>
    <w:p>
      <w:pPr>
        <w:spacing w:after="0" w:line="6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periodically offer a variety of sales and promotional incentives to our customers and consumers, such as price discounts, consumer coupons, volume rebates, cooperative marketing programs, slotting fees and in-store displays. Our net sales and profitability are impacted by the introduction and discontinuance of such sales and promotion incentives. In addition, we have experienced and expect to continue to experience fluctuations in our quarterly results of operations due to the seasonal nature of our business. Historically, our first fiscal quarter is seasonally low for all brands, but increases throughout the remainder of the fiscal year as a result of renewed consumer focus on healthy lifestyles entering the new calendar year, as well as significant promotional activity after the first quarter of our fiscal year. This seasonality could cause our results of operations for an interim financial period to fluctuate and not be indicative of our full year results. Seasonality also impacts relative revenue and profitability of each quarter of the year, both on a quarter-to-quarter and year-over-year basis. If we fail to effectively manage our inventories, fluctuations in business as a result of promotional activities and seasonality may have an adverse impact on our financial condition, results of operations and cash flows.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international portion of our business subjects us to additional risks.</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We are subject to a number of risks related to doing business internationally, any of which could significantly harm our business. These risks include:</w:t>
      </w:r>
    </w:p>
    <w:p>
      <w:pPr>
        <w:spacing w:after="0" w:line="76" w:lineRule="exact"/>
        <w:rPr>
          <w:sz w:val="20"/>
          <w:szCs w:val="20"/>
          <w:color w:val="auto"/>
        </w:rPr>
      </w:pPr>
    </w:p>
    <w:p>
      <w:pPr>
        <w:ind w:left="1180" w:hanging="544"/>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transfer of funds to and from foreign countries, including potentially negative tax consequences;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changes in tariffs, quotas, trade barriers or other export or import restrictions;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foreign exchange controls and currency exchange rates;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exposure to general market and economic conditions outside of the 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and economic uncertainty and volatility;</w:t>
      </w:r>
    </w:p>
    <w:p>
      <w:pPr>
        <w:spacing w:after="0" w:line="130" w:lineRule="exact"/>
        <w:rPr>
          <w:rFonts w:ascii="Arial" w:cs="Arial" w:eastAsia="Arial" w:hAnsi="Arial"/>
          <w:sz w:val="18"/>
          <w:szCs w:val="18"/>
          <w:color w:val="auto"/>
        </w:rPr>
      </w:pPr>
    </w:p>
    <w:p>
      <w:pPr>
        <w:ind w:left="1180" w:right="120" w:hanging="544"/>
        <w:spacing w:after="0" w:line="264"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for substantial penalties and litigation related to violations of a wide variety of laws, treaties and regulations, including food and beverage regulations, anti-corruption regulations (including the U.S. Foreign Corrupt Practices Act and the U.K. Bribery Act) and privacy laws and regulations (including the E.U.’s General Data Protection Regulation);</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difficulty and costs of designing and implementing an effective control environment across diverse regions and employee bases;</w:t>
      </w:r>
    </w:p>
    <w:p>
      <w:pPr>
        <w:spacing w:after="0" w:line="16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60"/>
          </w:cols>
          <w:pgMar w:left="24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difficulty and costs of maintaining effective data security;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and/or changing foreign tax treaties and policies.</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Our financial performance on a U.S. dollar denominated basis is subject to fluctuations in currency exchange rates. Our principal exposure is to the Euro.</w:t>
      </w:r>
    </w:p>
    <w:p>
      <w:pPr>
        <w:spacing w:after="0" w:line="279" w:lineRule="exact"/>
        <w:rPr>
          <w:sz w:val="20"/>
          <w:szCs w:val="20"/>
          <w:color w:val="auto"/>
        </w:rPr>
      </w:pPr>
    </w:p>
    <w:p>
      <w:pPr>
        <w:ind w:left="640" w:right="280"/>
        <w:spacing w:after="0" w:line="277" w:lineRule="auto"/>
        <w:rPr>
          <w:sz w:val="20"/>
          <w:szCs w:val="20"/>
          <w:color w:val="auto"/>
        </w:rPr>
      </w:pPr>
      <w:r>
        <w:rPr>
          <w:rFonts w:ascii="Arial" w:cs="Arial" w:eastAsia="Arial" w:hAnsi="Arial"/>
          <w:sz w:val="18"/>
          <w:szCs w:val="18"/>
          <w:b w:val="1"/>
          <w:bCs w:val="1"/>
          <w:i w:val="1"/>
          <w:iCs w:val="1"/>
          <w:color w:val="auto"/>
        </w:rPr>
        <w:t>Loss of, a significant reduction of purchases by or bankruptcy of a major customer may adversely affect our business, financial condition, results of operations and cash flows.</w:t>
      </w:r>
    </w:p>
    <w:p>
      <w:pPr>
        <w:spacing w:after="0" w:line="62"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 limited number of customer accounts represents a large percentage of our combined net sales. Our largest customers, Costco and Walmart and its affiliates (which includes Sam’s Club), accounted for approximately 71% of our net sales in fiscal 2018.</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success of our business depends, in part, on our ability to maintain our level of sales and product distribution through the club, FDM, eCommerce, convenience and specialty channels. The competition to supply products to these high-volume stores is intense. Currently, we do not have material long-term supply agreements with our customers, and our customers frequently reevaluate the products they carry. A decision by our major customers to decrease the amount of product purchased from us, sell another brand on an exclusive or priority basis or change the manner of doing business with us could reduce our revenues and materially adversely affect our business, financial condition, results of operations and cash flows. In the event of a loss of any of our large customers, a significant reduction of purchases by any of our large customers or the bankruptcy or serious financial difficulty of any of our large customers, our business, financial condition, results of operations and cash flows may be adversely affected.</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Pending and future litigation may impair our reputation or lead us to incur significant costs.</w:t>
      </w:r>
    </w:p>
    <w:p>
      <w:pPr>
        <w:spacing w:after="0" w:line="117"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We are, or may become, party to various lawsuits and claims arising in the normal course of business, which may include lawsuits or claims relating to contracts, third party contract manufacturers, intellectual property, product recalls, product liability, false or deceptive advertising, employment matters, environmental matters or other aspects of our business. There has been a recent increase in lawsuits filed against food and beverage companies alleging deceptive advertising and labeling. Negative publicity resulting from allegations made in lawsuits or claims asserted against us, whether or not valid, may adversely affect our reputation. In addition, we may be required to pay damage awards or settlements or become subject to injunctions or other equitable remedies, which could have a material adverse effect on our financial condition, results of operations and cash flows. The outcome of litigation is often difficult to predict, and the outcome of pending or future litigation may have a material adverse effect on our business, financial condition, results of operations and cash flows.</w:t>
      </w:r>
    </w:p>
    <w:p>
      <w:pPr>
        <w:spacing w:after="0" w:line="17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Although we have various insurance programs in place, the potential liabilities associated with these litigation matters, or those that could arise in the future, could be excluded from coverage or, if covered, could exceed the coverage provided by such programs. In addition, insurance carriers may seek to rescind or deny coverage with respect to pending or future claims or lawsuits. If we do not have sufficient coverage under our policies, or if coverage is denied, we may be required to make material payments to settle litigation or satisfy any judgment. Any of these consequences could have a material adverse effect on our business, financial condition, results of operations and cash flows.</w:t>
      </w:r>
    </w:p>
    <w:p>
      <w:pPr>
        <w:spacing w:after="0" w:line="281" w:lineRule="exact"/>
        <w:rPr>
          <w:sz w:val="20"/>
          <w:szCs w:val="20"/>
          <w:color w:val="auto"/>
        </w:rPr>
      </w:pPr>
    </w:p>
    <w:p>
      <w:pPr>
        <w:ind w:left="640" w:right="140"/>
        <w:spacing w:after="0" w:line="375" w:lineRule="auto"/>
        <w:rPr>
          <w:sz w:val="20"/>
          <w:szCs w:val="20"/>
          <w:color w:val="auto"/>
        </w:rPr>
      </w:pPr>
      <w:r>
        <w:rPr>
          <w:rFonts w:ascii="Arial" w:cs="Arial" w:eastAsia="Arial" w:hAnsi="Arial"/>
          <w:sz w:val="15"/>
          <w:szCs w:val="15"/>
          <w:b w:val="1"/>
          <w:bCs w:val="1"/>
          <w:i w:val="1"/>
          <w:iCs w:val="1"/>
          <w:color w:val="auto"/>
        </w:rPr>
        <w:t>Changes in tax laws may adversely affect us, and the Internal Revenue Service or a court may disagree with tax positions taken by BellRing Brands, Inc. or BellRing Brands, LLC, which may result in adverse effects on our financial condition or the value of our common stock.</w:t>
      </w:r>
    </w:p>
    <w:p>
      <w:pPr>
        <w:spacing w:after="0" w:line="1"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The Tax Cuts and Jobs Act (the “Tax Act”), enacted on December 22, 2017, significantly affected U.S. tax law, including by changing how the U.S. imposes tax on certain types of income of corporations and by reducing the U.S. federal corporate income tax rate to 21%. It also imposed new limitations on a number of tax benefits, including deductions for business interest, use of net operating loss carry forwards, taxation of foreign income,</w:t>
      </w:r>
    </w:p>
    <w:p>
      <w:pPr>
        <w:spacing w:after="0" w:line="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240" w:top="459" w:right="5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and the foreign tax credit, among others. There can be no assurance that future tax law changes will not increase the rate of the corporate income tax significantly; impose new limitations on deductions, credits or other tax benefits; or make other changes that may adversely affect the performance of an investment in our stock. In addition, the Internal Revenue Service (the “IRS”) has yet to issue guidance on a number of important issues regarding the changes made by the Tax Act. In the absence of such guidance, BellRing Brands, Inc. and BellRing Brands, LLC will take positions with respect to a number of unsettled issues. There is no assurance that the IRS or a court will agree with the positions taken by us, in which case tax penalties and interest may be imposed that could adversely our financial position and affect the value of our stock.</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market size and related estimates and social media metrics may prove to be inaccurate.</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Data for the convenient nutrition category is collected for most, but not all, channels, and as a result, it is difficult to estimate the size of the market and predict the rate at which the market for our products will grow. We estimate the market size of the convenient nutrition category, including by geography, product form and consumer need state, based, in part, upon data from Nielsen and Euromonitor, forecasts and information obtained from independent trade associations, industry publications and surveys and other independent sources, proprietary research studies and management’s knowledge of the industry. While these estimates were made in good faith and are based on assumptions and estimates we believe to be reasonable, they may not be accurate. In addition, the metrics related to visitors to our brand websites and to our presence on third party social media sites contain certain limitations, and investors should not place undue reliance on such metrics given such limitations and the fact that they do not bear any relationship to our financial condition or results of operations.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Agricultural diseases or pests could harm our business, financial condition, results of operations and cash flows.</w:t>
      </w:r>
    </w:p>
    <w:p>
      <w:pPr>
        <w:spacing w:after="0" w:line="117" w:lineRule="exact"/>
        <w:rPr>
          <w:sz w:val="20"/>
          <w:szCs w:val="20"/>
          <w:color w:val="auto"/>
        </w:rPr>
      </w:pPr>
    </w:p>
    <w:p>
      <w:pPr>
        <w:jc w:val="both"/>
        <w:ind w:left="200" w:right="180" w:firstLine="441"/>
        <w:spacing w:after="0" w:line="297" w:lineRule="auto"/>
        <w:rPr>
          <w:sz w:val="20"/>
          <w:szCs w:val="20"/>
          <w:color w:val="auto"/>
        </w:rPr>
      </w:pPr>
      <w:r>
        <w:rPr>
          <w:rFonts w:ascii="Arial" w:cs="Arial" w:eastAsia="Arial" w:hAnsi="Arial"/>
          <w:sz w:val="16"/>
          <w:szCs w:val="16"/>
          <w:color w:val="auto"/>
        </w:rPr>
        <w:t>Many of our business activities are subject to a variety of agricultural risks, including diseases and pests, which can adversely affect the quality and quantity of the raw materials we use, as well as the products we produce, or have produced by third party contract manufacturers, and distribute. Any actual or potential contamination of our products could result in product recalls, market withdrawals, safety alerts, cessation of manufacturing or distribution or, if we fail to comply with applicable FDA, USDA or other U.S. or international regulatory authority requirements, enforcement actions. We also could be subject to product liability claims or adverse publicity if any of our products are alleged to have caused illness or injury.</w:t>
      </w:r>
    </w:p>
    <w:p>
      <w:pPr>
        <w:spacing w:after="0" w:line="266"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We may not be able to operate successfully if we lose key personnel, are unable to hire qualified additional personnel or experience turnover of our management team.</w:t>
      </w:r>
    </w:p>
    <w:p>
      <w:pPr>
        <w:spacing w:after="0" w:line="62"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are highly dependent on our ability to attract and retain qualified personnel to operate and expand our business. If we lose key personnel or one or more members of our management team, or if we fail to attract new employees, our business, financial condition, results of operations and cash flows could be harmed.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Increases in costs of medical and other employee health and welfare benefits may reduce our profitability.</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With approximately 380 employees as of September 1, 2019, our profitability may be substantially affected by costs of medical and other health and welfare benefits for these employees. Although we try to control these costs, they can vary because of changes in healthcare laws and experience, which have the potential to increase the cost of providing medical and other employee health and welfare benefits. Any substantial increase could negatively affect our profitability.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Economic downturns could limit consumer and customer demand for our products.</w:t>
      </w:r>
    </w:p>
    <w:p>
      <w:pPr>
        <w:spacing w:after="0" w:line="117"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The willingness of consumers to purchase our products depends in part on general or local economic conditions and consumers’ discretionary spending habits. In periods of adverse or uncertain economic conditions, consumers may shift purchases to lower-priced or other perceived value offerings or may forgo certain purchases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altogether. In addition, distributors and retailers may seek to reduce their inventories in response to those economic conditions. In those circumstances, we could experience a reduction in sales of our products. Further, during economic downturns, it may be more difficult to convince consumers to switch to, or continue to use, our brands or convince new users to choose our brands without expensive sampling programs and price promotions. Additionally, as a result of economic conditions or competitive actions, we may be unable to raise our prices sufficiently to protect profit margins. Any of these events could have an adverse effect on our business, financial condition, results of operations and cash flows.</w:t>
      </w:r>
    </w:p>
    <w:p>
      <w:pPr>
        <w:spacing w:after="0" w:line="281" w:lineRule="exact"/>
        <w:rPr>
          <w:sz w:val="20"/>
          <w:szCs w:val="20"/>
          <w:color w:val="auto"/>
        </w:rPr>
      </w:pPr>
    </w:p>
    <w:p>
      <w:pPr>
        <w:ind w:left="640" w:right="760"/>
        <w:spacing w:after="0" w:line="277" w:lineRule="auto"/>
        <w:rPr>
          <w:sz w:val="20"/>
          <w:szCs w:val="20"/>
          <w:color w:val="auto"/>
        </w:rPr>
      </w:pPr>
      <w:r>
        <w:rPr>
          <w:rFonts w:ascii="Arial" w:cs="Arial" w:eastAsia="Arial" w:hAnsi="Arial"/>
          <w:sz w:val="18"/>
          <w:szCs w:val="18"/>
          <w:b w:val="1"/>
          <w:bCs w:val="1"/>
          <w:i w:val="1"/>
          <w:iCs w:val="1"/>
          <w:color w:val="auto"/>
        </w:rPr>
        <w:t>U.S. and global capital and credit market issues could negatively affect our liquidity, increase our costs of borrowing and disrupt the operations of our suppliers and customers.</w:t>
      </w:r>
    </w:p>
    <w:p>
      <w:pPr>
        <w:spacing w:after="0" w:line="62"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U.S. and global credit markets have, from time to time, experienced significant dislocations and liquidity disruptions which caused the spreads on prospective debt financings to widen considerably. These circumstances materially impacted liquidity in the debt markets, making financing terms for borrowers less attractive and in certain cases resulted in the unavailability of certain types of debt financing. Events affecting the credit markets also have had an adverse effect on other financial markets in the U.S., which may make it more difficult or costly for us to raise capital through the issuance of common stock or other equity securities or refinance debt, sell our assets or borrow more money, if necessary. Our business also could be negatively impacted if our suppliers or customers experience disruptions resulting from tighter capital and credit markets or a slowdown in the general economy. Any of these risks could impair our ability to fund our operations or limit our ability to expand our business or increase our interest expense, which could have a material adverse effect on our business, financial condition, results of operations and cash flows.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Changing currency exchange rates may adversely affect our business, financial condition, results of operations and cash flows.</w:t>
      </w:r>
    </w:p>
    <w:p>
      <w:pPr>
        <w:spacing w:after="0" w:line="129"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We have operations and assets in the U.S. as well as foreign jurisdictions, and a portion of our contracts and revenues are denominated in foreign currencies. The financial statements of Post’s Active Nutrition business included in this prospectus are, and the financial statements we will prepare going forward will be, presented in U.S. dollars. We therefore must translate our foreign assets, liabilities, revenue and expenses into U.S. dollars at applicable exchange rates. Consequently, fluctuations in the value of foreign currencies relative to the U.S. dollar may negatively affect the value of these items in the financial statements. 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To the extent we fail to manage our foreign currency exposure adequately, we may suffer losses in the value of our net foreign currency investment, and our business, financial condition, results of operations and cash flows may be negatively affected.</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intellectual property rights are valuable and any inability to protect them could reduce the value of our products and brands.</w:t>
      </w:r>
    </w:p>
    <w:p>
      <w:pPr>
        <w:spacing w:after="0" w:line="1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consider our intellectual property rights, particularly our trademarks, but also our patents, trade secrets, know-how and copyrights, to be a significant and valuable asset of our business. We attempt to protect our intellectual property rights through a combination of patent, trademark, copyright and trade secret laws, as well as third party nondisclosure, confidentiality and assignment agreements and confidentiality provisions in third party agreements and the policing of third party misuses of our intellectual property. Our failure or inability to obtain or maintain adequate protection of our intellectual property rights, or any change in law or other changes that serve to lessen or remove the current legal protections of intellectual property, may diminish our competitiveness and could materially harm our business.</w:t>
      </w:r>
    </w:p>
    <w:p>
      <w:pPr>
        <w:spacing w:after="0" w:line="17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also are subject to risks associated with protection of our trademarks and other intellectual property licensed to distributors of our products and of our trade secrets to our third party contract manufacturers. If our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licensed distributors or third party contract manufacturers fail to protect our trademarks, trade secrets and other intellectual property, either intentionally or unintentionally, our business, financial condition, results of operations and cash flows may be adversely affected.</w:t>
      </w:r>
    </w:p>
    <w:p>
      <w:pPr>
        <w:spacing w:after="0" w:line="170"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We face the risk of claims that we have infringed third parties’ intellectual property rights. Any claims of intellectual property infringement, even those without merit, could be expensive and time consuming to defend; cause us to cease making, licensing or using products that incorporate the challenged intellectual property; require us to redesign or rebrand our products or packaging, if feasible; divert management’s attention and resources; or require us to enter into royalty or licensing agreements in order to obtain the right to use a third party’s intellectual property. Any royalty or licensing agreements, if required, may not be available to us on acceptable terms, or at all. Additionally, a successful claim of infringement against us could require us to pay significant damages, enter into costly license or royalty agreements or stop the sale of certain products, any or all of which could have a negative impact on our business, financial condition, results of operations and cash flows and harm our future prospects.</w:t>
      </w:r>
    </w:p>
    <w:p>
      <w:pPr>
        <w:spacing w:after="0" w:line="275"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b w:val="1"/>
          <w:bCs w:val="1"/>
          <w:i w:val="1"/>
          <w:iCs w:val="1"/>
          <w:color w:val="auto"/>
        </w:rPr>
        <w:t>Technology failures, cybersecurity incidents and corruption of our data privacy protections could disrupt our operations and negatively impact our business.</w:t>
      </w:r>
    </w:p>
    <w:p>
      <w:pPr>
        <w:spacing w:after="0" w:line="6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rely on information technology networks and systems to process, transmit and store operating and financial information, to manage and support a variety of business processes and activities and to comply with regulatory, legal and tax requirements. For example, our production and distribution facilities and inventory management utilize information technology to increase efficiencies and control costs. Furthermore, a significant portion of the communications between our personnel, customers and suppliers depends on information technology. Some of our information technology needs are outsourced to third parties. Our and our third party vendors’ information technology systems may be vulnerable to a variety of interruptions due to events beyond our or their control, including, but not limited to, natural disasters, terrorist attacks, telecommunications failures, power outages, computer viruses and malware, hardware or software failures, cybersecurity incidents, hackers and other security issues. Such interruptions could negatively impact our business.</w:t>
      </w:r>
    </w:p>
    <w:p>
      <w:pPr>
        <w:spacing w:after="0" w:line="192"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If we do not allocate and effectively manage the resources necessary to build and sustain the proper technology infrastructure and to maintain and protect the related automated and manual control processes, or if one of our third party service providers fails to provide the services we require, we could be subject to billing and collection errors, business disruptions or damage resulting from such events, particularly material security breaches and cybersecurity incidents. Cyberattacks and other cyber incidents are occurring more frequently in the U.S., are constantly evolving in nature, are becoming more sophisticated and are being made by groups and individuals (including criminal hackers, hacktivists, state-sponsored institutions, terrorist organizations and individuals or groups participating in organized crime) with a wide range of expertise and motives (including monetization of corporate, payment or other internal or personal data, theft of trade secrets and intellectual property for competitive advantage and leverage for political, social, economic and environmental reasons). Such cyberattacks and cyber incidents can take many forms, including cyber extortion, denial of service, social engineering, such as impersonation attempts to fraudulently induce employees or others to disclose information or unwittingly provide access to systems or data, introduction of viruses or malware, such as ransomware through phishing emails, website defacement or theft of passwords and other credentials.</w:t>
      </w:r>
    </w:p>
    <w:p>
      <w:pPr>
        <w:spacing w:after="0" w:line="183"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If any of our significant information technology systems suffers severe damage, disruption or shutdown, and our business continuity plans do not effectively resolve the issues in a timely manner, our product sales, financial condition, results of operations and cash flows may be materially and adversely affected, and we could experience delays in reporting our financial results. In addition, there is a risk of business interruption, litigation and reputational damage from leaks of confidential or personal information. While we have insurance programs in place related to these matters, the potential liabilities associated with such events, or those that could arise in the future, could be excluded from coverage or, if covered, could exceed the coverage provided by such programs. Although we have not detected a material security breach or cybersecurity incident to date, we have been the target of events of this nature and expect them to continue.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We also are subject to an evolving body of federal, state and foreign laws, regulations, guidelines and principles regarding data privacy, data protection and data security. A data breach or inability on our part to comply with such laws, regulations, guidelines and principles, or to quickly adapt our practices to reflect them as they develop, could potentially subject us to significant liabilities and reputational harm. Several foreign governments, including the E.U., have laws and regulations dealing with the collection and use of personal information obtained from their data subjects, and we could incur substantial penalties or litigation related to violations of such laws and regulations. In addition, our efforts to comply with such laws and regulations may impose significant costs and challenges on us.</w:t>
      </w:r>
    </w:p>
    <w:p>
      <w:pPr>
        <w:spacing w:after="0" w:line="287" w:lineRule="exact"/>
        <w:rPr>
          <w:sz w:val="20"/>
          <w:szCs w:val="20"/>
          <w:color w:val="auto"/>
        </w:rPr>
      </w:pPr>
    </w:p>
    <w:p>
      <w:pPr>
        <w:ind w:left="640"/>
        <w:spacing w:after="0" w:line="375" w:lineRule="auto"/>
        <w:rPr>
          <w:sz w:val="20"/>
          <w:szCs w:val="20"/>
          <w:color w:val="auto"/>
        </w:rPr>
      </w:pPr>
      <w:r>
        <w:rPr>
          <w:rFonts w:ascii="Arial" w:cs="Arial" w:eastAsia="Arial" w:hAnsi="Arial"/>
          <w:sz w:val="15"/>
          <w:szCs w:val="15"/>
          <w:b w:val="1"/>
          <w:bCs w:val="1"/>
          <w:i w:val="1"/>
          <w:iCs w:val="1"/>
          <w:color w:val="auto"/>
        </w:rPr>
        <w:t>Impairment in the carrying value of intangible assets could negatively impact our financial condition and results of operations. If our goodwill or other intangible assets become impaired, we will be required to record additional impairment charges, which may be significant.</w:t>
      </w:r>
    </w:p>
    <w:p>
      <w:pPr>
        <w:spacing w:after="0" w:line="1"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Our balance sheet includes intangible assets, including goodwill, trademarks, trade names and other acquired intangibles. Goodwill is expected to contribute indefinitely to our cash flows and is not amortized, but our management reviews it for impairment on an annual basis or whenever events or changes in circumstances indicate that its carrying value may be impaired. Impairments to intangible assets may be caused by factors outside of our control, such as increasing competitive pricing pressures, lower than expected revenue and profit growth rates, changes in industry EBITDA and revenue multiples, changes in discount rates based on changes in cost of capital (interest rates, etc.) or the bankruptcy of a significant customer. These factors, along with other internal and external factors, could have a significant negative impact on our fair value determination, which could then result in a material impairment charge in our results of operations. For the year ended September 30, 2017, we recorded a charge of $26.5 million for the impairment of our goodwill related to our Dymatize reporting unit. We could have additional impairments in the future. See further discussion of this impairment in “Management’s Discussion and Analysis of Financial Condition and Results of Operations” and Note 5 within the “Notes to Combined Financial Statements” contained in this prospectus.</w:t>
      </w:r>
    </w:p>
    <w:p>
      <w:pPr>
        <w:spacing w:after="0" w:line="286"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b w:val="1"/>
          <w:bCs w:val="1"/>
          <w:i w:val="1"/>
          <w:iCs w:val="1"/>
          <w:color w:val="auto"/>
        </w:rPr>
        <w:t>We and our third party contract manufacturers are subject to environmental laws and regulations that can impose significant costs and expose us to potential financial liabilities.</w:t>
      </w:r>
    </w:p>
    <w:p>
      <w:pPr>
        <w:spacing w:after="0" w:line="62" w:lineRule="exact"/>
        <w:rPr>
          <w:sz w:val="20"/>
          <w:szCs w:val="20"/>
          <w:color w:val="auto"/>
        </w:rPr>
      </w:pPr>
    </w:p>
    <w:p>
      <w:pPr>
        <w:jc w:val="both"/>
        <w:ind w:left="200" w:right="660" w:firstLine="441"/>
        <w:spacing w:after="0" w:line="286" w:lineRule="auto"/>
        <w:rPr>
          <w:sz w:val="20"/>
          <w:szCs w:val="20"/>
          <w:color w:val="auto"/>
        </w:rPr>
      </w:pPr>
      <w:r>
        <w:rPr>
          <w:rFonts w:ascii="Arial" w:cs="Arial" w:eastAsia="Arial" w:hAnsi="Arial"/>
          <w:sz w:val="17"/>
          <w:szCs w:val="17"/>
          <w:color w:val="auto"/>
        </w:rPr>
        <w:t>We and our third party contract manufacturers are subject to extensive federal, state, local and foreign laws and regulations relating to the protection of human health and the environment, including those limiting the discharge and release of pollutants into the environment and those regulating the transport, storage, disposal and remediation of, and exposure to, solid and hazardous wastes.</w:t>
      </w:r>
    </w:p>
    <w:p>
      <w:pPr>
        <w:spacing w:after="0" w:line="166"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Further, certain environmental laws and regulations can impose joint and several liability without regard to fault on responsible parties, including past and present owners and operators of sites, related to cleaning up sites at which hazardous materials were disposed of or released.</w:t>
      </w:r>
    </w:p>
    <w:p>
      <w:pPr>
        <w:spacing w:after="0" w:line="124"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Failure to comply with environmental laws and regulations could result in severe fines and penalties by governments or courts of law on us or our third party contract manufacturers. In addition, future laws may more stringently regulate the emission of greenhouse gases, particularly carbon dioxide and methane. We cannot predict the impact that such regulation may have, or that climate change may otherwise have, on our business. Future events, such as new or more stringent environmental laws and regulations, new environmental claims against us or our third party contract manufacturers, the discovery of currently unknown environmental conditions requiring responsive action at our manufacturing facility or at the facilities of our third party contract manufacturers or more vigorous interpretations or enforcement of existing environmental laws and regulations, might require us to incur additional costs that could have a material adverse effect on our business, financial condition, results of operations and cash flows.</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Climate change, or legal or market measures to address climate change, may negatively affect our business and operations.</w:t>
      </w:r>
    </w:p>
    <w:p>
      <w:pPr>
        <w:spacing w:after="0" w:line="129"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There is growing concern that carbon dioxide and other greenhouse gases in the atmosphere may have an adverse impact on global temperatures, weather patterns and the frequency and severity of extreme weather and natural disasters. If any of these climate changes has a negative effect on agricultural productivity, we may be subject to decreased availability or less favorable pricing for certain commodities that are necessary for our products, such as milk-based, whey-based and soy-based proteins and protein blends. The increasing concern over climate change also may result in more federal, state, local and foreign legal requirements to reduce or mitigate the effects of greenhouse gases. If such laws are enacted, we may experience significant increases in our costs of operation and delivery. As a result, climate change could negatively affect our business, financial condition, results of operations and cash flows.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We will have significant debt and high leverage, which could have a negative impact on our financing options and liquidity position and which could adversely affect our business.</w:t>
      </w:r>
    </w:p>
    <w:p>
      <w:pPr>
        <w:spacing w:after="0" w:line="62"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On the same day this offering is completed, BellRing Brands, LLC will become the borrower under the Post bridge loan and the subsidiaries of BellRing Brands, LLC will continue to guarantee the obligations under the Post bridge loan. Immediately after the completion of the formation transactions and the completion of this offering, BellRing Brands, LLC expects to enter into the debt facilities described under “Description of Certain Indebtedness” and use the proceeds of such borrowing to repay the remaining balance of the Post bridge loan and all interest thereunder, and for the other purposes described under “Use of Proceeds.”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If the Board of Managers decides not to do so, or if such debt facilities are otherwise not available to us, then we will remain obligated under the Post bridge loan, the terms of which we expect will be less advantageous to us than those contemplated under any new debt facilities. BellRing Brands, LLC also may incur additional debt in the future, for example, in connection with acquisitions or other strategic transactions.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overall leverage and the terms of our financing arrangements could:</w:t>
      </w:r>
    </w:p>
    <w:p>
      <w:pPr>
        <w:spacing w:after="0" w:line="131" w:lineRule="exact"/>
        <w:rPr>
          <w:sz w:val="20"/>
          <w:szCs w:val="20"/>
          <w:color w:val="auto"/>
        </w:rPr>
      </w:pPr>
    </w:p>
    <w:p>
      <w:pPr>
        <w:ind w:left="1180" w:right="140" w:hanging="544"/>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ability to obtain additional financing in the future for working capital, capital expenditures or acquisitions, to fund growth or for general corporate purposes, even when necessary to maintain adequate liquidity;</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it more difficult for us to satisfy the terms of our debt obligations;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ability to refinance our indebtedness on terms acceptable to us, or at all;</w:t>
      </w:r>
    </w:p>
    <w:p>
      <w:pPr>
        <w:spacing w:after="0" w:line="130" w:lineRule="exact"/>
        <w:rPr>
          <w:rFonts w:ascii="Arial" w:cs="Arial" w:eastAsia="Arial" w:hAnsi="Arial"/>
          <w:sz w:val="18"/>
          <w:szCs w:val="18"/>
          <w:color w:val="auto"/>
        </w:rPr>
      </w:pPr>
    </w:p>
    <w:p>
      <w:pPr>
        <w:ind w:left="1180" w:right="60" w:hanging="544"/>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flexibility to plan for and to adjust to changing business and market conditions in the industries in which we operate and increase our vulnerability to general adverse economic and industry conditions;</w:t>
      </w:r>
    </w:p>
    <w:p>
      <w:pPr>
        <w:spacing w:after="0" w:line="75" w:lineRule="exact"/>
        <w:rPr>
          <w:rFonts w:ascii="Arial" w:cs="Arial" w:eastAsia="Arial" w:hAnsi="Arial"/>
          <w:sz w:val="18"/>
          <w:szCs w:val="18"/>
          <w:color w:val="auto"/>
        </w:rPr>
      </w:pPr>
    </w:p>
    <w:p>
      <w:pPr>
        <w:ind w:left="1180" w:right="160" w:hanging="544"/>
        <w:spacing w:after="0" w:line="264"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make interest and principal payments on our debt, thereby limiting the availability of our cash flow to fund future investments, capital expenditures, working capital, business activities and other general corporate requirements;</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 and</w:t>
      </w:r>
    </w:p>
    <w:p>
      <w:pPr>
        <w:spacing w:after="0" w:line="130" w:lineRule="exact"/>
        <w:rPr>
          <w:rFonts w:ascii="Arial" w:cs="Arial" w:eastAsia="Arial" w:hAnsi="Arial"/>
          <w:sz w:val="18"/>
          <w:szCs w:val="18"/>
          <w:color w:val="auto"/>
        </w:rPr>
      </w:pPr>
    </w:p>
    <w:p>
      <w:pPr>
        <w:ind w:left="1180" w:right="640" w:hanging="544"/>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 us to higher levels of indebtedness than our competitors, which may cause a competitive disadvantage and may reduce our flexibility in responding to increased competition.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40" w:firstLine="441"/>
        <w:spacing w:after="0" w:line="259" w:lineRule="auto"/>
        <w:rPr>
          <w:sz w:val="20"/>
          <w:szCs w:val="20"/>
          <w:color w:val="auto"/>
        </w:rPr>
      </w:pPr>
      <w:r>
        <w:rPr>
          <w:rFonts w:ascii="Arial" w:cs="Arial" w:eastAsia="Arial" w:hAnsi="Arial"/>
          <w:sz w:val="18"/>
          <w:szCs w:val="18"/>
          <w:color w:val="auto"/>
        </w:rPr>
        <w:t>Our ability to meet expenses and debt service obligations will depend on our future performance, which will be affected by financial, business, economic and other factors, including potential changes in consumer preferences, the success of product and marketing innovation and pressure from competitors. If we do not generate enough cash to pay our debt service obligations, we may be required to refinance all or part of our debt, sell assets, borrow more money or raise additional equity capital.</w:t>
      </w:r>
    </w:p>
    <w:p>
      <w:pPr>
        <w:spacing w:after="0" w:line="295" w:lineRule="exact"/>
        <w:rPr>
          <w:sz w:val="20"/>
          <w:szCs w:val="20"/>
          <w:color w:val="auto"/>
        </w:rPr>
      </w:pPr>
    </w:p>
    <w:p>
      <w:pPr>
        <w:ind w:left="640" w:right="580"/>
        <w:spacing w:after="0" w:line="308" w:lineRule="auto"/>
        <w:rPr>
          <w:sz w:val="20"/>
          <w:szCs w:val="20"/>
          <w:color w:val="auto"/>
        </w:rPr>
      </w:pPr>
      <w:r>
        <w:rPr>
          <w:rFonts w:ascii="Arial" w:cs="Arial" w:eastAsia="Arial" w:hAnsi="Arial"/>
          <w:sz w:val="17"/>
          <w:szCs w:val="17"/>
          <w:b w:val="1"/>
          <w:bCs w:val="1"/>
          <w:i w:val="1"/>
          <w:iCs w:val="1"/>
          <w:color w:val="auto"/>
        </w:rPr>
        <w:t>Despite our anticipated level of indebtedness, we may be able to incur substantially more debt, which could further exacerbate the risks described above, and we may in any event be required to maintain a minimum level of indebtedness.</w:t>
      </w:r>
    </w:p>
    <w:p>
      <w:pPr>
        <w:spacing w:after="0" w:line="3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may be able to incur significant additional indebtedness in the future. Although the financing arrangements governing our indebtedness may contain restrictions on our ability to incur additional indebtedness, these restrictions may be subject to a number of qualifications and exceptions, and the additional indebtedness that may be incurred in compliance with these restrictions could be substantial. These restrictions also may not prevent us from incurring certain obligations that may not constitute indebtedness under the documents governing our indebtedness. As long as Post or its affiliates (other than us) owns more than 50% of the BellRing Brands, LLC Units as described in this prospectus, it will be able to control nearly all corporate actions that require a vote of the stockholders of BellRing Brands, Inc., as well as have the right under the investor rights agreement to designate a majority of the directors of BellRing Brands, Inc. In order to preserve its intended tax treatment in connection with the formation transactions, we expect that, so long as Post has the ability to control us, Post will require that BellRing Brands, LLC maintain a minimum level of outstanding indebtedness equal to $800.0 million less the amount of undistributed taxable income of BellRing Brands, LLC and its subsidiaries allocable to Post following the consummation of the formation transactions.</w:t>
      </w:r>
    </w:p>
    <w:p>
      <w:pPr>
        <w:spacing w:after="0" w:line="286" w:lineRule="exact"/>
        <w:rPr>
          <w:sz w:val="20"/>
          <w:szCs w:val="20"/>
          <w:color w:val="auto"/>
        </w:rPr>
      </w:pPr>
    </w:p>
    <w:p>
      <w:pPr>
        <w:ind w:left="640" w:right="340"/>
        <w:spacing w:after="0" w:line="342" w:lineRule="auto"/>
        <w:rPr>
          <w:sz w:val="20"/>
          <w:szCs w:val="20"/>
          <w:color w:val="auto"/>
        </w:rPr>
      </w:pPr>
      <w:r>
        <w:rPr>
          <w:rFonts w:ascii="Arial" w:cs="Arial" w:eastAsia="Arial" w:hAnsi="Arial"/>
          <w:sz w:val="16"/>
          <w:szCs w:val="16"/>
          <w:b w:val="1"/>
          <w:bCs w:val="1"/>
          <w:i w:val="1"/>
          <w:iCs w:val="1"/>
          <w:color w:val="auto"/>
        </w:rPr>
        <w:t>The agreements governing our debt may contain various covenants that limit our ability to take certain actions and also require us to meet financial maintenance tests, and failure to comply with these covenants could have a material adverse effect on us.</w:t>
      </w:r>
    </w:p>
    <w:p>
      <w:pPr>
        <w:spacing w:after="0" w:line="16"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Our financing arrangements may contain restrictions, covenants and events of default that, among other things, require us to satisfy certain financial tests and maintain certain financial ratios and restrict our ability to incur additional indebtedness and to refinance our existing indebtedness. Financing arrangements which we enter into in the future could contain similar restrictions and additionally could require us to comply with similar, new or additional financial tests or to maintain similar, new or additional financial ratios. The terms of our financing arrangements may impose various restrictions and covenants on us that could limit our ability to respond to market conditions, provide for capital investment needs or take advantage of business opportunities by limiting the amount of additional borrowings we may incur. These restrictions may include compliance with, or maintenance of, certain financial tests and ratios and may limit or prohibit our ability to, among other things:</w:t>
      </w:r>
    </w:p>
    <w:p>
      <w:pPr>
        <w:spacing w:after="0" w:line="83" w:lineRule="exact"/>
        <w:rPr>
          <w:sz w:val="20"/>
          <w:szCs w:val="20"/>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borrow money or guarantee debt;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investments and acquisitions;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or permit to exist, contractual limits on the ability of our subsidiaries to pay dividends to 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new lines of business;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assets or merge with other companies.</w:t>
      </w:r>
    </w:p>
    <w:p>
      <w:pPr>
        <w:spacing w:after="0" w:line="225"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Various risks, uncertainties and events beyond our control could affect our ability to comply with these restrictions and covenants. Failure to comply with any of the restrictions and covenants that may be in our financing arrangements could result in a default under those arrangements and under other arrangements that may contain cross-default provisions.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A default would permit lenders to accelerate the maturity of the debt under these arrangements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w:t>
      </w:r>
    </w:p>
    <w:p>
      <w:pPr>
        <w:spacing w:after="0" w:line="295" w:lineRule="exact"/>
        <w:rPr>
          <w:sz w:val="20"/>
          <w:szCs w:val="20"/>
          <w:color w:val="auto"/>
        </w:rPr>
      </w:pPr>
    </w:p>
    <w:p>
      <w:pPr>
        <w:ind w:left="640" w:right="100"/>
        <w:spacing w:after="0" w:line="277" w:lineRule="auto"/>
        <w:rPr>
          <w:sz w:val="20"/>
          <w:szCs w:val="20"/>
          <w:color w:val="auto"/>
        </w:rPr>
      </w:pPr>
      <w:r>
        <w:rPr>
          <w:rFonts w:ascii="Arial" w:cs="Arial" w:eastAsia="Arial" w:hAnsi="Arial"/>
          <w:sz w:val="18"/>
          <w:szCs w:val="18"/>
          <w:b w:val="1"/>
          <w:bCs w:val="1"/>
          <w:i w:val="1"/>
          <w:iCs w:val="1"/>
          <w:color w:val="auto"/>
        </w:rPr>
        <w:t>To service indebtedness and fund other cash needs, we will require a significant amount of cash, and our ability to generate cash depends on many factors beyond our control.</w:t>
      </w:r>
    </w:p>
    <w:p>
      <w:pPr>
        <w:spacing w:after="0" w:line="62"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BellRing Brands, LLC’s ability to pay principal and interest on its anticipated debt obligations and to fund any planned capital expenditures and other cash needs will depend in part upon the future financial and operating performance of BellRing Brands, LLC and its subsidiaries. Prevailing economic conditions and financial, business, competitive, legislative, regulatory and other factors, many of which are beyond our control, will affect BellRing Brands, LLC’s ability to make these payments.</w:t>
      </w:r>
    </w:p>
    <w:p>
      <w:pPr>
        <w:spacing w:after="0" w:line="18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If BellRing Brands, LLC is unable to make payments or we are unable to refinance the debt or obtain new financing under these circumstances, we may consider other options, including:</w:t>
      </w:r>
    </w:p>
    <w:p>
      <w:pPr>
        <w:spacing w:after="0" w:line="76" w:lineRule="exact"/>
        <w:rPr>
          <w:sz w:val="20"/>
          <w:szCs w:val="20"/>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assets;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equity;</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reductions or delays of capital expenditures, strategic acquisitions, investments and alliances; or</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negotiations with our lenders to restructure the applicable debt.</w:t>
      </w:r>
    </w:p>
    <w:p>
      <w:pPr>
        <w:spacing w:after="0" w:line="225"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Our business may not generate sufficient cash flow from operations, and future borrowings may not be available to us in an amount sufficient, to enable us to pay our anticipated indebtedness or to fund our other liquidity needs. We may need to refinance all or a portion of our anticipated indebtedness on or before maturity. We may not be able to refinance any of our anticipated debt on commercially reasonable terms, or at all.</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Relationship with Post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Post controls our Company and will have the ability to control the direction of our business.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After the completion of this offering, Post will own the share of our Class B common stock, which, for so long as Post or its affiliates (other than us) directly own more than 50% of the BellRing Brands, LLC Units as described in this prospectus, will represent 67% of the total voting power of both classes of our common stock outstanding after this offering.</w:t>
      </w:r>
    </w:p>
    <w:p>
      <w:pPr>
        <w:spacing w:after="0" w:line="18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As long as Post or its affiliates (other than us) owns more than 50% of the BellRing Brands, LLC Units as described in this prospectus, it will be able to control nearly all corporate actions that require a stockholder vote, regardless of the vote of any other stockholder. As a result, Post will have the ability to control significant matters involving us, including:</w:t>
      </w:r>
    </w:p>
    <w:p>
      <w:pPr>
        <w:spacing w:after="0" w:line="87" w:lineRule="exact"/>
        <w:rPr>
          <w:sz w:val="20"/>
          <w:szCs w:val="20"/>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election and removal of our directors;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determinations with respect to mergers, business combinations, dispositions of assets or other extraordinary corporate transactions;</w:t>
      </w:r>
    </w:p>
    <w:p>
      <w:pPr>
        <w:spacing w:after="0" w:line="142" w:lineRule="exact"/>
        <w:rPr>
          <w:rFonts w:ascii="Arial" w:cs="Arial" w:eastAsia="Arial" w:hAnsi="Arial"/>
          <w:sz w:val="17"/>
          <w:szCs w:val="17"/>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capital structure, including the level of indebtedness;</w:t>
      </w:r>
    </w:p>
    <w:p>
      <w:pPr>
        <w:spacing w:after="0" w:line="130" w:lineRule="exact"/>
        <w:rPr>
          <w:rFonts w:ascii="Arial" w:cs="Arial" w:eastAsia="Arial" w:hAnsi="Arial"/>
          <w:sz w:val="18"/>
          <w:szCs w:val="18"/>
          <w:color w:val="auto"/>
        </w:rPr>
      </w:pPr>
    </w:p>
    <w:p>
      <w:pPr>
        <w:ind w:left="1180" w:right="600" w:hanging="544"/>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shares of our common stock available for issuance under our equity incentive plans for our prospective and existing employees; and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60"/>
          </w:cols>
          <w:pgMar w:left="240" w:top="459"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agreements that may adversely affect us.</w:t>
      </w:r>
    </w:p>
    <w:p>
      <w:pPr>
        <w:spacing w:after="0" w:line="225"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Alternatively, if Post does not provide any requisite affirmative vote on matters requiring stockholder approval allowing us to take particular actions when requested, we will not be able to take such actions, and as a result, our business, financial condition, results of operations and cash flows may be adversely affected. Even if Post owns 50% or less of the BellRing Brands, LLC Units as described in this prospectus, Post will have the ability to substantially influence these matters for as long as it owns a significant portion of the voting power.</w:t>
      </w:r>
    </w:p>
    <w:p>
      <w:pPr>
        <w:spacing w:after="0" w:line="17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interests of Post may differ from our interests or those of our other stockholders and the concentration of control in Post will limit other stockholders’ ability to influence corporate matters. The concentration of ownership and voting power with Post also may delay, defer or prevent an acquisition by a third party or other change of control of our Company and may make some transactions more difficult or impossible without the support of Post, even if such events are in the best interests of our other stockholders. The concentration of voting power with Post may have an adverse effect on the price of our Class A common stock. Our Company may take actions that our other stockholders do not view as beneficial, which may adversely affect our business, financial condition, results of operations and cash flows, and may cause the value of your investment to decline.</w:t>
      </w:r>
    </w:p>
    <w:p>
      <w:pPr>
        <w:spacing w:after="0" w:line="273" w:lineRule="exact"/>
        <w:rPr>
          <w:sz w:val="20"/>
          <w:szCs w:val="20"/>
          <w:color w:val="auto"/>
        </w:rPr>
      </w:pPr>
    </w:p>
    <w:p>
      <w:pPr>
        <w:ind w:left="640" w:right="260"/>
        <w:spacing w:after="0" w:line="308" w:lineRule="auto"/>
        <w:rPr>
          <w:sz w:val="20"/>
          <w:szCs w:val="20"/>
          <w:color w:val="auto"/>
        </w:rPr>
      </w:pPr>
      <w:r>
        <w:rPr>
          <w:rFonts w:ascii="Arial" w:cs="Arial" w:eastAsia="Arial" w:hAnsi="Arial"/>
          <w:sz w:val="17"/>
          <w:szCs w:val="17"/>
          <w:b w:val="1"/>
          <w:bCs w:val="1"/>
          <w:i w:val="1"/>
          <w:iCs w:val="1"/>
          <w:color w:val="auto"/>
        </w:rPr>
        <w:t>Post’s interests may conflict with our interests and the interests of our other stockholders. Conflicts of interest or disputes between Post and our Company could be resolved in a manner unfavorable to our Company and our other stockholders.</w:t>
      </w:r>
    </w:p>
    <w:p>
      <w:pPr>
        <w:spacing w:after="0" w:line="38"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Post could have interests that differ from, or conflict with, the interests of our other stockholders and could cause us to take certain actions even if the actions are not favorable to us or our other stockholders or are opposed by our other stockholders. If Post is acquired or otherwise experiences a change in control, any acquirer or successor will be entitled to exercise Post’s voting control with respect to us. After the expiration of the 180-day lock-up period, Post, if it has redeemed BellRing Brands, LLC Units for shares of our Class A common stock, generally has the right at any time to sell or otherwise dispose of the shares of our Class A common stock that it owns, including the ability to transfer a controlling interest in us to a third party, without your approval and without providing for a purchase of your shares of Class A common stock. Post and its affiliates may also directly transfer their BellRing Brands, LLC Units to third parties without the consent or approval of the Board of Managers of BellRing Brands, LLC or any other party, and in connection with such transfers, subject to certain exceptions, must either grant a written proxy to, or enter into a written voting agreement or other voting arrangement with, such transferee, which provides for the right of such transferee to direct Post or its applicable affiliate, as the holder of the share of our Class B common stock, to cast a number of votes to which such share of Class B common stock is entitled on all matters in which our stockholders generally are entitled to vote equal to the number of BellRing Brands, LLC Units held by such third party in the event that Post or its applicable affiliate, as the holder of the share of our Class B common stock, holds in the aggregate 50% or less of the BellRing Brands, LLC Units as described in this prospectus. See “Certain Relationships and Related Party Transactions—Post-Offering Relationship with Post—Amended and Restated Limited Liability Company Agreement—Transfer of BellRing Brands, LLC Units.” In addition, Post may determine to distribute its beneficial retained interest in BellRing Brands, LLC by means of a spin-off to its shareholders. See “Shares Eligible for Future Sale.”</w:t>
      </w:r>
    </w:p>
    <w:p>
      <w:pPr>
        <w:spacing w:after="0" w:line="169"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Potential conflicts of interest or disputes may arise between Post and us in a number of areas relating to our past or ongoing relationships, including:</w:t>
      </w:r>
    </w:p>
    <w:p>
      <w:pPr>
        <w:spacing w:after="0" w:line="76" w:lineRule="exact"/>
        <w:rPr>
          <w:sz w:val="20"/>
          <w:szCs w:val="20"/>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tax, employee benefits, indemnification and other matters arising from this offering;</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nature, quality and pricing of services Post has agreed to provide to 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Post and us;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or other disposals by Post of all or a portion of its ownership in BellRing Brands, LLC;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new commercial arrangements between Post and us in the future.</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See also potential conflicts described in “—Our organizational structure confers certain benefits upon Post and certain of its successors and assigns that may not benefit our Class A common stockholders to the same extent, and that could result in determinations harmful to the interests of such stockholders.”</w:t>
      </w:r>
    </w:p>
    <w:p>
      <w:pPr>
        <w:spacing w:after="0" w:line="18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resolution of any potential conflicts or disputes between Post and us may be less favorable to us than the resolution we might achieve if we were dealing with an unaffiliated third party.</w:t>
      </w:r>
    </w:p>
    <w:p>
      <w:pPr>
        <w:spacing w:after="0" w:line="170"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The various ancillary agreements that we intend to enter into with Post will be of varying durations and may be amended upon agreement of the parties. See “Certain Relationships and Related Party Transactions—Post-Offering Relationship with Post.” The terms of these agreements will be primarily determined by Post, and, therefore, may not be representative of the terms we could obtain on a standalone basis or in negotiations with an unaffiliated third party. For as long as we are controlled by Post, we may not be able to negotiate renewals or amendments to these agreements, if required, on terms as favorable to us as those we would be able to negotiate with an unaffiliated third party.</w:t>
      </w:r>
    </w:p>
    <w:p>
      <w:pPr>
        <w:spacing w:after="0" w:line="266" w:lineRule="exact"/>
        <w:rPr>
          <w:sz w:val="20"/>
          <w:szCs w:val="20"/>
          <w:color w:val="auto"/>
        </w:rPr>
      </w:pPr>
    </w:p>
    <w:p>
      <w:pPr>
        <w:ind w:left="640" w:right="360"/>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could prevent us from benefiting from corporate opportunities that might otherwise have been available to us.</w:t>
      </w:r>
    </w:p>
    <w:p>
      <w:pPr>
        <w:spacing w:after="0" w:line="62"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Our amended and restated certificate of incorporation will include certain provisions regulating and defining the conduct of our affairs to the extent that they may involve Post and its directors, officers, employees, agents and affiliates (except that we will not be deemed affiliates of Post or its affiliates for purposes of these provisions) and our rights, powers, duties and liabilities and those of our directors, officers, managers, employees and agents in connection with our relationship with Post. In general, and except as may be set forth in any agreement between us and Post, these provisions will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will provide that we renounce any interest or expectancy to participate in any business of Post or its affiliates.</w:t>
      </w:r>
    </w:p>
    <w:p>
      <w:pPr>
        <w:spacing w:after="0" w:line="17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Moreover, our amended and restated certificate of incorporation will provide that we renounce any interests or expectancy in corporate opportunities which become known to (i) any of our directors, officers, managers, employees or agents who also are directors, officers, employees, agents or affiliates of Post or its affiliates (except that we and our subsidiaries will not be deemed affiliates of Post or its affiliates for the purposes of the provision) or (ii) Post or its affiliates. Generally,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because such person has directed or intends to direct such opportunity to Post or one of its affiliates. This renunciation will not extend to corporate opportunities expressly offered to one of our directors, officers, managers, employees or agents, solely in his or her capacity as a director, officer, manager, employee or agent of us.</w:t>
      </w:r>
    </w:p>
    <w:p>
      <w:pPr>
        <w:spacing w:after="0" w:line="178"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These provisions in our amended and restated certificate of incorporation will cease to apply at such time as (i) we and Post and its affiliates are no longer affiliates of one another and (ii) none of the directors, officers, employees, agents or affiliates of Post serve as our directors, officers, managers, employees or agents. The corporate opportunity provision may exacerbate conflicts of interest between Post and us because the provision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effectively permits one of our directors, officers, managers, employees or agents who also serves as a director, officer, employee, agent or affiliate of Post or its affiliates to choose to direct a corporate opportunity to Post or its affiliates instead of to us.</w:t>
      </w:r>
    </w:p>
    <w:p>
      <w:pPr>
        <w:spacing w:after="0" w:line="279" w:lineRule="exact"/>
        <w:rPr>
          <w:sz w:val="20"/>
          <w:szCs w:val="20"/>
          <w:color w:val="auto"/>
        </w:rPr>
      </w:pPr>
    </w:p>
    <w:p>
      <w:pPr>
        <w:ind w:left="640" w:right="60"/>
        <w:spacing w:after="0" w:line="264" w:lineRule="auto"/>
        <w:rPr>
          <w:sz w:val="20"/>
          <w:szCs w:val="20"/>
          <w:color w:val="auto"/>
        </w:rPr>
      </w:pPr>
      <w:r>
        <w:rPr>
          <w:rFonts w:ascii="Arial" w:cs="Arial" w:eastAsia="Arial" w:hAnsi="Arial"/>
          <w:sz w:val="18"/>
          <w:szCs w:val="18"/>
          <w:b w:val="1"/>
          <w:bCs w:val="1"/>
          <w:i w:val="1"/>
          <w:iCs w:val="1"/>
          <w:color w:val="auto"/>
        </w:rPr>
        <w:t>In order to preserve the ability of Post to distribute its beneficial retained interest in BellRing Brands, LLC on a tax-free basis, we may be prevented from pursuing opportunities to raise capital, to effectuate acquisitions or to provide equity incentives to our employees, which could hurt our ability to grow.</w:t>
      </w:r>
    </w:p>
    <w:p>
      <w:pPr>
        <w:spacing w:after="0" w:line="73"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Under current laws, in order to effect certain tax-free distributions of its beneficial retained interest in BellRing Brands, LLC, Post may wish to ensure that the aggregate value of the BellRing Brands, LLC assets owned indirectly by the holders of our Class A common stock does not exceed the value of Post’s beneficial retained interest in BellRing Brands, LLC. While Post has advised us that it does not have any definitive plans to undertake a tax-free distribution of its beneficial retained interest in BellRing Brands, LLC, Post may use its majority voting interest in us to retain its ability to engage in such a transaction in the future. This may cause Post to not support transactions we wish to pursue that involve issuing shares of our common stock, including for capital raising purposes, as consideration for an acquisition or as equity incentives to our employees. The inability to pursue such transactions, if it occurs, may adversely affect our Company. See “—Post controls our Company and will have the ability to control the direction of our business” and “—Post’s interests may conflict with our interests and the interests of our other stockholders. Conflicts of interest or disputes between Post and us could be resolved in a manner unfavorable to us and our other stockholders.”</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agreements with Post will require us to indemnify Post for certain tax liabilities.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connection with this offering, BellRing Brands, Inc. and BellRing Brands, LLC will enter into a tax matters agreement with Post. Under the tax matters agreement, Post will be responsible for all taxes for Post’s Active Nutrition business which relate to pre-offering periods, and BellRing Brands, LLC generally will be responsible for (i) all taxes imposed with respect to any consolidated, combined or unitary tax return of Post or any of its subsidiaries that includes BellRing Brands, LLC or any of its subsidiaries to the extent such taxes relate to post-offering periods and are attributable to BellRing Brands, LLC or any of its subsidiaries, as determined under the tax matters agreement, and (ii) all taxes that relate to post-offering periods imposed with respect to any consolidated, combined, unitary or separate tax returns of BellRing Brands, LLC or any of its subsidiaries, as determined under the tax matters agreement. To the extent Post fails to pay taxes imposed with respect to any consolidated, combined or unitary tax return of Post or any of its subsidiaries that includes BellRing Brands, Inc. or any of its subsidiaries, the relevant taxing authority could seek to collect such taxes (including taxes for which Post is responsible under the tax matters agreement) from BellRing Brands, Inc. or its subsidiaries. For a more complete description of the tax matters agreement, see “Certain Relationships and Related Party Transactions—Post-Offering Relationship with Post—Tax Matters Agreement.”</w:t>
      </w:r>
    </w:p>
    <w:p>
      <w:pPr>
        <w:spacing w:after="0" w:line="291" w:lineRule="exact"/>
        <w:rPr>
          <w:sz w:val="20"/>
          <w:szCs w:val="20"/>
          <w:color w:val="auto"/>
        </w:rPr>
      </w:pPr>
    </w:p>
    <w:p>
      <w:pPr>
        <w:ind w:left="640" w:right="200"/>
        <w:spacing w:after="0" w:line="277" w:lineRule="auto"/>
        <w:rPr>
          <w:sz w:val="20"/>
          <w:szCs w:val="20"/>
          <w:color w:val="auto"/>
        </w:rPr>
      </w:pPr>
      <w:r>
        <w:rPr>
          <w:rFonts w:ascii="Arial" w:cs="Arial" w:eastAsia="Arial" w:hAnsi="Arial"/>
          <w:sz w:val="18"/>
          <w:szCs w:val="18"/>
          <w:b w:val="1"/>
          <w:bCs w:val="1"/>
          <w:i w:val="1"/>
          <w:iCs w:val="1"/>
          <w:color w:val="auto"/>
        </w:rPr>
        <w:t>The tax receivable agreement with Post and BellRing Brands, LLC will require us to make cash payments to Post for certain tax benefits we may realize in the future, and these payments could be substantial.</w:t>
      </w:r>
    </w:p>
    <w:p>
      <w:pPr>
        <w:spacing w:after="0" w:line="62"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Post (or certain of its transferees or assignees) may redeem BellRing Brands, LLC Units for, at the option of BellRing Brands, LLC (as determined by its Board of Managers), shares of our Class A common stock or cash pursuant to the amended and restated limited liability company agreement. See “Certain Relationships and Related Party Transactions—Post-Offering Relationship with Post—Amended and Restated Limited Liability Company Agreement.” These redemptions, certain formation transactions and certain actual or deemed distributions from BellRing Brands, LLC to Post (or certain of its transferees or assignees) or deemed sales by Post (or certain of its transferees or assignees) to BellRing Brands, Inc. or BellRing Brands, LLC of BellRing Brands, LLC Units or assets, may result in increases in our pro rata share of the tax basis of BellRing Brands, LLC’s assets that otherwise would not have been available. Such increases in tax basis are likely to increase (for tax purposes) depreciation and amortization deductions allocable to us and therefore reduce the amount of income tax attributable to BellRing Brands, LLC’s operations we would otherwise be required to pay in the</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future and also may decrease gain (or increase loss) otherwise allocable to us from BellRing Brands, LLC on future dispositions of certain of BellRing Brands, LLC’s assets to the extent the increased tax basis is allocated to those assets. Furthermore, under Section 704(c) of the Code, we will be entitled to certain tax benefits generated by the pre-existing, contributed tax basis in BellRing Brands, LLC’s assets in excess of our pro rata share of such basis at the time of the partnership’s formation. The IRS may challenge all or part of these tax basis increases and tax benefits and no assurances can be made regarding the availability of these tax basis increases or other tax benefits.</w:t>
      </w:r>
    </w:p>
    <w:p>
      <w:pPr>
        <w:spacing w:after="0" w:line="173"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Upon the closing of this offering, we will enter into the tax receivable agreement with Post and BellRing Brands, LLC. Under the tax receivable agreement, we will be required to make cash payments to Post (or certain of its transferees or other assignees) equal to 85% of the amount of cash savings, if any, in U.S. federal income tax, as well as state and local income tax and franchise tax (using an assumed tax rate on a base equal to the U.S. federal taxable income of BellRing Brands, Inc.), that we realize (or, in some circumstances, we are deemed to realize) as a result of (a) the increase in the tax basis of the assets of BellRing Brands, LLC attributable to (i) the redemption of BellRing Brands, LLC Units by Post (or certain of its transferees or assignees) pursuant to the amended and restated limited liability company agreement, (ii) deemed sales by Post (or certain of its transferees or assignees) of BellRing Brands, LLC Units or assets to BellRing Brands, Inc. or BellRing Brands, LLC, (iii) certain actual or deemed distributions from BellRing Brands, LLC to Post (or certain of its transferees or assignees) and (iv) certain formation transactions, (b) disproportionate allocations of tax benefits to BellRing Brands, Inc. as a result of Section 704(c) of the Code and (c) certain tax benefits (e.g., imputed interest, basis adjustments, deductions, etc.) attributable to payments under the tax receivable agreement. Any payments made by us under the tax receivable agreement will generally reduce the amount of overall cash flow that might have otherwise been available to us. To the extent that we are unable to make payments under the tax receivable agreement for any reason, such payments will be deferred and will accrue interest until paid. There can be no assurance that we will be able to fund or finance our obligations under the tax receivable agreement. Furthermore, our future obligation to make payments under the tax receivable agreement could make us a less attractive target for an acquisition, particularly in the case of an acquirer that cannot use some or all of the tax benefits that are subject of the tax receivable agreement. Actual tax benefits realized by us may differ from the tax benefits calculated pursuant to the terms of the tax receivable agreement, including as a result of the use of certain assumptions in the tax receivable agreement, including the use of an assumed state and local income tax rate on a base equal to the U.S. federal taxable income of BellRing Brands, Inc. to calculate tax benefits. Payments under the tax receivable agreement are not conditioned on Post’s continued ownership of BellRing Brands, LLC Units or our Class A common stock or Class B common stock after this offering. The payment obligation is a payment obligation of ours and not of BellRing Brands, LLC.</w:t>
      </w:r>
    </w:p>
    <w:p>
      <w:pPr>
        <w:spacing w:after="0" w:line="17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Post has advised us that, except under the circumstances described under “Use of Proceeds,” it has no definitive plans to exit its interests in BellRing Brands, Inc. or BellRing Brands, LLC, and it does not currently expect that any such exit would include the redemption of its BellRing Brands, LLC Units, as described above, due to unfavorable tax consequences that it could incur as a result, particularly in light of the availability of more tax-efficient exit alternatives—including tax-free “spin-off” or “split-off” transactions (which are not expected to result in adjustments to the tax basis of the assets of BellRing Brands, LLC). Post (or its transferees or assignees) may nevertheless determine to engage in redemptions in its sole discretion and, in such event, the actual increase in tax basis and the amount and timing of any payments under the tax receivable agreement will vary depending upon a number of factors, including the timing of any future redemptions, the price of shares of our Class A common stock at the time of the redemption, the nature of the assets owned by BellRing Brands, LLC at the time of the redemption, the extent to which such redemptions are taxable, the tax rates then applicable and the amount and timing of our income. For an illustration of the amount, based upon certain assumptions, that would be payable by BellRing Brands, Inc. under the tax receivable agreement if all of Post’s (and its transferees’ and assignees’) BellRing Brands, LLC Units were redeemed, see “Unaudited Pro Forma Condensed Consolidated Financial Information.”</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We will not be reimbursed for any payments made to Post under the tax receivable agreement in the event that any tax benefits are disallowed.</w:t>
      </w:r>
    </w:p>
    <w:p>
      <w:pPr>
        <w:spacing w:after="0" w:line="15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Payments under the tax receivable agreement will be based on the tax reporting positions that we determine, and the IRS or another tax authority may challenge all or part of the tax basis increases, as well as other related tax positions we take, and a court could sustain any such challenge. Post (and its transferees and assignees) will not reimburse us for any payments that may previously have been made under the tax receivable agreement even if the IRS or another tax authority subsequently disallows the tax basis increase or any other relevant tax item. Instead, any excess cash payments made by us to Post (or its transferees or assignees) will be netted against any future cash payments that we might otherwise be required to make under the terms of the tax receivable agreement. However, we might not determine that we have effectively made an excess cash payment to Post (or its transferees or assignees) for a number of years following the initial time of such payment. As a result, in certain circumstances, we could make payments to Post under the tax receivable agreement in excess of our cash tax savings and become aware of that fact only at a time when there are no further payments against which to offset that excess amount.</w:t>
      </w:r>
    </w:p>
    <w:p>
      <w:pPr>
        <w:spacing w:after="0" w:line="290"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b w:val="1"/>
          <w:bCs w:val="1"/>
          <w:i w:val="1"/>
          <w:iCs w:val="1"/>
          <w:color w:val="auto"/>
        </w:rPr>
        <w:t>In certain cases, future payments under the tax receivable agreement to Post may be accelerated or significantly exceed the actual benefits we realize in respect of the tax attributes subject to the tax receivable agreement.</w:t>
      </w:r>
    </w:p>
    <w:p>
      <w:pPr>
        <w:spacing w:after="0" w:line="62"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tax receivable agreement will provide that, upon a merger, asset sale or other form of business combination or certain other changes of control or if, at any time, we elect an early termination of the tax receivable agreement or materially breach any of our material obligations under the tax receivable agreement, our (or our successor’s) future obligations under the tax receivable agreement would accelerate and become due and payable based on certain assumptions, including that we would have sufficient taxable income to fully utilize all potential future tax benefits that are subject to the tax receivable agreement, and that, as of the effective date of the acceleration, any BellRing Brands, LLC Units that Post (or its transferees or assignees) has not yet redeemed will be deemed to have been redeemed by Post (and its transferees and assignees) for an amount based on the closing trading price of our Class A common stock at the time of termination, even if we do not receive the corresponding tax benefits until a later date when the BellRing Brands, LLC Units are actually redeemed. Such obligations under the tax receivable agreement, however, would not arise if Post distributes its beneficial retained interest in BellRing Brands, LLC by means of a spin-off to its shareholders. As a result of the foregoing, we would be required to make an immediate cash payment equal to the estimated present value as outlined in the tax receivable agreement of the anticipated future tax benefits that are the subject of the tax receivable agreement, which payment may be made significantly in advance of the actual realization, if any, of those future tax benefits and, therefore, we could be required to make payments under the tax receivable agreement that are greater than the specified percentage of the actual tax benefits we ultimately realize. For an illustration of the amount, based upon certain assumptions, that would be payable by BellRing Brands, Inc. under the tax receivable agreement if we were to elect to terminate the tax receivable agreement immediately after this offering, see “Unaudited Pro Forma Condensed Consolidated Financial Information.”</w:t>
      </w:r>
    </w:p>
    <w:p>
      <w:pPr>
        <w:spacing w:after="0" w:line="277" w:lineRule="exact"/>
        <w:rPr>
          <w:sz w:val="20"/>
          <w:szCs w:val="20"/>
          <w:color w:val="auto"/>
        </w:rPr>
      </w:pPr>
    </w:p>
    <w:p>
      <w:pPr>
        <w:ind w:left="640" w:right="380"/>
        <w:spacing w:after="0" w:line="375" w:lineRule="auto"/>
        <w:rPr>
          <w:sz w:val="20"/>
          <w:szCs w:val="20"/>
          <w:color w:val="auto"/>
        </w:rPr>
      </w:pPr>
      <w:r>
        <w:rPr>
          <w:rFonts w:ascii="Arial" w:cs="Arial" w:eastAsia="Arial" w:hAnsi="Arial"/>
          <w:sz w:val="15"/>
          <w:szCs w:val="15"/>
          <w:b w:val="1"/>
          <w:bCs w:val="1"/>
          <w:i w:val="1"/>
          <w:iCs w:val="1"/>
          <w:color w:val="auto"/>
        </w:rPr>
        <w:t>Our organizational structure confers certain benefits upon Post and certain of its successors and assigns that may not benefit our Class A common stockholders to the same extent, and that could result in determinations harmful to the interests of such stockholders.</w:t>
      </w:r>
    </w:p>
    <w:p>
      <w:pPr>
        <w:spacing w:after="0" w:line="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Our organizational structure, including the fact that Post will own more than 50% of the voting power of our outstanding common stock and hold its economic interest in BellRing Brands, LLC directly, confers certain benefits upon Post that will not benefit the holders of our Class A common stock to the same extent as it will benefit Post. For example, the tax receivable agreement will provide for the payment by us to Post (or certain of its transferees or other assignees) of 85% of the amount of cash savings, if any, in U.S. federal income tax, as well as state and local income tax and franchise tax (using an assumed tax rate on a base equal to the U.S. federal taxable income of BellRing Brands, Inc.) that we realize (or, in some circumstances, we are deemed to realize) as a result of (a) the increase in the tax basis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of assets of BellRing Brands, LLC attributable to (i) the redemption of BellRing Brands, LLC Units by Post (or certain of its transferees or assignees) pursuant to the amended and restated limited liability company agreement, (ii) deemed sales by Post (or certain of its transferees or assignees) of BellRing Brands, LLC Units or assets to BellRing Brands, Inc., (iii) certain actual or deemed distributions from BellRing Brands, LLC to Post (or certain of its transferees or assignees) and (iv) certain formation transactions, (b) disproportionate allocations of tax benefits to BellRing Brands, Inc. as a result of Section 704(c) of the Code and (c) certain tax benefits (e.g., basis adjustments, deductions, etc.) attributable to payments under the tax receivable agreement. Although we will retain 15% of the amount of such tax benefits, it is possible that the interests of Post may in some circumstances conflict with our interests and the interests of our other stockholders, including you.</w:t>
      </w:r>
    </w:p>
    <w:p>
      <w:pPr>
        <w:spacing w:after="0" w:line="17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Further, Post may have different tax positions from us, especially in light of the tax receivable agreement, that could influence its decisions regarding whether and when we should dispose of assets, whether and when we should incur new or refinance existing indebtedness and whether and when we should terminate the tax receivable agreement and accelerate our obligations thereunder. In addition, changes in tax laws, the determination of future tax reporting positions, the structuring of future transactions (including dispositions of Post’s interests in BellRing Brands, LLC, such as through a tax-free spin-off to its shareholders) and related restrictions on us, and the handling of any future challenges by any taxing authority to our tax reporting positions, may take into consideration Post’s tax plans and objectives or other considerations, which may differ from the considerations of us or our other stockholders. Such determination may adversely affect our profitability or prevent us from pursuing certain opportunities to grow.</w:t>
      </w:r>
    </w:p>
    <w:p>
      <w:pPr>
        <w:spacing w:after="0" w:line="16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In the event Post is acquired or otherwise experiences a change in control, any acquirer or successor will generally succeed to the rights and obligations of BellRing Brands, LLC (including under the tax receivable agreement), and the same considerations described above apply to any such successor parties.</w:t>
      </w:r>
    </w:p>
    <w:p>
      <w:pPr>
        <w:spacing w:after="0" w:line="289"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b w:val="1"/>
          <w:bCs w:val="1"/>
          <w:i w:val="1"/>
          <w:iCs w:val="1"/>
          <w:color w:val="auto"/>
        </w:rPr>
        <w:t>If the BellRing Brands, LLC Board of Managers elects to make cash payments rather than issue shares of our Class A common stock in future redemptions of BellRing Brands, LLC Units, such cash payments may reduce the amount of overall cash flow that would otherwise be available to us.</w:t>
      </w:r>
    </w:p>
    <w:p>
      <w:pPr>
        <w:spacing w:after="0" w:line="7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Subject to the terms of the amended and restated limited liability company agreement, BellRing Brands, LLC Units may be redeemed at any time for, at the option of BellRing Brands, LLC (as determined by its Board of Managers), (i) shares of our Class A common stock or (ii) cash (based on the market price of the shares of our Class A common stock). The redemption of BellRing Brands, LLC Units for shares of Class A common stock will be at an initial redemption rate of one share of Class A common stock for one BellRing Brands, LLC Unit, subject to customary redemption rate adjustments for stock splits, stock dividends and reclassifications. If cash payments are elected rather than the issuance of shares of our Class A common stock, such payments may require the payment of significant amounts of cash and may reduce the amount of overall cash flow that would otherwise be available for distribution to us from BellRing Brands, LLC, and also may negatively affect our ability to successfully execute our growth strategy.</w:t>
      </w:r>
    </w:p>
    <w:p>
      <w:pPr>
        <w:spacing w:after="0" w:line="275" w:lineRule="exact"/>
        <w:rPr>
          <w:sz w:val="20"/>
          <w:szCs w:val="20"/>
          <w:color w:val="auto"/>
        </w:rPr>
      </w:pPr>
    </w:p>
    <w:p>
      <w:pPr>
        <w:ind w:left="640" w:right="580"/>
        <w:spacing w:after="0" w:line="277" w:lineRule="auto"/>
        <w:rPr>
          <w:sz w:val="20"/>
          <w:szCs w:val="20"/>
          <w:color w:val="auto"/>
        </w:rPr>
      </w:pPr>
      <w:r>
        <w:rPr>
          <w:rFonts w:ascii="Arial" w:cs="Arial" w:eastAsia="Arial" w:hAnsi="Arial"/>
          <w:sz w:val="18"/>
          <w:szCs w:val="18"/>
          <w:b w:val="1"/>
          <w:bCs w:val="1"/>
          <w:i w:val="1"/>
          <w:iCs w:val="1"/>
          <w:color w:val="auto"/>
        </w:rPr>
        <w:t>Future sales or distributions of shares of our Class A common stock by Post could depress our Class A common stock price, impact our operations or result in a change in control of us.</w:t>
      </w:r>
    </w:p>
    <w:p>
      <w:pPr>
        <w:spacing w:after="0" w:line="62"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After this offering, and subject to the lock-up period described below under “Shares Eligible for Future Sale—Lock-up Agreements,” Post generally has the right at any time, if it has redeemed BellRing Brands, LLC Units for shares of our Class A common stock, to sell or otherwise dispose of all or a portion of the shares of our Class A common stock that it owns to third parties. Post and its affiliates may also directly transfer their BellRing Brands, LLC Units to third parties without the consent or approval of the Board of Managers of BellRing Brands, LLC or any other party. In connection with such transfers, subject to certain exceptions, Post must either grant a written proxy to, or enter into a written voting agreement or other voting arrangement with, such transferee, which, if Post or its affiliates holds in the aggregate 50% or less of the BellRing Brands, LLC Units as described in this prospectus, will provide for the right of such transferee to direct Post or its applicable affiliate, as the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holder of the share of our Class B common stock, to cast a number of votes to which such share of Class B common stock is entitled on all matters in which our stockholders generally are entitled to vote equal to the number of BellRing Brands, LLC Units held by such third party. See “Certain Relationships and Related Party Transactions—Post-Offering Relationship with Post—Amended and Restated Limited Liability Company Agreement— Transfer of BellRing Brands, LLC Units.” In addition, Post may determine to distribute its beneficial retained interest in BellRing Brands, LLC by means of a spin-off to its shareholders. A sale of a controlling interest in us to a third party would result in persons other than Post controlling us and could result in a change of management or changes in our business operations and policies. Sales by Post in the public market of substantial amounts of our Class A common stock or a spin-off to its shareholders also could depress the price of our Class A common stock.</w:t>
      </w:r>
    </w:p>
    <w:p>
      <w:pPr>
        <w:spacing w:after="0" w:line="17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addition, Post will have the right, subject to certain conditions, to require us to file registration statements covering the sale of its shares of our Class A common stock or to include its shares of our Class A common stock in other registration statements that we may file. In the event Post exercises its registration rights and sells all or a portion of its shares of our Class A common stock, the price of our Class A common stock could decline. See “Shares Eligible for Future Sale—Registration Rights.”</w:t>
      </w:r>
    </w:p>
    <w:p>
      <w:pPr>
        <w:spacing w:after="0" w:line="295"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b w:val="1"/>
          <w:bCs w:val="1"/>
          <w:i w:val="1"/>
          <w:iCs w:val="1"/>
          <w:color w:val="auto"/>
        </w:rPr>
        <w:t>The services that Post will provide to us following the initial public offering may not be sufficient to meet our needs, which may result in increased costs and otherwise adversely affect our business.</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Prior to completion of this offering, Post has provided us with various services including finance, information technology, legal, human resources, quality, supply chain and purchasing functions. Following this offering, we expect Post to continue to provide many of these services to us for a fee provided for in the master services agreement described in “Certain Relationships and Related Party Transactions—Post-Offering Relationship with Post —Master Services Agreement.” Post will not be obligated to provide these services in a manner that differs from the nature of the services today, and thus we may not be able to modify these services in a manner desirable to us. Further, if we no longer receive these services from Post, we may not be able to perform these services ourselves or to find appropriate third party arrangements at a reasonable cost, and the cost may be higher than that charged by Post.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229" w:lineRule="exact"/>
        <w:rPr>
          <w:sz w:val="20"/>
          <w:szCs w:val="20"/>
          <w:color w:val="auto"/>
        </w:rPr>
      </w:pPr>
    </w:p>
    <w:p>
      <w:pPr>
        <w:ind w:left="640" w:right="260"/>
        <w:spacing w:after="0" w:line="375" w:lineRule="auto"/>
        <w:rPr>
          <w:sz w:val="20"/>
          <w:szCs w:val="20"/>
          <w:color w:val="auto"/>
        </w:rPr>
      </w:pPr>
      <w:r>
        <w:rPr>
          <w:rFonts w:ascii="Arial" w:cs="Arial" w:eastAsia="Arial" w:hAnsi="Arial"/>
          <w:sz w:val="15"/>
          <w:szCs w:val="15"/>
          <w:b w:val="1"/>
          <w:bCs w:val="1"/>
          <w:i w:val="1"/>
          <w:iCs w:val="1"/>
          <w:color w:val="auto"/>
        </w:rPr>
        <w:t>We have no operating history as a separate public company, and our historical and pro forma financial information is not necessarily representative of the results we would have achieved as a separate public company and may not be a reliable indicator of our future results.</w:t>
      </w:r>
    </w:p>
    <w:p>
      <w:pPr>
        <w:spacing w:after="0" w:line="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historical financial information we have included in this prospectus does not reflect, and the pro forma financial information included in this prospectus may not reflect, what our financial position, results of operations or cash flows would have been had we been a separate public company during the historical periods presented, or what our financial position, results of operations or cash flows will be in the future as a separate public company.</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pro forma financial information included in this prospectus includes adjustments based upon available information we believe to be reasonable. However, the assumptions may change, and actual results may differ. In addition, we have not made pro forma adjustments to reflect many significant changes that will occur in our cost structure, funding and operations as a result of our transition to becoming a separate public company, including potential increased costs associated with reduced economies of scale and increased costs associated with being a publicly traded and separate company. For additional information about the basis of presentation of our pro forma financial information and historical financial information included in this prospectus, see “Selected Historical Condensed Combined Financial and Other Information” and “Unaudited Pro Forma Condensed Consolidated Financial Information.”</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b w:val="1"/>
          <w:bCs w:val="1"/>
          <w:i w:val="1"/>
          <w:iCs w:val="1"/>
          <w:color w:val="auto"/>
        </w:rPr>
        <w:t>We will incur additional expenses to create the corporate infrastructure to operate as a public company, and we will experience increased ongoing costs in connection with being a public company.</w:t>
      </w:r>
    </w:p>
    <w:p>
      <w:pPr>
        <w:spacing w:after="0" w:line="6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Our business has historically used some of Post’s corporate infrastructure and services to support our business functions. The expenses related to establishing and maintaining this infrastructure have been spread across all of Post’s businesses and charged to us on a cost-allocation basis. Except as described under the caption “Certain Relationships and Related Party Transactions—Post-Offering Relationship with Post,” after this offering we will no longer have access to Post’s infrastructure or services, and we will need to establish our own. The services historically provided to us by Post have included finance, information technology, legal, human resources, quality, supply chain and purchasing functions. Following this offering, Post will continue to provide some of these services to us pursuant to a master services agreement. For more information regarding the master services agreement, see “Certain Relationships and Related Party Transactions—Post-Offering Relationship with Post—Master Services Agreement.” However, we cannot assure you that all of these functions will be successfully executed by Post or that we will not have to expend significant efforts or costs materially in excess of those estimated in the master services agreement. Any interruption in these services could have a material adverse effect on our business, financial condition, results of operations and cash flows. In addition, upon termination of the master services agreement, we will need to perform these functions ourselves or hire third parties to perform these functions on our behalf.</w:t>
      </w:r>
    </w:p>
    <w:p>
      <w:pPr>
        <w:spacing w:after="0" w:line="281" w:lineRule="exact"/>
        <w:rPr>
          <w:sz w:val="20"/>
          <w:szCs w:val="20"/>
          <w:color w:val="auto"/>
        </w:rPr>
      </w:pPr>
    </w:p>
    <w:p>
      <w:pPr>
        <w:ind w:left="640" w:right="360"/>
        <w:spacing w:after="0" w:line="340" w:lineRule="auto"/>
        <w:rPr>
          <w:sz w:val="20"/>
          <w:szCs w:val="20"/>
          <w:color w:val="auto"/>
        </w:rPr>
      </w:pPr>
      <w:r>
        <w:rPr>
          <w:rFonts w:ascii="Arial" w:cs="Arial" w:eastAsia="Arial" w:hAnsi="Arial"/>
          <w:sz w:val="15"/>
          <w:szCs w:val="15"/>
          <w:b w:val="1"/>
          <w:bCs w:val="1"/>
          <w:i w:val="1"/>
          <w:iCs w:val="1"/>
          <w:color w:val="auto"/>
        </w:rPr>
        <w:t>As a public company, we will be required to satisfy the requirements of Section 404 of the Sarbanes-Oxley Act of 2002. If we are unable to satisfy the requirements of Section 404 of the Sarbanes-Oxley Act, or our internal control over financial reporting is not effective, the reliability of our financial statements may be questioned, and the market price of our Class A common stock could decline.</w:t>
      </w:r>
    </w:p>
    <w:p>
      <w:pPr>
        <w:spacing w:after="0" w:line="23"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Although we will be able to take advantage of temporary exemptions for newly public companies and emerging growth companies, we will be required, pursuant to Section 404 of the Sarbanes-Oxley Act, to perform a comprehensive evaluation of our and our subsidiaries’ internal control over financial reporting. To comply with this statute, we will be required to document and test our internal control procedures and our management is required to assess and issue a report concerning our internal control over financial reporting commencing the year following when our first annual report is required to be filed with the SEC. In addition, our independent registered public accounting firm will be required to formally attest to the effectiveness of our internal control over financial reporting commencing the later of the year following when our first annual report is required to be filed with the SEC or the date we are no longer an emerging growth company.</w:t>
      </w:r>
    </w:p>
    <w:p>
      <w:pPr>
        <w:spacing w:after="0" w:line="178"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The rules governing the standards that must be met for management to assess our internal control over financial reporting are complex and significant documentation, testing and possible remediation is required to meet the detailed standards under the rules. During our testing, we may identify material weaknesses or significant deficiencies which may not be remedied in time to meet the deadlines imposed by the Sarbanes-Oxley Act and SEC rules. If our management cannot favorably assess the effectiveness of our internal control over financial reporting, investor confidence in our financial results may weaken, the market price of our Class A common stock may consequently suffer, and we could be subject to sanctions or investigations by the SEC or other regulatory authorities. In addition, in the event we do not maintain effective internal control over financial reporting, we might fail to timely prevent or detect potential financial misstatements. Failure to remedy any material weakness in our internal control over financial reporting also could restrict our future access to the capital markets.</w:t>
      </w:r>
    </w:p>
    <w:p>
      <w:pPr>
        <w:spacing w:after="0" w:line="287" w:lineRule="exact"/>
        <w:rPr>
          <w:sz w:val="20"/>
          <w:szCs w:val="20"/>
          <w:color w:val="auto"/>
        </w:rPr>
      </w:pPr>
    </w:p>
    <w:p>
      <w:pPr>
        <w:ind w:left="640" w:right="420"/>
        <w:spacing w:after="0" w:line="277" w:lineRule="auto"/>
        <w:rPr>
          <w:sz w:val="20"/>
          <w:szCs w:val="20"/>
          <w:color w:val="auto"/>
        </w:rPr>
      </w:pPr>
      <w:r>
        <w:rPr>
          <w:rFonts w:ascii="Arial" w:cs="Arial" w:eastAsia="Arial" w:hAnsi="Arial"/>
          <w:sz w:val="18"/>
          <w:szCs w:val="18"/>
          <w:b w:val="1"/>
          <w:bCs w:val="1"/>
          <w:i w:val="1"/>
          <w:iCs w:val="1"/>
          <w:color w:val="auto"/>
        </w:rPr>
        <w:t>Any guidance we provide is inherently speculative in nature, and if our actual operating results differ significantly from any guidance we provide, our stock price may decline.</w:t>
      </w:r>
    </w:p>
    <w:p>
      <w:pPr>
        <w:spacing w:after="0" w:line="62"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As a public company, we may, from time to time, release guidance regarding our future performance. Any guidance we provide will be prepared by our management based upon a number of assumptions and estimates that, although presented with numerical specificity, will inherently be subject to business, economic and competitive uncertainties and contingencies, many of which are and will be beyond our control and will be based</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auto"/>
        </w:rPr>
        <w:t>upon specific assumptions with respect to future business decisions, some of which will change. In addition, such guidance will not be prepared with a view toward compliance with published guidelines of the American Institute of Certified Public Accountants, and neither our independent registered public accounting firm nor any other independent expert or outside party will compile or examine the guidance and, accordingly, no such person will express any opinion or any other form of assurance with respect thereto. Guidance is necessarily speculative in nature, and it can be expected that some or all of the assumptions of the guidance that may be furnished by us will not materialize or will vary significantly from actual results. In light of the foregoing, investors are urged to put the guidance in context and not to place undue reliance on it. Further, we do not accept any responsibility for any projections or reports published by analysts or investors. In the event that our actual operating results differ significantly from any guidance we provide, our stock price may decline.</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Investors purchasing Class A common stock in this offering will experience immediate and substantial dilution.</w:t>
      </w:r>
    </w:p>
    <w:p>
      <w:pPr>
        <w:spacing w:after="0" w:line="11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initial public offering price of our Class A common stock will be substantially higher than the as adjusted net tangible book value per outstanding share of our Class A common stock. Therefore, if you purchase our Class A common stock in this offering, you will incur an immediate substantial dilution of $23.26 per share, the difference between the price per share you paid for a share of Class A common stock (based on the midpoint of the estimated offering price range set forth on the cover page of this prospectus) and the as adjusted net tangible book value per share of our Class A common stock calculated as of June 30, 2019, after giving effect to the issuance of shares of our Class A common stock in this offering. For additional information about the dilution that you will experience immediately after this offering, see “Dilution.”</w:t>
      </w:r>
    </w:p>
    <w:p>
      <w:pPr>
        <w:spacing w:after="0" w:line="287"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b w:val="1"/>
          <w:bCs w:val="1"/>
          <w:i w:val="1"/>
          <w:iCs w:val="1"/>
          <w:color w:val="auto"/>
        </w:rPr>
        <w:t>Because there has not been any public market for our Class A common stock, the market price and trading volume of our Class A common stock may be volatile, which could subject us to securities class action litigation and prevent you from being able to sell your shares at or above the offering price.</w:t>
      </w:r>
    </w:p>
    <w:p>
      <w:pPr>
        <w:spacing w:after="0" w:line="73"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Prior to this offering, there has been no public market for shares of our Class A common stock. The initial public offering price of our Class A common stock was determined through negotiation among us, Post and the underwriters. This price does not necessarily reflect the price at which investors in the market will be willing to buy and sell shares of our Class A common stock following this offering. In addition, the market price of our Class A common stock following this offering may be highly volatile and could fluctuate significantly for many reasons, including the risk factors described in this section, many of which are beyond our control and may not be related to our operating performance. Such reasons may include, among others, reports by industry analysts, our failure to meet analysts’ earnings estimates, investor perceptions or negative developments relating to our customers, competitors or suppliers and general economic and industry conditions. 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Class A common stock. In addition, such fluctuations could subject us to securities class action litigation, which could result in substantial costs and divert our management’s attention from other matters, which could potentially harm our business. These fluctuations could cause you to lose part of your investment in our Class A common stock since you might be unable to sell your shares at or above the price you paid in this offering.</w:t>
      </w:r>
    </w:p>
    <w:p>
      <w:pPr>
        <w:spacing w:after="0" w:line="293" w:lineRule="exact"/>
        <w:rPr>
          <w:sz w:val="20"/>
          <w:szCs w:val="20"/>
          <w:color w:val="auto"/>
        </w:rPr>
      </w:pPr>
    </w:p>
    <w:p>
      <w:pPr>
        <w:ind w:left="640" w:right="56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equity research analysts publish about us and our business. Equity research analysts may elect not to provide research coverage of our Class A common stock after this offering, and such lack of research coverage may adversely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affect the market price of our Class A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 coverage of our Company or fail to publish reports on us regularly, demand for our Class A common stock could decrease, which in turn could cause our stock price or trading volume to decline.</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not develop or be sustained.</w:t>
      </w:r>
    </w:p>
    <w:p>
      <w:pPr>
        <w:spacing w:after="0" w:line="117"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We have received approval to list our Class A common stock on the NYSE under the symbol “BRBR”. However, we cannot assure you that an active trading market for our Class A common stock will develop on that exchange or elsewhere or, if developed, that any market will be sustained. In addition, there can be no assurance of the liquidity of any trading market, your ability to sell your shares of our Class A common stock when desired or the prices that you may obtain for your shares. Further, our Class A common stock likely will not be eligible to be included in certain stock indices because of our dual class voting structure. For example, in July 2017, S&amp;P Dow Jones stated that companies with multiple share classes will not be eligible for inclusion in the S&amp;P Composite 1500 (comprised of the S&amp;P 500, S&amp;P MidCap 400 and S&amp;P SmallCap 600). Any such exclusion from indices could result in a less active trading market for our Class A common stock.</w:t>
      </w:r>
    </w:p>
    <w:p>
      <w:pPr>
        <w:spacing w:after="0" w:line="286" w:lineRule="exact"/>
        <w:rPr>
          <w:sz w:val="20"/>
          <w:szCs w:val="20"/>
          <w:color w:val="auto"/>
        </w:rPr>
      </w:pPr>
    </w:p>
    <w:p>
      <w:pPr>
        <w:ind w:left="640" w:right="440"/>
        <w:spacing w:after="0" w:line="342" w:lineRule="auto"/>
        <w:rPr>
          <w:sz w:val="20"/>
          <w:szCs w:val="20"/>
          <w:color w:val="auto"/>
        </w:rPr>
      </w:pPr>
      <w:r>
        <w:rPr>
          <w:rFonts w:ascii="Arial" w:cs="Arial" w:eastAsia="Arial" w:hAnsi="Arial"/>
          <w:sz w:val="16"/>
          <w:szCs w:val="16"/>
          <w:b w:val="1"/>
          <w:bCs w:val="1"/>
          <w:i w:val="1"/>
          <w:iCs w:val="1"/>
          <w:color w:val="auto"/>
        </w:rPr>
        <w:t>A substantial portion of our total outstanding shares of Class A common stock may be sold into the market at any time. These sales could cause the market price of our Class A common stock to drop significantly, even if our business is doing well.</w:t>
      </w:r>
    </w:p>
    <w:p>
      <w:pPr>
        <w:spacing w:after="0" w:line="1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market price of our Class A common stock could decline as a result of sales of a large number of shares of our Class A common stock or the perception that such sales could occur. These sales, or the possibility that these sales may occur, could make it more difficult for you to sell your shares of our Class A common stock at a time and price that you consider appropriate, and could impair our ability to raise equity capital or use our common stock as consideration for acquisitions of other businesses, investments or other corporate purposes. After the consummation of this offering, we will have 127,474,179 shares of outstanding Class A common stock on a fully diluted basis, assuming that all of the BellRing Brands, LLC Units outstanding after giving effect to the formation transactions and this offering described under “Prospectus Summary—Formation Transactions,” excluding those held by us, are redeemed for shares of our Class A common stock and assuming no exercise of the underwriters’ over-allotment option. Also, in the future, we may issue shares of our Class A common stock or securities convertible into shares of our Class A common stock in connection with investments or acquisitions. The number of shares of our Class A common stock issued in connection with an investment or acquisition could constitute a material portion of our then outstanding shares of common stock.</w:t>
      </w:r>
    </w:p>
    <w:p>
      <w:pPr>
        <w:spacing w:after="0" w:line="178"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Immediately following the consummation of the formation transactions and this offering, the members of BellRing Brands, LLC will consist of us and Post, which will hold 97,474,179 BellRing Brands, LLC Units (equal to 76.5% of the economic interest in BellRing Brands, LLC) (or 73.9% if the underwriters exercise their over-allotment option in full) and one share of our Class B common stock, which, so long as Post or its affiliates (other than us) directly own more than 50% of the BellRing Brands, LLC Units as described in this prospectus, will represent 67% of the combined voting power of our outstanding common stock. Subject to the terms of the amended and restated limited liability company agreement, BellRing Brands, LLC Units will be redeemable for, at the option of BellRing Brands, LLC (as determined by its Board of Managers), (i) shares of our Class A common stock or (ii) cash (based on the market price of the shares of our Class A common stock). The redemption of BellRing Brands, LLC Units for shares of Class A common stock will be at an initial redemption rate of one share of Class A common stock for one BellRing Brands, LLC Unit, subject to customary redemption rate adjustments for stock splits, stock dividends and reclassifications. Shares of our Class A common stock issuable upon a redemption of BellRing Brands, LLC Units as described above would be considered “restricted securities,” as that term is defined in Rule 144 under the Securities Act, unless the issuance is registered under the Securities Act. We, our executive officers and directors and Post also will agree with the underwriters not to</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sell, otherwise dispose of or hedge any our Class A common stock or BellRing Brands, LLC Units or securities convertible or exchangeable for shares of our Class A common stock, subject to specified exceptions, during the period from the date of this prospectus continuing through the date that is 180 days after the date of this prospectus, except with the prior written consent of the representatives of the underwriters. After the expiration of the 180-day lock-up period, the shares of our Class A common stock issuable upon redemption of BellRing Brands, LLC Units will be eligible for resale from time to time, subject to certain contractual restrictions and the requirements of the Securities Act.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file a registration statement under the Securities Act as soon as practicable after the closing of this offering</w:t>
      </w:r>
    </w:p>
    <w:p>
      <w:pPr>
        <w:spacing w:after="0" w:line="23" w:lineRule="exact"/>
        <w:rPr>
          <w:sz w:val="20"/>
          <w:szCs w:val="20"/>
          <w:color w:val="auto"/>
        </w:rPr>
      </w:pPr>
    </w:p>
    <w:p>
      <w:pPr>
        <w:ind w:left="200" w:right="100"/>
        <w:spacing w:after="0" w:line="252" w:lineRule="auto"/>
        <w:rPr>
          <w:sz w:val="20"/>
          <w:szCs w:val="20"/>
          <w:color w:val="auto"/>
        </w:rPr>
      </w:pPr>
      <w:r>
        <w:rPr>
          <w:rFonts w:ascii="Arial" w:cs="Arial" w:eastAsia="Arial" w:hAnsi="Arial"/>
          <w:sz w:val="18"/>
          <w:szCs w:val="18"/>
          <w:color w:val="auto"/>
        </w:rPr>
        <w:t>registering 2,000,000 shares of our Class A common stock reserved for issuance under the 2019 LTIP, under which we may grant stock options, restricted stock units and other share-based awards to employees, directors and other service providers, and we will enter into an investor rights agreement with Post providing certain governance and registration rights. See the information under the headings “Shares Eligible for Future Sale” and “Certain Relationships and Related Party Transactions—Post-Offering Relationship with Post—Investor Rights Agreement” for a more detailed description of the shares of our Class A common stock that will be available for future sale upon completion of this offering. Any shares of Class A common stock registered pursuant to the investor rights agreement will be freely tradable in the public market following the 180-day lock-up period described above.</w:t>
      </w:r>
    </w:p>
    <w:p>
      <w:pPr>
        <w:spacing w:after="0" w:line="301"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could dilute all other stockholders.</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Our amended and restated certificate of incorporation will authorize us to issue up to 500,000,000 shares of Class A common stock, one share of Class B common stock and up to 50,000,000 shares of preferred stock with such rights and preferences as may be determined by our Board of Directors. Subject to compliance with applicable law and various ancillary agreements we intend to enter into with Post and its affiliates (other than us) in connection with this offering, we may issue shares of our Class A common stock, or securities convertible into shares of our Class A common stock, from time to time in connection with a financing, an acquisition, an investment, our stock incentive plans or otherwise. We may issue additional shares of our Class A common stock or securities convertible into shares of our Class A common stock from time to time at a discount to the market price of our Class A common stock at the time of issuance. Any issuance of such securities could result in substantial dilution to our existing stockholders and cause the market price of shares of our Class A common stock to decline.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do not expect to declare or pay any dividends on our Class A common stock for the foreseeable future.</w:t>
      </w:r>
    </w:p>
    <w:p>
      <w:pPr>
        <w:spacing w:after="0" w:line="117"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We do not intend to pay cash dividends on our Class A common stock for the foreseeable future. Consequently, investors must rely on sales of their shares of our Class A common stock after price appreciation, which may never occur, as the only way to realize any future gains on their investment. Investors seeking dividends should not purchase shares of our Class A common stock. Any future determination to pay dividends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and other factors that our Board of Directors may deem relevant. The payment, including timing and amount, of any dividends will be at the discretion of our Board of Directors. Our ability to pay dividends depends on our receipt of cash dividends from our operating subsidiaries, including BellRing Brands, LLC, and our ability to pay dividends may be further restricted as a result of the laws of our subsidiaries’ jurisdictions of organization or their agreements, including agreements governing indebtedness.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We will not receive any of the net proceeds from this offering, our borrowings under the debt facilities or the Post bridge loan.</w:t>
      </w:r>
    </w:p>
    <w:p>
      <w:pPr>
        <w:spacing w:after="0" w:line="1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BellRing Brands, Inc. will contribute the net proceeds of this offering to BellRing Brands, LLC in exchange for BellRing Brands, LLC Units. BellRing Brands, LLC, in turn, will use such net proceeds to repay a portion of the Post bridge loan and related interest. Immediately after the completion of the formation transactions and the completion of this offering, BellRing Brands, LLC expects to enter into the debt facilities and use the proceeds of such borrowing to repay the remaining balance of the Post bridge loan and all interest thereunder, and for the other purposes described under “Use of Proceeds.” See “Use of Proceeds” and Description of Certain Indebtedness—Debt Facilities.” Our management will not have any discretion over the specific use of such proceeds.</w:t>
      </w:r>
    </w:p>
    <w:p>
      <w:pPr>
        <w:spacing w:after="0" w:line="301" w:lineRule="exact"/>
        <w:rPr>
          <w:sz w:val="20"/>
          <w:szCs w:val="20"/>
          <w:color w:val="auto"/>
        </w:rPr>
      </w:pPr>
    </w:p>
    <w:p>
      <w:pPr>
        <w:ind w:left="640" w:right="320"/>
        <w:spacing w:after="0" w:line="342" w:lineRule="auto"/>
        <w:rPr>
          <w:sz w:val="20"/>
          <w:szCs w:val="20"/>
          <w:color w:val="auto"/>
        </w:rPr>
      </w:pPr>
      <w:r>
        <w:rPr>
          <w:rFonts w:ascii="Arial" w:cs="Arial" w:eastAsia="Arial" w:hAnsi="Arial"/>
          <w:sz w:val="16"/>
          <w:szCs w:val="16"/>
          <w:b w:val="1"/>
          <w:bCs w:val="1"/>
          <w:i w:val="1"/>
          <w:iCs w:val="1"/>
          <w:color w:val="auto"/>
        </w:rPr>
        <w:t>Provisions in our amended and restated certificate of incorporation and amended and restated bylaws and provisions of Delaware law may delay or prevent our acquisition by a third party, which might diminish the value of our Class A common stock.</w:t>
      </w:r>
    </w:p>
    <w:p>
      <w:pPr>
        <w:spacing w:after="0" w:line="16"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Our amended and restated certificate of incorporation and amended and restated bylaws, which we intend to adopt prior to the completion of this offering, will contain several provisions that may make it more difficult or expensive for a third party to acquire control of us without the approval of our Board of Directors. These provisions also may delay, prevent or deter a merger, acquisition, tender offer, proxy contest or other transaction that might otherwise result in our stockholders receiving a premium over the market price for their Class A common stock. The provisions include, among others:</w:t>
      </w:r>
    </w:p>
    <w:p>
      <w:pPr>
        <w:spacing w:after="0" w:line="94" w:lineRule="exact"/>
        <w:rPr>
          <w:sz w:val="20"/>
          <w:szCs w:val="20"/>
          <w:color w:val="auto"/>
        </w:rPr>
      </w:pPr>
    </w:p>
    <w:p>
      <w:pPr>
        <w:ind w:left="1180" w:right="320" w:hanging="544"/>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prohibition on actions by written consent of the stockholders once Post and its affiliates (other than us) no longer own of record more than 50% of the BellRing Brands, LLC Units;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staggered terms;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authorized but unissued shares of common stock and preferred stock that will be available for future issuance;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our Board of Directors to fix the size of the Board of Directors and fill vacancies without a stockholder vote;</w:t>
      </w:r>
    </w:p>
    <w:p>
      <w:pPr>
        <w:spacing w:after="0" w:line="130" w:lineRule="exact"/>
        <w:rPr>
          <w:rFonts w:ascii="Arial" w:cs="Arial" w:eastAsia="Arial" w:hAnsi="Arial"/>
          <w:sz w:val="18"/>
          <w:szCs w:val="18"/>
          <w:color w:val="auto"/>
        </w:rPr>
      </w:pPr>
    </w:p>
    <w:p>
      <w:pPr>
        <w:ind w:left="1180" w:right="200" w:hanging="544"/>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provisions that have the same effect as a modified version of Section 203 of the Delaware General Corporation Law, an antitakeover law (as further described below); and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225"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7"/>
          <w:szCs w:val="17"/>
          <w:color w:val="auto"/>
        </w:rPr>
        <w:t>Section 203 of the Delaware General Corporation Law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We will elect in our amended and restated certificate of incorporation not to be subject to Section 203 of the Delaware General Corporation Law. Nevertheless, our amended and restated certificate of incorporation will contain provisions that have the same effect as Section 203 of the Delaware General Corporation Law, except that they will provide that Post and its various successors and affiliates (and certain transferees of any of them designated in writing by Post) will not be deemed to be “interested stockholders,” regardless of the percentage of our stock owned by them, and accordingly will not be subject to such restrictions.</w:t>
      </w:r>
    </w:p>
    <w:p>
      <w:pPr>
        <w:spacing w:after="0" w:line="179" w:lineRule="exact"/>
        <w:rPr>
          <w:sz w:val="20"/>
          <w:szCs w:val="20"/>
          <w:color w:val="auto"/>
        </w:rPr>
      </w:pPr>
    </w:p>
    <w:p>
      <w:pPr>
        <w:jc w:val="both"/>
        <w:ind w:left="200" w:right="160" w:firstLine="441"/>
        <w:spacing w:after="0" w:line="279" w:lineRule="auto"/>
        <w:rPr>
          <w:sz w:val="20"/>
          <w:szCs w:val="20"/>
          <w:color w:val="auto"/>
        </w:rPr>
      </w:pPr>
      <w:r>
        <w:rPr>
          <w:rFonts w:ascii="Arial" w:cs="Arial" w:eastAsia="Arial" w:hAnsi="Arial"/>
          <w:sz w:val="17"/>
          <w:szCs w:val="17"/>
          <w:color w:val="auto"/>
        </w:rPr>
        <w:t>For more information, see “Description of Capital Stock.” The provisions of our amended and restated certificate of incorporation and amended and restated bylaws, the significant voting power of Post and the ability of our Board of Directors to create and issue a new series of preferred stock or implement a stockholder rights plan could discourage potential takeover attempts and reduce the price that investors might be willing to pay for shares of our common stock in the future, which could reduce the market price of our Class A common stock.</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our election to comply with certain reduced disclosure requirements as a public company may make our Class A common stock less attractive to investors.</w:t>
      </w:r>
    </w:p>
    <w:p>
      <w:pPr>
        <w:spacing w:after="0" w:line="62" w:lineRule="exact"/>
        <w:rPr>
          <w:sz w:val="20"/>
          <w:szCs w:val="20"/>
          <w:color w:val="auto"/>
        </w:rPr>
      </w:pPr>
    </w:p>
    <w:p>
      <w:pPr>
        <w:jc w:val="both"/>
        <w:ind w:left="200" w:right="560" w:firstLine="441"/>
        <w:spacing w:after="0" w:line="312" w:lineRule="auto"/>
        <w:rPr>
          <w:sz w:val="20"/>
          <w:szCs w:val="20"/>
          <w:color w:val="auto"/>
        </w:rPr>
      </w:pPr>
      <w:r>
        <w:rPr>
          <w:rFonts w:ascii="Arial" w:cs="Arial" w:eastAsia="Arial" w:hAnsi="Arial"/>
          <w:sz w:val="16"/>
          <w:szCs w:val="16"/>
          <w:color w:val="auto"/>
        </w:rPr>
        <w:t>We qualify as an “emerging growth company” as defined in the JOBS Act. For so long as we remain an emerging growth company, we are permitted and currently intend to rely on certain provisions of the JOBS Act that contain exceptions from disclosure and other requirements that otherwise are applicable to companies that conduct initial public offerings and file periodic reports with the SEC. These JOBS Act provisions:</w:t>
      </w:r>
    </w:p>
    <w:p>
      <w:pPr>
        <w:spacing w:after="0" w:line="52" w:lineRule="exact"/>
        <w:rPr>
          <w:sz w:val="20"/>
          <w:szCs w:val="20"/>
          <w:color w:val="auto"/>
        </w:rPr>
      </w:pPr>
    </w:p>
    <w:p>
      <w:pPr>
        <w:ind w:left="1180" w:hanging="544"/>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 us to include less than five years of selected financial data in this prospectus;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permit us to include reduced disclosure regarding our executive compensation in this prospectus and our SEC filings as a public company;</w:t>
      </w:r>
    </w:p>
    <w:p>
      <w:pPr>
        <w:spacing w:after="0" w:line="153" w:lineRule="exact"/>
        <w:rPr>
          <w:rFonts w:ascii="Arial" w:cs="Arial" w:eastAsia="Arial" w:hAnsi="Arial"/>
          <w:sz w:val="16"/>
          <w:szCs w:val="16"/>
          <w:color w:val="auto"/>
        </w:rPr>
      </w:pPr>
    </w:p>
    <w:p>
      <w:pPr>
        <w:ind w:left="1180" w:right="560" w:hanging="544"/>
        <w:spacing w:after="0" w:line="277"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an exemption from the independent public accountant attestation requirement in the assessment of our internal control over financial reporting under the Sarbanes-Oxley Act;</w:t>
      </w:r>
    </w:p>
    <w:p>
      <w:pPr>
        <w:spacing w:after="0" w:line="75" w:lineRule="exact"/>
        <w:rPr>
          <w:rFonts w:ascii="Arial" w:cs="Arial" w:eastAsia="Arial" w:hAnsi="Arial"/>
          <w:sz w:val="18"/>
          <w:szCs w:val="18"/>
          <w:color w:val="auto"/>
        </w:rPr>
      </w:pPr>
    </w:p>
    <w:p>
      <w:pPr>
        <w:ind w:left="1180" w:right="180" w:hanging="544"/>
        <w:spacing w:after="0" w:line="264"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an exemption from compliance with any new requirements adopted by the PCAOB, requiring mandatory audit firm rotation or a supplement to our auditor’s report in which the auditor would be required to provide additional information about the audit and our financial statements; and</w:t>
      </w:r>
    </w:p>
    <w:p>
      <w:pPr>
        <w:spacing w:after="0" w:line="86" w:lineRule="exact"/>
        <w:rPr>
          <w:rFonts w:ascii="Arial" w:cs="Arial" w:eastAsia="Arial" w:hAnsi="Arial"/>
          <w:sz w:val="18"/>
          <w:szCs w:val="18"/>
          <w:color w:val="auto"/>
        </w:rPr>
      </w:pPr>
    </w:p>
    <w:p>
      <w:pPr>
        <w:ind w:left="1180" w:right="360" w:hanging="544"/>
        <w:spacing w:after="0" w:line="277"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an exemption from the requirement to hold non-binding stockholder advisory votes on executive compensation and on golden parachute arrangements not previously approved.</w:t>
      </w:r>
    </w:p>
    <w:p>
      <w:pPr>
        <w:spacing w:after="0" w:line="170"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For more information, refer to “Business—Emerging Growth Company Status.” Some investors may find our Class A common stock less attractive if we rely on these provisions, which could result in a less active trading market for our Class A common stock and higher volatility in our stock price.</w:t>
      </w:r>
    </w:p>
    <w:p>
      <w:pPr>
        <w:spacing w:after="0" w:line="289" w:lineRule="exact"/>
        <w:rPr>
          <w:sz w:val="20"/>
          <w:szCs w:val="20"/>
          <w:color w:val="auto"/>
        </w:rPr>
      </w:pPr>
    </w:p>
    <w:p>
      <w:pPr>
        <w:ind w:left="640" w:right="160"/>
        <w:spacing w:after="0" w:line="264" w:lineRule="auto"/>
        <w:rPr>
          <w:sz w:val="20"/>
          <w:szCs w:val="20"/>
          <w:color w:val="auto"/>
        </w:rPr>
      </w:pPr>
      <w:r>
        <w:rPr>
          <w:rFonts w:ascii="Arial" w:cs="Arial" w:eastAsia="Arial" w:hAnsi="Arial"/>
          <w:sz w:val="18"/>
          <w:szCs w:val="18"/>
          <w:b w:val="1"/>
          <w:bCs w:val="1"/>
          <w:i w:val="1"/>
          <w:iCs w:val="1"/>
          <w:color w:val="auto"/>
        </w:rPr>
        <w:t>We will be a “controlled company” within the meaning of the NYSE corporate governance standards and we will qualify for exemption from certain corporate governance requirements. We do not currently expect or intend to rely of any of these exemptions, but there can be no assurance that we will not rely on these exemptions in the future.</w:t>
      </w:r>
    </w:p>
    <w:p>
      <w:pPr>
        <w:spacing w:after="0" w:line="73"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Upon the completion of this offering, Post will own more than 50% of the voting power of all of our outstanding common stock. As a result, we will be a “controlled company” under the NYSE corporate governance standards and will be eligible to rely on exemptions from the following NYSE corporate governance requirements:</w:t>
      </w:r>
    </w:p>
    <w:p>
      <w:pPr>
        <w:spacing w:after="0" w:line="87" w:lineRule="exact"/>
        <w:rPr>
          <w:sz w:val="20"/>
          <w:szCs w:val="20"/>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and</w:t>
      </w:r>
    </w:p>
    <w:p>
      <w:pPr>
        <w:spacing w:after="0" w:line="130" w:lineRule="exact"/>
        <w:rPr>
          <w:rFonts w:ascii="Arial" w:cs="Arial" w:eastAsia="Arial" w:hAnsi="Arial"/>
          <w:sz w:val="18"/>
          <w:szCs w:val="18"/>
          <w:color w:val="auto"/>
        </w:rPr>
      </w:pPr>
    </w:p>
    <w:p>
      <w:pPr>
        <w:ind w:left="1180" w:right="620" w:hanging="544"/>
        <w:spacing w:after="0" w:line="277"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that we have compensation and nominating/corporate governance committee(s) comprised entirely of independent directors, each with a written charter addressing the committee’s purpose and responsibilities.</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do not currently expect or intend to rely on any of these exemptions, but there can be no assurance that we will not rely on these exemptions in the future. If we were to utilize some or all of these exemptions, you may not have the same protections afforded to stockholders of companies that are subject to all of the NYSE rules regarding corporate governance.</w:t>
      </w:r>
    </w:p>
    <w:p>
      <w:pPr>
        <w:spacing w:after="0" w:line="289"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Actions of stockholders could cause us to incur substantial costs, divert management’s attention and resources and have an adverse effect on our business.</w:t>
      </w:r>
    </w:p>
    <w:p>
      <w:pPr>
        <w:spacing w:after="0" w:line="62"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As 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adversely affected because responding to actions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289" w:lineRule="exact"/>
        <w:rPr>
          <w:sz w:val="20"/>
          <w:szCs w:val="20"/>
          <w:color w:val="auto"/>
        </w:rPr>
      </w:pPr>
    </w:p>
    <w:p>
      <w:pPr>
        <w:ind w:left="640" w:right="80"/>
        <w:spacing w:after="0" w:line="259" w:lineRule="auto"/>
        <w:rPr>
          <w:sz w:val="20"/>
          <w:szCs w:val="20"/>
          <w:color w:val="auto"/>
        </w:rPr>
      </w:pPr>
      <w:r>
        <w:rPr>
          <w:rFonts w:ascii="Arial" w:cs="Arial" w:eastAsia="Arial" w:hAnsi="Arial"/>
          <w:sz w:val="18"/>
          <w:szCs w:val="18"/>
          <w:b w:val="1"/>
          <w:bCs w:val="1"/>
          <w:i w:val="1"/>
          <w:iCs w:val="1"/>
          <w:color w:val="auto"/>
        </w:rPr>
        <w:t>BellRing Brands, Inc.’s only material asset after the completion of this offering will be BellRing Brands, Inc.’s interest in BellRing Brands, LLC, and accordingly, BellRing Brands, Inc. will depend on distributions from BellRing Brands, LLC to pay taxes and expenses, including payments under the tax receivable agreement. BellRing Brands, LLC’s ability to make such distributions may be subject to various limitations and restrictions.</w:t>
      </w:r>
    </w:p>
    <w:p>
      <w:pPr>
        <w:spacing w:after="0" w:line="79"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Upon consummation of this offering, BellRing Brands, Inc. will be a holding company, will have no material assets other than BellRing Brands, Inc.’s ownership of BellRing Brands, LLC Units and will have no independent means of generating revenue or cash flow. BellRing Brands, LLC will be treated as a partnership for U.S. federal income tax purposes and, as such, will generally not, with the exception of certain of its subsidiaries, be subject to any entity-level U.S. federal income tax. Recently enacted legislation that is effective for taxable years beginning after December 31, 2017 may impute liability for adjustments to a partnership’s tax return on the partnership itself in certain circumstances, absent an election to the contrary. BellRing Brands, LLC may elect out of the application of these rules (but certain of its subsidiaries will likely not), but there can be no assurance that it will be eligible to do so in each tax year or that such election will be made. BellRing Brands, LLC (or its subsidiaries that are partnerships) may be subject to material liabilities pursuant to this legislation and related guidance if, for example, its calculations of taxable income are incorrect. Its members may be required to reimburse BellRing Brands, LLC for taxes, interest, and penalties resulting from an audit. Instead, taxable income will be allocated to holders of BellRing Brands, LLC Units, including BellRing Brands, Inc. As a result, BellRing Brands, Inc. will incur U.S. federal, state and local income taxes on its allocable share of any net taxable income of BellRing Brands, LLC. Under the terms of the BellRing Brands, LLC amended and restated limited liability company agreement, BellRing Brands, LLC will be obligated to make tax distributions pro rata to holders of the BellRing Brands, LLC Units, including, in the case of BellRing Brands, Inc., in an amount sufficient to allow BellRing Brands, Inc. to pay its tax obligations in respect of taxable income allocated to it from BellRing Brands, LLC and to make any payments required under the tax receivable agreement. In addition to tax expenses, and expenses under the tax receivable agreement, which could be significant, BellRing Brands, Inc. also will incur expenses related to its operations. See “Certain Relationships and Related Party Transactions—Post-Offering Relationship with Post—Tax Receivable Agreement.” We expect that BellRing Brands, LLC will make distributions pro rata to holders of the BellRing Brands, LLC Units in an amount sufficient to allow BellRing Brands, Inc. to pay its operating expenses. In addition, the amended and restated limited liability company agreement will provide that BellRing Brands, LLC will reimburse BellRing Brands, Inc. for any reasonable out-of-pocket expenses incurred on behalf of the Company, including all fees, costs and expenses of BellRing Brands, Inc. associated with being a public company and maintaining its corporate existence. However, BellRing Brands, LLC’s ability to make such distributions or reimbursement payments may be subject to various limitations and restrictions including, but not limited to, restrictions on distributions that would either violate any contract or agreement to which BellRing Brands, LLC is then a party, including any debt agreements, or any applicable law, or that would have the effect of rendering BellRing Brands, LLC insolvent. If BellRing Brands, LLC does not distribute sufficient funds for BellRing Brands, Inc. to pay its taxes or other liabilities, BellRing Brands, Inc. may have to borrow funds, which could adversely affect its liquidity and subject it to various restrictions imposed by any such lenders. To the extent that BellRing Brands, Inc. is unable to make payments under the tax receivable agreement for any reason, such payments will be deferred and will accrue interest until paid; except that nonpayment for a specified period may constitute a material breach of a material obligation under the tax receivable agreement and therefore accelerate payments due under the tax receivable agreement.</w:t>
      </w:r>
    </w:p>
    <w:p>
      <w:pPr>
        <w:spacing w:after="0" w:line="3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contains forward-looking statements. These forward-looking statements are sometimes identified from the use of forward-looking words such as “believe,” “should,” “could,” “potential,” “continue,” “expect,” “project,” “estimate,” “predict,” “anticipate,” “aim,” “intend,” “plan,” “forecast,” “target,” “is likely,” “will,” “can,” “may,” “would” or the negative of these terms or similar expressions elsewhere in this prospectus.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99" w:lineRule="exact"/>
        <w:rPr>
          <w:sz w:val="20"/>
          <w:szCs w:val="20"/>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dependence on sales from our RTD protein shakes;</w:t>
      </w:r>
    </w:p>
    <w:p>
      <w:pPr>
        <w:spacing w:after="0" w:line="130" w:lineRule="exact"/>
        <w:rPr>
          <w:rFonts w:ascii="Arial" w:cs="Arial" w:eastAsia="Arial" w:hAnsi="Arial"/>
          <w:sz w:val="18"/>
          <w:szCs w:val="18"/>
          <w:color w:val="auto"/>
        </w:rPr>
      </w:pPr>
    </w:p>
    <w:p>
      <w:pPr>
        <w:ind w:left="1180" w:right="280" w:hanging="544"/>
        <w:spacing w:after="0" w:line="277"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dependence on a limited number of third party contract manufacturers and suppliers for the manufacturing of most of our products, including one manufacturer for the substantial majority of our RTD protein shakes;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operation in a category with strong competition;</w:t>
      </w:r>
    </w:p>
    <w:p>
      <w:pPr>
        <w:spacing w:after="0" w:line="130" w:lineRule="exact"/>
        <w:rPr>
          <w:rFonts w:ascii="Arial" w:cs="Arial" w:eastAsia="Arial" w:hAnsi="Arial"/>
          <w:sz w:val="18"/>
          <w:szCs w:val="18"/>
          <w:color w:val="auto"/>
        </w:rPr>
      </w:pPr>
    </w:p>
    <w:p>
      <w:pPr>
        <w:ind w:left="1180" w:right="80" w:hanging="544"/>
        <w:spacing w:after="0" w:line="264"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reliance on a limited number of third party suppliers to provide certain ingredients and packaging, and higher freight costs, significant volatility in the costs or availability of certain raw materials, commodities or packaging used to manufacture our products and higher energy costs;</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disruptions in our supply chain, changes in weather conditions and other events beyond our control;</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consolidation in our distribution channels;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anticipate and respond to changes in consumer and customer preferences and trends and introduce new products;</w:t>
      </w:r>
    </w:p>
    <w:p>
      <w:pPr>
        <w:spacing w:after="0" w:line="142" w:lineRule="exact"/>
        <w:rPr>
          <w:rFonts w:ascii="Arial" w:cs="Arial" w:eastAsia="Arial" w:hAnsi="Arial"/>
          <w:sz w:val="17"/>
          <w:szCs w:val="17"/>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maintain favorable perceptions of our brands;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expand existing market penetration and enter into new markets;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allegations that our products cause injury or illness, product recalls and withdrawals and product liability claims and other litigation;</w:t>
      </w:r>
    </w:p>
    <w:p>
      <w:pPr>
        <w:spacing w:after="0" w:line="142" w:lineRule="exact"/>
        <w:rPr>
          <w:rFonts w:ascii="Arial" w:cs="Arial" w:eastAsia="Arial" w:hAnsi="Arial"/>
          <w:sz w:val="17"/>
          <w:szCs w:val="17"/>
          <w:color w:val="auto"/>
        </w:rPr>
      </w:pPr>
    </w:p>
    <w:p>
      <w:pPr>
        <w:ind w:left="1180" w:right="60" w:hanging="544"/>
        <w:spacing w:after="0" w:line="277"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legal and regulatory factors, such as compliance with existing laws and regulations and changes to and new laws and regulations affecting our business, including current and future laws and regulations regarding food safety and advertising;</w:t>
      </w:r>
    </w:p>
    <w:p>
      <w:pPr>
        <w:spacing w:after="0" w:line="75" w:lineRule="exact"/>
        <w:rPr>
          <w:rFonts w:ascii="Arial" w:cs="Arial" w:eastAsia="Arial" w:hAnsi="Arial"/>
          <w:sz w:val="18"/>
          <w:szCs w:val="18"/>
          <w:color w:val="auto"/>
        </w:rPr>
      </w:pPr>
    </w:p>
    <w:p>
      <w:pPr>
        <w:ind w:left="1180" w:right="380" w:hanging="544"/>
        <w:spacing w:after="0" w:line="308" w:lineRule="auto"/>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anticipated high leverage, our ability to obtain additional financing (including both secured and unsecured debt) and our ability to service our anticipated outstanding debt (including covenants that may restrict the operation of our business);</w:t>
      </w:r>
    </w:p>
    <w:p>
      <w:pPr>
        <w:spacing w:after="0" w:line="51" w:lineRule="exact"/>
        <w:rPr>
          <w:rFonts w:ascii="Arial" w:cs="Arial" w:eastAsia="Arial" w:hAnsi="Arial"/>
          <w:sz w:val="17"/>
          <w:szCs w:val="17"/>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manage our growth and to identify, complete and integrate any acquisitions or other strategic transactions;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our business due to changes in our promotional activities and seasonality;</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associated with our international business;</w:t>
      </w:r>
    </w:p>
    <w:p>
      <w:pPr>
        <w:spacing w:after="0" w:line="130" w:lineRule="exact"/>
        <w:rPr>
          <w:rFonts w:ascii="Arial" w:cs="Arial" w:eastAsia="Arial" w:hAnsi="Arial"/>
          <w:sz w:val="18"/>
          <w:szCs w:val="18"/>
          <w:color w:val="auto"/>
        </w:rPr>
      </w:pPr>
    </w:p>
    <w:p>
      <w:pPr>
        <w:jc w:val="both"/>
        <w:ind w:left="1180" w:right="300" w:hanging="544"/>
        <w:spacing w:after="0" w:line="264"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related to our ongoing relationship with Post, including Post’s control over us and ability to control the direction of our business, conflicts of interest or disputes that may arise between Post and our Company and our obligations under various agreements with Post, including under the tax receivable agreement;</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loss of, a significant reduction of purchases by or the bankruptcy of a major customer;</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ultimate impact litigation or other regulatory matters may have on 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accuracy of our market size and related estimates;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24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130" w:lineRule="exact"/>
        <w:rPr>
          <w:rFonts w:ascii="Arial" w:cs="Arial" w:eastAsia="Arial" w:hAnsi="Arial"/>
          <w:sz w:val="18"/>
          <w:szCs w:val="18"/>
          <w:color w:val="auto"/>
        </w:rPr>
      </w:pPr>
    </w:p>
    <w:p>
      <w:pPr>
        <w:ind w:left="1180" w:right="20" w:hanging="544"/>
        <w:spacing w:after="0" w:line="277"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economic downturns that limit customer and consumer demand for our products; disruptions in the United States and global capital and credit markets, changes in interest rates and fluctuations in foreign currency exchange rates;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assets;</w:t>
      </w:r>
    </w:p>
    <w:p>
      <w:pPr>
        <w:spacing w:after="0" w:line="130" w:lineRule="exact"/>
        <w:rPr>
          <w:rFonts w:ascii="Arial" w:cs="Arial" w:eastAsia="Arial" w:hAnsi="Arial"/>
          <w:sz w:val="18"/>
          <w:szCs w:val="18"/>
          <w:color w:val="auto"/>
        </w:rPr>
      </w:pPr>
    </w:p>
    <w:p>
      <w:pPr>
        <w:ind w:left="1180" w:right="340" w:hanging="544"/>
        <w:spacing w:after="0" w:line="277"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business disruptions and reputational damage associated with information technology failures, cybersecurity incidents and/or information security breaches;</w:t>
      </w:r>
    </w:p>
    <w:p>
      <w:pPr>
        <w:spacing w:after="0" w:line="75" w:lineRule="exact"/>
        <w:rPr>
          <w:rFonts w:ascii="Arial" w:cs="Arial" w:eastAsia="Arial" w:hAnsi="Arial"/>
          <w:sz w:val="18"/>
          <w:szCs w:val="18"/>
          <w:color w:val="auto"/>
        </w:rPr>
      </w:pPr>
    </w:p>
    <w:p>
      <w:pPr>
        <w:ind w:left="1180" w:hanging="544"/>
        <w:spacing w:after="0" w:line="308" w:lineRule="auto"/>
        <w:tabs>
          <w:tab w:leader="none" w:pos="11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risks associated with our public company status after this offering, including our ability to operate as a separate public company and the additional expenses we expect to incur to create the corporate infrastructure to operate as a public company;</w:t>
      </w:r>
    </w:p>
    <w:p>
      <w:pPr>
        <w:spacing w:after="0" w:line="51" w:lineRule="exact"/>
        <w:rPr>
          <w:rFonts w:ascii="Arial" w:cs="Arial" w:eastAsia="Arial" w:hAnsi="Arial"/>
          <w:sz w:val="17"/>
          <w:szCs w:val="17"/>
          <w:color w:val="auto"/>
        </w:rPr>
      </w:pPr>
    </w:p>
    <w:p>
      <w:pPr>
        <w:ind w:left="1180" w:hanging="54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estimates in critical accounting judgments;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impairment in the carrying value of goodwill or other intangibles;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differences in our actual operating results from any guidance we may give regarding our performance;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satisfy the requirements of Section 404 of the Sarbanes-Oxley Act;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risks and uncertainties discussed elsewhere in this prospectus.</w:t>
      </w:r>
    </w:p>
    <w:p>
      <w:pPr>
        <w:spacing w:after="0" w:line="225"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prospectus to conform these statements to actual results or to changes in our expectations.</w:t>
      </w:r>
    </w:p>
    <w:p>
      <w:pPr>
        <w:spacing w:after="0" w:line="8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60"/>
          </w:cols>
          <w:pgMar w:left="240" w:top="459" w:right="6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estimate that the net proceeds from the sale of our Class A common stock in this offering, after deducting the underwriting discounts and commissions and expenses of this offering, will be approximately $486.8 million ($561.0 million if the underwriters exercise their over-allotment option in full) based on an assumed initial public offering price of $17.50 per share (the midpoint of the estimated offering price range set forth on the cover page of this prospectus).</w:t>
      </w:r>
    </w:p>
    <w:p>
      <w:pPr>
        <w:spacing w:after="0" w:line="18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BellRing Brands, Inc. will contribute the net proceeds of this offering to BellRing Brands, LLC in exchange for BellRing Brands, LLC Units as described under “Prospectus Summary—Formation Transactions.” BellRing Brands, LLC, in turn, will use the net proceeds of this offering that it receives from BellRing Brands, Inc. to repay a portion of the Post bridge loan and related interest. Immediately after the completion of the formation transactions and the completion of this offering, BellRing Brands, LLC expects to enter into the debt facilities and use the proceeds of such borrowing under the term loan facility and the revolving credit facility (i) to repay the remaining balance of the Post bridge loan and all interest thereunder, (ii) to pay directly, or reimburse Post for, as applicable, all fees and expenses incurred by us or Post in connection with this offering and the formation transactions (including the debt facilities but excluding the Post bridge loan), (iii) to reimburse Post for the amount of cash on our balance sheet immediately prior to the completion of this offering, and (iv) to the extent there are any remaining proceeds, for general corporate purposes, including, for example, to redeem for cash any BellRing Brands, LLC Units that Post may elect in the future to redeem. Post has advised us that it may determine to redeem a portion of its BellRing Brands, LLC Units in the event the proceeds of this offering together with the proceeds of the borrowings under the debt facilities as described in this prospectus result in net proceeds to BellRing Brands, LLC that exceed the amount of funds required to satisfy the uses described under clauses (i) through (iii) above. See “Description of Certain Indebtedness—Debt Facilities.” The Post bridge loan bears an initial interest rate equal to the Eurodollar Rate (as such term is defined in the bridge facility agreement) plus 450 basis points and thereafter as described under “Description of Certain Indebtedness—Post Bridge Loan” and matures on August 23, 2024. The Post bridge loan will be entered into by Post as part of the formation transactions. Post will retain all of the net proceeds of the Post bridge loan, and BellRing Brands, LLC will become the borrower under the Post bridge loan as part of the formation transactions.</w:t>
      </w:r>
    </w:p>
    <w:p>
      <w:pPr>
        <w:spacing w:after="0" w:line="181"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Each $1.00 increase or decrease in the assumed initial public offering price of $17.50 per share would increase or decrease the net proceeds to us from this offering by $28.3 million, assuming that the number of shares offered by us, as set forth on the cover page of this prospectus, remains the same and after deducting the estimated underwriting discounts and commissions and expenses of this offering. Similarly, each increase or decrease of</w:t>
      </w:r>
    </w:p>
    <w:p>
      <w:pPr>
        <w:jc w:val="both"/>
        <w:ind w:left="200" w:right="200"/>
        <w:spacing w:after="0" w:line="255" w:lineRule="auto"/>
        <w:rPr>
          <w:sz w:val="20"/>
          <w:szCs w:val="20"/>
          <w:color w:val="auto"/>
        </w:rPr>
      </w:pPr>
      <w:r>
        <w:rPr>
          <w:rFonts w:ascii="Arial" w:cs="Arial" w:eastAsia="Arial" w:hAnsi="Arial"/>
          <w:sz w:val="18"/>
          <w:szCs w:val="18"/>
          <w:color w:val="auto"/>
        </w:rPr>
        <w:t>1.0 million in the number of shares we are offering would increase or decrease the net proceeds to us from this offering by $16.7 million, assuming no change in the assumed initial public offering price of $17.50 per share and after deducting the estimated underwriting discounts and commissions and expenses of this offering.</w:t>
      </w:r>
    </w:p>
    <w:p>
      <w:pPr>
        <w:spacing w:after="0" w:line="19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Affiliates of Morgan Stanley &amp; Co. LLC, Citigroup Global Markets Inc., J.P. Morgan Securities LLC, Goldman Sachs &amp; Co. LLC, BofA Securities, Inc. and Credit Suisse Securities (USA) LLC, each of which is an underwriter in this offering, are lenders under the Post bridge loan. The proceeds received by BellRing Brands, LLC from its sale of BellRing Brands, LLC Units will be used to repay a portion of the Post bridge loan and related interest. Because of the manner in which the proceeds will be used, this offering will be conducted in accordance with Financial Industry Regulatory Authority, Inc., or FINRA, Rule 5121. This rule requires, among other things, that a qualified independent underwriter has participated in the preparation of, and has exercised the usual standards of ‘‘due diligence’’ with respect to, this prospectus and the registration statement of which this prospectus forms a part. Barclays Capital Inc. has agreed to act as qualified independent underwriter for the offering and to undertake the legal responsibilities and liabilities of an underwriter under the Securities Act, specifically including those inherent in Section 11 of the Securities Act. We will agree to indemnify Barclays Capital Inc. against liabilities incurred in connection with acting as qualified independent underwriter, including liabilities under the Securities Act. Moreover, none of Morgan Stanley &amp; Co. LLC, Citigroup Global Markets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Inc., J.P. Morgan Securities LLC, Goldman Sachs &amp; Co. LLC, BofA Securities, Inc. and Credit Suisse Securities (USA) LLC is permitted to sell Class A common stock in this offering to an account over which it exercises discretionary authority without the prior specific written approval of the account holder. See “Underwriting (Conflicts of Interest).”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We do not intend to pay cash dividends on our Class A common stock for the foreseeable future. Any future determination to pay dividends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our cash flow and liquidity position and other factors that our Board of Directors may deem relevant.</w:t>
      </w:r>
    </w:p>
    <w:p>
      <w:pPr>
        <w:spacing w:after="0" w:line="154"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Our ability to pay dividends depends on our receipt of cash dividends or distributions from our operating subsidiaries, including BellRing Brands, LLC. The laws of our subsidiaries’ jurisdictions of organization or agreements entered into by our subsidiaries, including agreements governing indebtedness, may restrict their ability to pay dividends or make distributions to us and further restrict our ability to pay dividends. Cash distributions from BellRing Brands, LLC may be distributed from time to time at the discretion of the Board of Managers pro rata to its members, currently us and Post, according to the number of BellRing Brands, LLC Units held by each of us, except that the Board of Managers may cause BellRing Brands, LLC to make non-proportionate distributions to BellRing Brands, Inc. in connection with any cash redemption of BellRing Brands, Inc.’s Class A common stock. The amended and restated limited liability company agreement provides, to the extent cash is available, for distributions pro rata to the holders of BellRing Brands, LLC Units such that members receive an amount of cash sufficient to cover the estimated taxes payable by them and to cover obligations of BellRing Brands, Inc. under the tax receivable agreement as described under “Certain Relationships and Related Party Transactions— Post-Offering Relationship with Post—Amended and Restated Limited Liability Company Agreement—Distributions and Allocations.” Future agreements governing our indebtedness may also limit our ability to pay dividends. We expect that the debt facilities that BellRing Brands, LLC expects to enter into after completion of this offering will include restrictions on its ability to make distributions and will thus restrict our ability to pay dividends. See “Description of Certain Indebtedness.”</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dividends are declared, holders of shares of our Class A common stock could be eligible to receive dividends in respect of such shares, however, holders of our Class B common stock would not be entitled to receive any dividends in respect of such shares.</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You may need to sell your shares of our Class A common stock to realize a return on your investment, and you may not be able to sell your shares at or above the price you paid for them. See “Risk Factors—Risks Related to this Offering and Ownership of Our Class A Common Stock—We do not expect to declare or pay any dividends on our Class A common stock for the foreseeable future.”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shows our cash and cash equivalents and capitalization as of June 30, 2019:</w:t>
      </w:r>
    </w:p>
    <w:p>
      <w:pPr>
        <w:spacing w:after="0" w:line="131" w:lineRule="exact"/>
        <w:rPr>
          <w:sz w:val="20"/>
          <w:szCs w:val="20"/>
          <w:color w:val="auto"/>
        </w:rPr>
      </w:pPr>
    </w:p>
    <w:p>
      <w:pPr>
        <w:ind w:left="1180" w:hanging="544"/>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0" w:lineRule="exact"/>
        <w:rPr>
          <w:rFonts w:ascii="Arial" w:cs="Arial" w:eastAsia="Arial" w:hAnsi="Arial"/>
          <w:sz w:val="18"/>
          <w:szCs w:val="18"/>
          <w:color w:val="auto"/>
        </w:rPr>
      </w:pPr>
    </w:p>
    <w:p>
      <w:pPr>
        <w:ind w:left="1180" w:right="80" w:hanging="544"/>
        <w:spacing w:after="0" w:line="255"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an as adjusted basis after giving effect to: (i) this offering, at an assumed initial public offering price of $17.50 per share (which is the midpoint of the estimated offering price range set forth on the cover page of this prospectus), (ii) the entry of BellRing Brands, LLC into the debt facilities, the borrowing by BellRing Brands, LLC under the term loan facility and the revolving credit facility and the application of the net proceeds of this offering and the debt facilities to repay in full the Post bridge loan and all interest thereunder and for the other purposes described under “Use of Proceeds” and (iii) the formation transactions, and assuming no exercise of the underwriters’ over-allotment option.</w:t>
      </w:r>
    </w:p>
    <w:p>
      <w:pPr>
        <w:spacing w:after="0" w:line="193"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You should read the following table together with “Selected Historical Condensed Combined Financial and Other Information,” “Management’s Discussion and Analysis of Financial Condition and Results of Operations,” “Unaudited Pro Forma Condensed Consolidated Financial Information,” Post’s Active Nutrition business’s audited combined financial statements and the notes thereto as of September 30, 2018 and 2017 and for the three fiscal years ended September 30, 2018 and Post’s Active Nutrition business’s unaudited condensed combined financial statements and the notes thereto for the nine months ended June 30, 2019 and 2018, each appearing elsewhere in this prospectus.</w:t>
      </w:r>
    </w:p>
    <w:p>
      <w:pPr>
        <w:spacing w:after="0" w:line="191"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As of June 30, 2019</w:t>
      </w:r>
    </w:p>
    <w:p>
      <w:pPr>
        <w:jc w:val="center"/>
        <w:ind w:left="8820"/>
        <w:spacing w:after="0" w:line="236" w:lineRule="auto"/>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8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Active</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31"/>
              <w:spacing w:after="0" w:line="119" w:lineRule="exact"/>
              <w:rPr>
                <w:sz w:val="20"/>
                <w:szCs w:val="20"/>
                <w:color w:val="auto"/>
              </w:rPr>
            </w:pPr>
            <w:r>
              <w:rPr>
                <w:rFonts w:ascii="Arial" w:cs="Arial" w:eastAsia="Arial" w:hAnsi="Arial"/>
                <w:sz w:val="13"/>
                <w:szCs w:val="13"/>
                <w:b w:val="1"/>
                <w:bCs w:val="1"/>
                <w:color w:val="auto"/>
                <w:w w:val="98"/>
              </w:rPr>
              <w:t>BellRing</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Nutrition</w:t>
            </w:r>
          </w:p>
        </w:tc>
        <w:tc>
          <w:tcPr>
            <w:tcW w:w="116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Brands, Inc.</w:t>
            </w:r>
          </w:p>
        </w:tc>
        <w:tc>
          <w:tcPr>
            <w:tcW w:w="0" w:type="dxa"/>
            <w:vAlign w:val="bottom"/>
          </w:tcPr>
          <w:p>
            <w:pPr>
              <w:spacing w:after="0"/>
              <w:rPr>
                <w:sz w:val="1"/>
                <w:szCs w:val="1"/>
                <w:color w:val="auto"/>
              </w:rPr>
            </w:pPr>
          </w:p>
        </w:tc>
      </w:tr>
      <w:tr>
        <w:trPr>
          <w:trHeight w:val="171"/>
        </w:trPr>
        <w:tc>
          <w:tcPr>
            <w:tcW w:w="8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Historical</w:t>
            </w:r>
          </w:p>
        </w:tc>
        <w:tc>
          <w:tcPr>
            <w:tcW w:w="2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42"/>
        </w:trPr>
        <w:tc>
          <w:tcPr>
            <w:tcW w:w="86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15"/>
                <w:szCs w:val="15"/>
                <w:color w:val="auto"/>
              </w:rPr>
              <w:t>(d)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Debt, including current and long-term:</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Term loan facility</w:t>
            </w:r>
            <w:r>
              <w:rPr>
                <w:rFonts w:ascii="Arial" w:cs="Arial" w:eastAsia="Arial" w:hAnsi="Arial"/>
                <w:sz w:val="15"/>
                <w:szCs w:val="15"/>
                <w:color w:val="auto"/>
              </w:rPr>
              <w:t>(a)</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Revolving credit facility</w:t>
            </w:r>
            <w:r>
              <w:rPr>
                <w:rFonts w:ascii="Arial" w:cs="Arial" w:eastAsia="Arial" w:hAnsi="Arial"/>
                <w:sz w:val="15"/>
                <w:szCs w:val="15"/>
                <w:color w:val="auto"/>
              </w:rPr>
              <w:t>(a)</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principal debt</w:t>
            </w:r>
            <w:r>
              <w:rPr>
                <w:rFonts w:ascii="Arial" w:cs="Arial" w:eastAsia="Arial" w:hAnsi="Arial"/>
                <w:sz w:val="15"/>
                <w:szCs w:val="15"/>
                <w:color w:val="auto"/>
              </w:rPr>
              <w:t>(a)</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Less: Debt issuance costs</w:t>
            </w:r>
            <w:r>
              <w:rPr>
                <w:rFonts w:ascii="Arial" w:cs="Arial" w:eastAsia="Arial" w:hAnsi="Arial"/>
                <w:sz w:val="15"/>
                <w:szCs w:val="15"/>
                <w:color w:val="auto"/>
              </w:rPr>
              <w:t>(a)</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Unamortized discount</w:t>
            </w:r>
            <w:r>
              <w:rPr>
                <w:rFonts w:ascii="Arial" w:cs="Arial" w:eastAsia="Arial" w:hAnsi="Arial"/>
                <w:sz w:val="15"/>
                <w:szCs w:val="15"/>
                <w:color w:val="auto"/>
              </w:rPr>
              <w:t>(a)</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8660" w:type="dxa"/>
            <w:vAlign w:val="bottom"/>
            <w:gridSpan w:val="2"/>
          </w:tcPr>
          <w:p>
            <w:pPr>
              <w:spacing w:after="0"/>
              <w:rPr>
                <w:sz w:val="20"/>
                <w:szCs w:val="20"/>
                <w:color w:val="auto"/>
              </w:rPr>
            </w:pPr>
            <w:r>
              <w:rPr>
                <w:rFonts w:ascii="Arial" w:cs="Arial" w:eastAsia="Arial" w:hAnsi="Arial"/>
                <w:sz w:val="18"/>
                <w:szCs w:val="18"/>
                <w:color w:val="auto"/>
              </w:rPr>
              <w:t>Total debt</w:t>
            </w:r>
            <w:r>
              <w:rPr>
                <w:rFonts w:ascii="Arial" w:cs="Arial" w:eastAsia="Arial" w:hAnsi="Arial"/>
                <w:sz w:val="15"/>
                <w:szCs w:val="15"/>
                <w:color w:val="auto"/>
              </w:rPr>
              <w:t>(a)</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r>
              <w:rPr>
                <w:rFonts w:ascii="Arial" w:cs="Arial" w:eastAsia="Arial" w:hAnsi="Arial"/>
                <w:sz w:val="15"/>
                <w:szCs w:val="15"/>
                <w:color w:val="auto"/>
              </w:rPr>
              <w:t>(b)</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ind w:left="340"/>
              <w:spacing w:after="0" w:line="201" w:lineRule="exact"/>
              <w:rPr>
                <w:sz w:val="20"/>
                <w:szCs w:val="20"/>
                <w:color w:val="auto"/>
              </w:rPr>
            </w:pPr>
            <w:r>
              <w:rPr>
                <w:rFonts w:ascii="Arial" w:cs="Arial" w:eastAsia="Arial" w:hAnsi="Arial"/>
                <w:sz w:val="18"/>
                <w:szCs w:val="18"/>
                <w:color w:val="auto"/>
                <w:w w:val="91"/>
              </w:rPr>
              <w:t>Class A, par value $0.01 per share; actual: No shares authorized, issued and outstanding as of June 30, 2019; as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520"/>
              <w:spacing w:after="0"/>
              <w:rPr>
                <w:sz w:val="20"/>
                <w:szCs w:val="20"/>
                <w:color w:val="auto"/>
              </w:rPr>
            </w:pPr>
            <w:r>
              <w:rPr>
                <w:rFonts w:ascii="Arial" w:cs="Arial" w:eastAsia="Arial" w:hAnsi="Arial"/>
                <w:sz w:val="18"/>
                <w:szCs w:val="18"/>
                <w:color w:val="auto"/>
              </w:rPr>
              <w:t>adjusted: 500,000,000 shares authorized, 30,000,000 shares issued and outstanding</w:t>
            </w:r>
            <w:r>
              <w:rPr>
                <w:rFonts w:ascii="Arial" w:cs="Arial" w:eastAsia="Arial" w:hAnsi="Arial"/>
                <w:sz w:val="15"/>
                <w:szCs w:val="15"/>
                <w:color w:val="auto"/>
              </w:rPr>
              <w:t>(b)</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Class B, par value $0.01 per share; actual: No shares authorized, issued and outstanding as of June 30, 2019; as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adjusted: one share authorized, issued and outstanding</w:t>
            </w:r>
            <w:r>
              <w:rPr>
                <w:rFonts w:ascii="Arial" w:cs="Arial" w:eastAsia="Arial" w:hAnsi="Arial"/>
                <w:sz w:val="15"/>
                <w:szCs w:val="15"/>
                <w:color w:val="auto"/>
              </w:rPr>
              <w:t>(b)</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ind w:left="340"/>
              <w:spacing w:after="0" w:line="201" w:lineRule="exact"/>
              <w:rPr>
                <w:sz w:val="20"/>
                <w:szCs w:val="20"/>
                <w:color w:val="auto"/>
              </w:rPr>
            </w:pPr>
            <w:r>
              <w:rPr>
                <w:rFonts w:ascii="Arial" w:cs="Arial" w:eastAsia="Arial" w:hAnsi="Arial"/>
                <w:sz w:val="18"/>
                <w:szCs w:val="18"/>
                <w:color w:val="auto"/>
                <w:w w:val="95"/>
              </w:rPr>
              <w:t>Preferred stock, par value $0.01 per share; 50,000,000 shares authorized, no shares issued and outstanding</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520"/>
              <w:spacing w:after="0"/>
              <w:rPr>
                <w:sz w:val="20"/>
                <w:szCs w:val="20"/>
                <w:color w:val="auto"/>
              </w:rPr>
            </w:pPr>
            <w:r>
              <w:rPr>
                <w:rFonts w:ascii="Arial" w:cs="Arial" w:eastAsia="Arial" w:hAnsi="Arial"/>
                <w:sz w:val="18"/>
                <w:szCs w:val="18"/>
                <w:color w:val="auto"/>
              </w:rPr>
              <w:t>actual and as adjusted</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(b)</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Net parent investment</w:t>
            </w:r>
            <w:r>
              <w:rPr>
                <w:rFonts w:ascii="Arial" w:cs="Arial" w:eastAsia="Arial" w:hAnsi="Arial"/>
                <w:sz w:val="15"/>
                <w:szCs w:val="15"/>
                <w:color w:val="auto"/>
              </w:rPr>
              <w:t>(b)</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492.8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Accumulated deficit</w:t>
            </w:r>
            <w:r>
              <w:rPr>
                <w:rFonts w:ascii="Arial" w:cs="Arial" w:eastAsia="Arial" w:hAnsi="Arial"/>
                <w:sz w:val="15"/>
                <w:szCs w:val="15"/>
                <w:color w:val="auto"/>
              </w:rPr>
              <w:t>(b)</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(2,055.0)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r>
              <w:rPr>
                <w:rFonts w:ascii="Arial" w:cs="Arial" w:eastAsia="Arial" w:hAnsi="Arial"/>
                <w:sz w:val="15"/>
                <w:szCs w:val="15"/>
                <w:color w:val="auto"/>
              </w:rPr>
              <w:t>(b)</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(2,056.5)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1060"/>
              <w:spacing w:after="0"/>
              <w:rPr>
                <w:sz w:val="20"/>
                <w:szCs w:val="20"/>
                <w:color w:val="auto"/>
              </w:rPr>
            </w:pPr>
            <w:r>
              <w:rPr>
                <w:rFonts w:ascii="Arial" w:cs="Arial" w:eastAsia="Arial" w:hAnsi="Arial"/>
                <w:sz w:val="18"/>
                <w:szCs w:val="18"/>
                <w:color w:val="auto"/>
              </w:rPr>
              <w:t>Total Capitalization</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jc w:val="right"/>
              <w:ind w:right="2970"/>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6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7632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line="255"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Prior to completion of this offering, Post will borrow $1,309.5 million under the Post bridge loan as described under “Prospectus Summary—Debt Financing Arrangements—Post Bridge Loan” and “Description of Certain Indebtedness.” Certain of Post’s domestic subsidiaries (other than BellRing Brands, Inc. but including BellRing Brands, LLC and its domestic subsidiaries) will guarantee the Post bridge loan. On the same day this offering is completed, and as part of the formation transactions, BellRing Brands, LLC will become the borrower under the Post bridge loan and assume all interest of $2.4 million thereunder, and Post and its subsidiary guarantors (which will not include BellRing Brands, LLC or its domestic subsidiaries) will be released from all of their obligations under the Post bridge loan and all interest thereunder. We will not receive any of the proceeds of the Post bridge loan.</w:t>
      </w:r>
    </w:p>
    <w:p>
      <w:pPr>
        <w:spacing w:after="0" w:line="94" w:lineRule="exact"/>
        <w:rPr>
          <w:rFonts w:ascii="Arial" w:cs="Arial" w:eastAsia="Arial" w:hAnsi="Arial"/>
          <w:sz w:val="18"/>
          <w:szCs w:val="18"/>
          <w:color w:val="auto"/>
        </w:rPr>
      </w:pPr>
    </w:p>
    <w:p>
      <w:pPr>
        <w:ind w:left="640" w:right="40"/>
        <w:spacing w:after="0" w:line="270" w:lineRule="auto"/>
        <w:rPr>
          <w:rFonts w:ascii="Arial" w:cs="Arial" w:eastAsia="Arial" w:hAnsi="Arial"/>
          <w:sz w:val="18"/>
          <w:szCs w:val="18"/>
          <w:color w:val="auto"/>
        </w:rPr>
      </w:pPr>
      <w:r>
        <w:rPr>
          <w:rFonts w:ascii="Arial" w:cs="Arial" w:eastAsia="Arial" w:hAnsi="Arial"/>
          <w:sz w:val="17"/>
          <w:szCs w:val="17"/>
          <w:color w:val="auto"/>
        </w:rPr>
        <w:t>Immediately after the completion of the formation transactions and the completion of this offering, BellRing Brands, LLC expects to enter into debt facilities consisting of a revolving credit facility with approximately $200.0 million borrowing capacity and an approximately $820.0 million term loan facility and use the proceeds of the borrowings thereunder to repay the remaining balance of the Post bridge loan and all interest thereunder and for the other purposes described under “Use of Proceeds.” A final determination as to whether to enter into any such debt facilities will be made by the BellRing Brands, LLC Board of Managers after completion of this offering. While we expect that the BellRing Brands, LLC Board of Managers will determine to enter into the debt facilities and borrow funds under the term loan facility and the revolving credit facility, we can provide no assurance that the Board of Managers will make such a determination. We expect that the revolving credit facility also will be available for working capital and for general corporate purposes (including acquisitions) and that a portion of the revolving credit facility will be available for letters of credit. The debt facilities also may include incremental revolving and term loan facilities at our request and at the discretion of the lenders, on terms to be agreed upon with such lenders.</w:t>
      </w:r>
    </w:p>
    <w:p>
      <w:pPr>
        <w:spacing w:after="0" w:line="6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For purposes of the table above, we have assumed:</w:t>
      </w:r>
    </w:p>
    <w:p>
      <w:pPr>
        <w:spacing w:after="0" w:line="130" w:lineRule="exact"/>
        <w:rPr>
          <w:rFonts w:ascii="Arial" w:cs="Arial" w:eastAsia="Arial" w:hAnsi="Arial"/>
          <w:sz w:val="18"/>
          <w:szCs w:val="18"/>
          <w:color w:val="auto"/>
        </w:rPr>
      </w:pPr>
    </w:p>
    <w:p>
      <w:pPr>
        <w:ind w:left="1180" w:right="340" w:hanging="544"/>
        <w:spacing w:after="0" w:line="277" w:lineRule="auto"/>
        <w:tabs>
          <w:tab w:leader="none" w:pos="11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approximately $30.0 million of borrowings under the revolving credit facility will be incurred concurrently with the completion of this offering;</w:t>
      </w:r>
    </w:p>
    <w:p>
      <w:pPr>
        <w:spacing w:after="0" w:line="75" w:lineRule="exact"/>
        <w:rPr>
          <w:rFonts w:ascii="Arial" w:cs="Arial" w:eastAsia="Arial" w:hAnsi="Arial"/>
          <w:sz w:val="18"/>
          <w:szCs w:val="18"/>
          <w:color w:val="auto"/>
        </w:rPr>
      </w:pPr>
    </w:p>
    <w:p>
      <w:pPr>
        <w:ind w:left="1180" w:right="40" w:hanging="544"/>
        <w:spacing w:after="0" w:line="277" w:lineRule="auto"/>
        <w:tabs>
          <w:tab w:leader="none" w:pos="11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approximately $820.0 million of borrowings under the term loan facility will be incurred concurrently with the completion of this offering; and</w:t>
      </w:r>
    </w:p>
    <w:p>
      <w:pPr>
        <w:spacing w:after="0" w:line="75" w:lineRule="exact"/>
        <w:rPr>
          <w:rFonts w:ascii="Arial" w:cs="Arial" w:eastAsia="Arial" w:hAnsi="Arial"/>
          <w:sz w:val="18"/>
          <w:szCs w:val="18"/>
          <w:color w:val="auto"/>
        </w:rPr>
      </w:pPr>
    </w:p>
    <w:p>
      <w:pPr>
        <w:ind w:left="1180" w:right="20" w:hanging="544"/>
        <w:spacing w:after="0" w:line="312" w:lineRule="auto"/>
        <w:tabs>
          <w:tab w:leader="none" w:pos="11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that BellRing Brands, LLC will receive net proceeds from the borrowings of approximately $6.1 million, after deducting fees and expenses of $15.4 million ($1.1 million related to the revolving credit facility and $14.3 million related to the term loan facility), repayment of the remaining portion of the Post bridge loan and related interest and repayment of cash and cash equivalents. See footnote (d) below.</w:t>
      </w:r>
    </w:p>
    <w:p>
      <w:pPr>
        <w:spacing w:after="0" w:line="52" w:lineRule="exact"/>
        <w:rPr>
          <w:rFonts w:ascii="Arial" w:cs="Arial" w:eastAsia="Arial" w:hAnsi="Arial"/>
          <w:sz w:val="16"/>
          <w:szCs w:val="16"/>
          <w:color w:val="auto"/>
        </w:rPr>
      </w:pPr>
    </w:p>
    <w:p>
      <w:pPr>
        <w:ind w:left="640" w:hanging="436"/>
        <w:spacing w:after="0" w:line="342" w:lineRule="auto"/>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 part of the formation transactions, BellRing Brands, Inc. will issue to Post (in exchange for the 1,000 shares of common stock initially issued to Post in connection with its incorporation, which shares will be cancelled as part of the exchange) one share of its Class B common stock.</w:t>
      </w:r>
    </w:p>
    <w:p>
      <w:pPr>
        <w:spacing w:after="0" w:line="29" w:lineRule="exact"/>
        <w:rPr>
          <w:rFonts w:ascii="Arial" w:cs="Arial" w:eastAsia="Arial" w:hAnsi="Arial"/>
          <w:sz w:val="16"/>
          <w:szCs w:val="16"/>
          <w:color w:val="auto"/>
        </w:rPr>
      </w:pPr>
    </w:p>
    <w:p>
      <w:pPr>
        <w:ind w:left="640" w:right="240"/>
        <w:spacing w:after="0" w:line="277" w:lineRule="auto"/>
        <w:rPr>
          <w:rFonts w:ascii="Arial" w:cs="Arial" w:eastAsia="Arial" w:hAnsi="Arial"/>
          <w:sz w:val="16"/>
          <w:szCs w:val="16"/>
          <w:color w:val="auto"/>
        </w:rPr>
      </w:pPr>
      <w:r>
        <w:rPr>
          <w:rFonts w:ascii="Arial" w:cs="Arial" w:eastAsia="Arial" w:hAnsi="Arial"/>
          <w:sz w:val="18"/>
          <w:szCs w:val="18"/>
          <w:color w:val="auto"/>
        </w:rPr>
        <w:t>In this offering, BellRing Brands, Inc. expects to issue 30,000,000 shares of its Class A common stock (or 34,500,000 shares if the underwriters exercise their over-allotment option in full).</w:t>
      </w:r>
    </w:p>
    <w:p>
      <w:pPr>
        <w:spacing w:after="0" w:line="75" w:lineRule="exact"/>
        <w:rPr>
          <w:rFonts w:ascii="Arial" w:cs="Arial" w:eastAsia="Arial" w:hAnsi="Arial"/>
          <w:sz w:val="16"/>
          <w:szCs w:val="16"/>
          <w:color w:val="auto"/>
        </w:rPr>
      </w:pPr>
    </w:p>
    <w:p>
      <w:pPr>
        <w:ind w:left="640" w:right="20"/>
        <w:spacing w:after="0" w:line="267" w:lineRule="auto"/>
        <w:rPr>
          <w:rFonts w:ascii="Arial" w:cs="Arial" w:eastAsia="Arial" w:hAnsi="Arial"/>
          <w:sz w:val="16"/>
          <w:szCs w:val="16"/>
          <w:color w:val="auto"/>
        </w:rPr>
      </w:pPr>
      <w:r>
        <w:rPr>
          <w:rFonts w:ascii="Arial" w:cs="Arial" w:eastAsia="Arial" w:hAnsi="Arial"/>
          <w:sz w:val="17"/>
          <w:szCs w:val="17"/>
          <w:color w:val="auto"/>
        </w:rPr>
        <w:t>Post will hold 97,474,179 BellRing Brands, LLC Units, which will represent 76.5% of the economic interest in BellRing Brands, LLC (or 73.9% if the underwriters exercise their over-allotment option in full), and one share of Class B common stock, which, for so long as Post or its affiliates (other than us) directly own more than 50% of the BellRing Brands, LLC Units as described in this prospectus, will represent 67% of the combined voting power of the common stock of BellRing Brands, Inc. Due to Post’s rights to redeem BellRing Brands, LLC Units for (i) shares of BellRing Brands, Inc. Class A common stock on a one-for-one basis or (ii) cash at BellRing Brands, LLC’s option (as determined by the BellRing Brands, LLC Board of Managers), the noncontrolling interest in BellRing Brands, LLC represented by these BellRing Brands, LLC Units will be classified as temporary equity. The noncontrolling interest balance is determined based on the</w:t>
      </w:r>
    </w:p>
    <w:p>
      <w:pPr>
        <w:spacing w:after="0" w:line="4"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fair value of Post’s BellRing Brands, LLC Units if they were to be converted to shares of BellRing Brands,</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Inc. Class A common stock, assuming the shares are offered at $17.50 per share (the midpoint of the estimated offering price range set forth on the cover page of this prospectus).</w:t>
      </w:r>
    </w:p>
    <w:p>
      <w:pPr>
        <w:spacing w:after="0" w:line="76" w:lineRule="exact"/>
        <w:rPr>
          <w:sz w:val="20"/>
          <w:szCs w:val="20"/>
          <w:color w:val="auto"/>
        </w:rPr>
      </w:pPr>
    </w:p>
    <w:p>
      <w:pPr>
        <w:ind w:left="640" w:right="20" w:hanging="436"/>
        <w:spacing w:after="0" w:line="293" w:lineRule="auto"/>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BellRing Brands, Inc. expects to receive net proceeds from this offering of approximately $486.8 million (or approximately $561.0 million if the underwriters exercise their over-allotment option in full), assuming the shares are offered at $17.50 per share (the midpoint of the price range listed on the cover page of this prospectus), after deducting underwriting discounts and commissions and estimated offering expenses payable by us. BellRing Brands, Inc. will use all of the net proceeds from this offering to acquire a number of newly issued BellRing Brands, LLC Units from BellRing Brands, LLC equal to the number of shares of its Class A common stock sold in this offering. BellRing Brands, LLC will use the net proceeds of this offering that it receives from BellRing Brands, Inc. to repay a portion of the Post bridge loan and related interest.</w:t>
      </w:r>
    </w:p>
    <w:p>
      <w:pPr>
        <w:spacing w:after="0" w:line="70" w:lineRule="exact"/>
        <w:rPr>
          <w:rFonts w:ascii="Arial" w:cs="Arial" w:eastAsia="Arial" w:hAnsi="Arial"/>
          <w:sz w:val="16"/>
          <w:szCs w:val="16"/>
          <w:color w:val="auto"/>
        </w:rPr>
      </w:pPr>
    </w:p>
    <w:p>
      <w:pPr>
        <w:ind w:left="640" w:right="140" w:hanging="436"/>
        <w:spacing w:after="0" w:line="259"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Following the completion of this offering, BellRing Brands, LLC will receive proceeds from the term loan, the revolving credit facility and the offering and make payments for the Post bridge loan and related interest. In addition, BellRing Brands, LLC will pay to Post an amount equal to the value of all cash and cash equivalents held by BellRing Brands, LLC and its subsidiaries as of immediately prior to the consummation of this offering. See related cash adjustments as follows:</w:t>
      </w:r>
    </w:p>
    <w:p>
      <w:pPr>
        <w:spacing w:after="0" w:line="206" w:lineRule="exact"/>
        <w:rPr>
          <w:sz w:val="20"/>
          <w:szCs w:val="20"/>
          <w:color w:val="auto"/>
        </w:rPr>
      </w:pPr>
    </w:p>
    <w:tbl>
      <w:tblPr>
        <w:tblLayout w:type="fixed"/>
        <w:tblInd w:w="1040" w:type="dxa"/>
        <w:tblCellMar>
          <w:top w:w="0" w:type="dxa"/>
          <w:left w:w="0" w:type="dxa"/>
          <w:bottom w:w="0" w:type="dxa"/>
          <w:right w:w="0" w:type="dxa"/>
        </w:tblCellMar>
      </w:tblPr>
      <w:tr>
        <w:trPr>
          <w:trHeight w:val="171"/>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4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term loan and revolving credit facility </w:t>
            </w:r>
            <w:r>
              <w:rPr>
                <w:rFonts w:ascii="Arial" w:cs="Arial" w:eastAsia="Arial" w:hAnsi="Arial"/>
                <w:sz w:val="15"/>
                <w:szCs w:val="15"/>
                <w:color w:val="auto"/>
              </w:rPr>
              <w:t>(a)</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 xml:space="preserve">Net proceeds from offering </w:t>
            </w:r>
            <w:r>
              <w:rPr>
                <w:rFonts w:ascii="Arial" w:cs="Arial" w:eastAsia="Arial" w:hAnsi="Arial"/>
                <w:sz w:val="15"/>
                <w:szCs w:val="15"/>
                <w:color w:val="auto"/>
              </w:rPr>
              <w:t>(c)</w:t>
            </w: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Payment of Post bridge loan and interest </w:t>
            </w:r>
            <w:r>
              <w:rPr>
                <w:rFonts w:ascii="Arial" w:cs="Arial" w:eastAsia="Arial" w:hAnsi="Arial"/>
                <w:sz w:val="15"/>
                <w:szCs w:val="15"/>
                <w:color w:val="auto"/>
              </w:rPr>
              <w:t>(a)</w:t>
            </w:r>
          </w:p>
        </w:tc>
        <w:tc>
          <w:tcPr>
            <w:tcW w:w="4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(1,311.9)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Payment of cash and cash equivalents to Post</w:t>
            </w: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cash proceeds</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640" w:type="dxa"/>
            <w:vAlign w:val="bottom"/>
          </w:tcPr>
          <w:p>
            <w:pPr>
              <w:jc w:val="right"/>
              <w:ind w:right="371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Because Post will not own any Class A common stock after this offering, we have presented dilution in pro forma net tangible book value per share both before and after this offering assuming that Post has all of its BellRing Brands, LLC Units redeemed for newly issued shares of Class A common stock on a one-to-one basis (rather than for cash) and the cancellation for no consideration of all of its share of Class B common stock (which is not entitled to receive distributions or dividends, whether cash or stock, from BellRing Brands, Inc.) in order to more meaningfully present the potential dilutive impact on the investors in this offering. We refer to the assumed redemption of all BellRing Brands, LLC Units for shares of Class A common stock as described in the previous sentence as the “assumed redemption.”</w:t>
      </w:r>
    </w:p>
    <w:p>
      <w:pPr>
        <w:spacing w:after="0" w:line="178" w:lineRule="exact"/>
        <w:rPr>
          <w:sz w:val="20"/>
          <w:szCs w:val="20"/>
          <w:color w:val="auto"/>
        </w:rPr>
      </w:pPr>
    </w:p>
    <w:p>
      <w:pPr>
        <w:jc w:val="both"/>
        <w:ind w:left="200" w:right="420" w:firstLine="441"/>
        <w:spacing w:after="0" w:line="264"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of our Class A common stock and the pro forma net tangible book value per share of our Class A common stock after this offering.</w:t>
      </w:r>
    </w:p>
    <w:p>
      <w:pPr>
        <w:spacing w:after="0" w:line="18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Pro forma net tangible book value per share of Class A common stock of BellRing Brands, Inc. is determined by dividing our total tangible assets (total assets less goodwill, other intangible assets, net and deferred financing fees) less our total liabilities (excluding debt issuance cost and unamortized discount) by the number of shares of our Class A common stock outstanding. As of June 30, 2019, after giving effect to the formation transactions (including the assumption by BellRing Brands, LLC of the Post bridge loan and related interest) and the assumed redemption, but not this offering, the use of the proceeds of this offering or the expected borrowing under the debt facilities for the purposes described under “Use of Proceeds,” we had a pro forma net tangible book value of $(1,202.1) million, or $(12.33) per share of Class A common stock.</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After giving further effect to receipt of the net proceeds from our issuance and the sale of 30,000,000 shares of Class A common stock in this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offering at an assumed initial public offering price of $17.50 per share of Class A common stock, which is the midpoint of the estimated offering price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range set forth on the cover page of this prospectus, and after deducting the estimated underwriting discounts and commissions and offering expenses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payable by us and the use of the proceeds of this offering and the expected borrowing under the debt facilities for the purposes described under “Use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Proceeds,” our pro forma as adjusted net tangible book value as of June 30, 2019 would have been approximately $(734.1) million, or approximately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$(5.76) per share. This amount represents an immediate increase in pro forma net tangible book value of $6.57 per share to our existing stockholder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an immediate dilution of approximately $23.26 per share to new investors participating in this offering. We determine dilution by subtracting the pro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forma as adjusted net tangible book value per share after this offering from the amount of cash that a new investor paid for a share of Class A common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following table illustrates the calculation of the amount of dilution per share that a purchaser of shares of our Class A common stock in this offering will incur given the assumptions above:</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80" w:type="dxa"/>
            <w:vAlign w:val="bottom"/>
          </w:tcPr>
          <w:p>
            <w:pPr>
              <w:ind w:left="340"/>
              <w:spacing w:after="0" w:line="201" w:lineRule="exact"/>
              <w:rPr>
                <w:sz w:val="20"/>
                <w:szCs w:val="20"/>
                <w:color w:val="auto"/>
              </w:rPr>
            </w:pPr>
            <w:r>
              <w:rPr>
                <w:rFonts w:ascii="Arial" w:cs="Arial" w:eastAsia="Arial" w:hAnsi="Arial"/>
                <w:sz w:val="18"/>
                <w:szCs w:val="18"/>
                <w:color w:val="auto"/>
                <w:w w:val="93"/>
              </w:rPr>
              <w:t>Pro forma net tangible book value per share as of June 30, 2019, giving effect to the formation transactions (including the</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520"/>
              <w:spacing w:after="0"/>
              <w:rPr>
                <w:sz w:val="20"/>
                <w:szCs w:val="20"/>
                <w:color w:val="auto"/>
              </w:rPr>
            </w:pPr>
            <w:r>
              <w:rPr>
                <w:rFonts w:ascii="Arial" w:cs="Arial" w:eastAsia="Arial" w:hAnsi="Arial"/>
                <w:sz w:val="18"/>
                <w:szCs w:val="18"/>
                <w:color w:val="auto"/>
                <w:w w:val="94"/>
              </w:rPr>
              <w:t>assumption by BellRing Brands, LLC of the Post bridge loan) and the assumed redemption, but not this offering or the</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520"/>
              <w:spacing w:after="0"/>
              <w:rPr>
                <w:sz w:val="20"/>
                <w:szCs w:val="20"/>
                <w:color w:val="auto"/>
              </w:rPr>
            </w:pPr>
            <w:r>
              <w:rPr>
                <w:rFonts w:ascii="Arial" w:cs="Arial" w:eastAsia="Arial" w:hAnsi="Arial"/>
                <w:sz w:val="18"/>
                <w:szCs w:val="18"/>
                <w:color w:val="auto"/>
                <w:w w:val="91"/>
              </w:rPr>
              <w:t>use of the proceeds of this offering and the expected borrowing under the debt facilities for the purposes described under</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520"/>
              <w:spacing w:after="0"/>
              <w:rPr>
                <w:sz w:val="20"/>
                <w:szCs w:val="20"/>
                <w:color w:val="auto"/>
              </w:rPr>
            </w:pPr>
            <w:r>
              <w:rPr>
                <w:rFonts w:ascii="Arial" w:cs="Arial" w:eastAsia="Arial" w:hAnsi="Arial"/>
                <w:sz w:val="18"/>
                <w:szCs w:val="18"/>
                <w:color w:val="auto"/>
              </w:rPr>
              <w:t>“Use of Proceeds”</w:t>
            </w:r>
            <w:r>
              <w:rPr>
                <w:rFonts w:ascii="Arial" w:cs="Arial" w:eastAsia="Arial" w:hAnsi="Arial"/>
                <w:sz w:val="15"/>
                <w:szCs w:val="15"/>
                <w:color w:val="auto"/>
              </w:rPr>
              <w:t>(a)</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$(12.33)</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00" w:type="dxa"/>
            <w:vAlign w:val="bottom"/>
            <w:gridSpan w:val="2"/>
          </w:tcPr>
          <w:p>
            <w:pPr>
              <w:spacing w:after="0"/>
              <w:rPr>
                <w:sz w:val="20"/>
                <w:szCs w:val="20"/>
                <w:color w:val="auto"/>
              </w:rPr>
            </w:pPr>
            <w:r>
              <w:rPr>
                <w:rFonts w:ascii="Arial" w:cs="Arial" w:eastAsia="Arial" w:hAnsi="Arial"/>
                <w:sz w:val="18"/>
                <w:szCs w:val="18"/>
                <w:color w:val="auto"/>
                <w:w w:val="91"/>
              </w:rPr>
              <w:t>Less: Pro forma as adjusted net tangible book value per share of Class A common stock upon completion of this offering and the</w:t>
            </w:r>
          </w:p>
        </w:tc>
        <w:tc>
          <w:tcPr>
            <w:tcW w:w="1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w w:val="91"/>
              </w:rPr>
              <w:t>use of the proceeds of this offering and the expected borrowing under the debt facilities for the purposes described under “Use</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rPr>
              <w:t>of Proceeds”</w:t>
            </w:r>
            <w:r>
              <w:rPr>
                <w:rFonts w:ascii="Arial" w:cs="Arial" w:eastAsia="Arial" w:hAnsi="Arial"/>
                <w:sz w:val="15"/>
                <w:szCs w:val="15"/>
                <w:color w:val="auto"/>
              </w:rPr>
              <w:t>(b)</w:t>
            </w:r>
          </w:p>
        </w:tc>
        <w:tc>
          <w:tcPr>
            <w:tcW w:w="1020" w:type="dxa"/>
            <w:vAlign w:val="bottom"/>
            <w:gridSpan w:val="3"/>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Class A common stock investors from this offering</w:t>
            </w: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jc w:val="right"/>
              <w:ind w:right="371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4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above discussion and table exclude an aggregate of 2,000,000 additional shares of our Class A common stock reserved for future awards pursuant to the 2019 LTIP.</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 $1.00 increase or decrease in the assumed initial public offering price of $17.50 per share (the midpoint of the estimated offering price range set forth on the cover page of this prospectus) would increase or decrease the as adjusted net tangible book value per share after this offering by $0.22 per share and increase or decrease the dilution to new investors in this offering by $0.78 per share, in each case assuming the number of shares of Class A common stock offered by us, as set forth on the cover page of this prospectus, remains the same and less underwriting discounts and commissions and estimated offering expenses payable by us. If the underwriters exercise their option to purchase from us additional shares of our Class A common stock in full, the as adjusted net tangible book value per share of our common stock would be $(4.50) per share, and the dilution in net tangible book value per share to investors in this offering would be $22.00 per share of Class A common stock.</w:t>
      </w:r>
    </w:p>
    <w:p>
      <w:pPr>
        <w:spacing w:after="0" w:line="194"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color w:val="auto"/>
        </w:rPr>
        <w:t>(a)</w:t>
        <w:tab/>
        <w:t>Pro forma net tangible book value per share: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9080" w:type="dxa"/>
            <w:vAlign w:val="bottom"/>
            <w:gridSpan w:val="2"/>
          </w:tcPr>
          <w:p>
            <w:pPr>
              <w:ind w:left="840"/>
              <w:spacing w:after="0"/>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597.6</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Less: Goodwill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23"/>
        </w:trPr>
        <w:tc>
          <w:tcPr>
            <w:tcW w:w="9080" w:type="dxa"/>
            <w:vAlign w:val="bottom"/>
            <w:gridSpan w:val="2"/>
          </w:tcPr>
          <w:p>
            <w:pPr>
              <w:ind w:left="840"/>
              <w:spacing w:after="0"/>
              <w:rPr>
                <w:sz w:val="20"/>
                <w:szCs w:val="20"/>
                <w:color w:val="auto"/>
              </w:rPr>
            </w:pPr>
            <w:r>
              <w:rPr>
                <w:rFonts w:ascii="Arial" w:cs="Arial" w:eastAsia="Arial" w:hAnsi="Arial"/>
                <w:sz w:val="18"/>
                <w:szCs w:val="18"/>
                <w:color w:val="auto"/>
              </w:rPr>
              <w:t>Total tangible assets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(excluding current and long-term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Post bridge loan and interest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1,311.9</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1,431.7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Pro forma net tangible book value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(1,202.1)</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BellRing Brands, LLC Units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97,474,179</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Pro forma net tangible book value per share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445"/>
        </w:trPr>
        <w:tc>
          <w:tcPr>
            <w:tcW w:w="9080" w:type="dxa"/>
            <w:vAlign w:val="bottom"/>
            <w:gridSpan w:val="2"/>
          </w:tcPr>
          <w:p>
            <w:pPr>
              <w:spacing w:after="0"/>
              <w:rPr>
                <w:sz w:val="20"/>
                <w:szCs w:val="20"/>
                <w:color w:val="auto"/>
              </w:rPr>
            </w:pPr>
            <w:r>
              <w:rPr>
                <w:rFonts w:ascii="Arial" w:cs="Arial" w:eastAsia="Arial" w:hAnsi="Arial"/>
                <w:sz w:val="18"/>
                <w:szCs w:val="18"/>
                <w:color w:val="auto"/>
              </w:rPr>
              <w:t>(b)   Pro forma adjusted net tangible book value per share: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080" w:type="dxa"/>
            <w:vAlign w:val="bottom"/>
            <w:gridSpan w:val="2"/>
          </w:tcPr>
          <w:p>
            <w:pPr>
              <w:ind w:left="840"/>
              <w:spacing w:after="0"/>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Pro Forma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604.8</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Less: Goodwill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tcPr>
          <w:p>
            <w:pPr>
              <w:ind w:left="360"/>
              <w:spacing w:after="0"/>
              <w:rPr>
                <w:sz w:val="20"/>
                <w:szCs w:val="20"/>
                <w:color w:val="auto"/>
              </w:rPr>
            </w:pPr>
            <w:r>
              <w:rPr>
                <w:rFonts w:ascii="Arial" w:cs="Arial" w:eastAsia="Arial" w:hAnsi="Arial"/>
                <w:sz w:val="18"/>
                <w:szCs w:val="18"/>
                <w:color w:val="auto"/>
              </w:rPr>
              <w:t>Deferred financing fees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tangible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Total Liabilities (excluding current and long-term debt)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02"/>
        </w:trPr>
        <w:tc>
          <w:tcPr>
            <w:tcW w:w="840" w:type="dxa"/>
            <w:vAlign w:val="bottom"/>
          </w:tcPr>
          <w:p>
            <w:pPr>
              <w:spacing w:after="0"/>
              <w:rPr>
                <w:sz w:val="17"/>
                <w:szCs w:val="17"/>
                <w:color w:val="auto"/>
              </w:rPr>
            </w:pPr>
          </w:p>
        </w:tc>
        <w:tc>
          <w:tcPr>
            <w:tcW w:w="8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term loan and revolving credit facility (excluding debt issuance costs and unamortized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23"/>
        </w:trPr>
        <w:tc>
          <w:tcPr>
            <w:tcW w:w="9080" w:type="dxa"/>
            <w:vAlign w:val="bottom"/>
            <w:gridSpan w:val="2"/>
          </w:tcPr>
          <w:p>
            <w:pPr>
              <w:ind w:left="840"/>
              <w:spacing w:after="0"/>
              <w:rPr>
                <w:sz w:val="20"/>
                <w:szCs w:val="20"/>
                <w:color w:val="auto"/>
              </w:rPr>
            </w:pPr>
            <w:r>
              <w:rPr>
                <w:rFonts w:ascii="Arial" w:cs="Arial" w:eastAsia="Arial" w:hAnsi="Arial"/>
                <w:sz w:val="18"/>
                <w:szCs w:val="18"/>
                <w:color w:val="auto"/>
              </w:rPr>
              <w:t>Total Pro Forma Liabilities (excluding debt issuance costs and unamortized discount)</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adjusted net tangible book value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(734.1)</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Total Class A common stock</w:t>
            </w: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w w:val="97"/>
              </w:rPr>
              <w:t>127,474,179</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adjusted net tangible book value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365"/>
        </w:trPr>
        <w:tc>
          <w:tcPr>
            <w:tcW w:w="9080" w:type="dxa"/>
            <w:vAlign w:val="bottom"/>
            <w:gridSpan w:val="2"/>
          </w:tcPr>
          <w:p>
            <w:pPr>
              <w:ind w:left="542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SELECTED HISTORICAL CONDENSED COMBINED FINANCIAL AND OTHER INFORMATION</w:t>
      </w:r>
    </w:p>
    <w:p>
      <w:pPr>
        <w:spacing w:after="0" w:line="22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following tables set forth certain selected historical condensed combined financial data for Post’s Active Nutrition business as of September 30, 2018 and 2017 and for each of the fiscal years in the three-year period ended September 30, 2018 and as of June 30, 2019 and for the nine months ended June 30, 2019 and 2018. The Active Nutrition business of Post is the predecessor of BellRing Brands Inc. for financial reporting purposes. The selected historical financial data set forth below should be read in conjunction with: (i) the sections entitled “Use of Proceeds,” “Capitalization” and “Unaudited Pro Forma Condensed Consolidated Financial Information,” (ii) Post’s Active Nutrition business’s audited combined financial statements and the notes thereto as of and for the three fiscal years ended September 30, 2018, (iii) Post’s Active Nutrition business’s unaudited condensed combined financial statements and the notes thereto as of and for the nine months ended June 30, 2019 and 2018 and (iv) “Management’s Discussion and Analysis of Financial Condition and Results of Operations,” each of which is contained elsewhere in this prospectus.</w:t>
      </w:r>
    </w:p>
    <w:p>
      <w:pPr>
        <w:spacing w:after="0" w:line="166"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selected historical condensed combined financial data as of September 30, 2018 and 2017 and as of each of the fiscal years in the three-year period ended September 30, 2018 have been derived from the audited combined financial statements of Post’s Active Nutrition business. The selected unaudited historical condensed combined financial data as of June 30, 2019 and for the nine months ended June 30, 2019 and 2018 have been derived from Post’s Active Nutrition business’s unaudited condensed combined financial statements, and include, in the opinion of management, all adjustments, consisting of only normal, recurring adjustments, necessary for a fair statement of such information. The financial data presented for the interim periods is not necessarily indicative of the results for the full fiscal year.</w:t>
      </w:r>
    </w:p>
    <w:p>
      <w:pPr>
        <w:spacing w:after="0" w:line="178"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The selected historical consolidated financial and other data of BellRing Brands, Inc. has not been presented as BellRing Brands, Inc. is a newly incorporated entity, has had no business transactions or activities to date and had no assets or liabilities during the periods presented in this section.</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Active Nutrition</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6"/>
          </w:tcPr>
          <w:p>
            <w:pPr>
              <w:jc w:val="right"/>
              <w:ind w:right="158"/>
              <w:spacing w:after="0" w:line="119" w:lineRule="exact"/>
              <w:rPr>
                <w:sz w:val="20"/>
                <w:szCs w:val="20"/>
                <w:color w:val="auto"/>
              </w:rPr>
            </w:pPr>
            <w:r>
              <w:rPr>
                <w:rFonts w:ascii="Arial" w:cs="Arial" w:eastAsia="Arial" w:hAnsi="Arial"/>
                <w:sz w:val="13"/>
                <w:szCs w:val="13"/>
                <w:b w:val="1"/>
                <w:bCs w:val="1"/>
                <w:color w:val="auto"/>
              </w:rPr>
              <w:t>Nine Months Ended</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18"/>
              <w:spacing w:after="0" w:line="142"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sales</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639.9</w:t>
            </w:r>
          </w:p>
        </w:tc>
        <w:tc>
          <w:tcPr>
            <w:tcW w:w="1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607.6</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827.5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713.2</w:t>
            </w:r>
          </w:p>
        </w:tc>
        <w:tc>
          <w:tcPr>
            <w:tcW w:w="220" w:type="dxa"/>
            <w:vAlign w:val="bottom"/>
          </w:tcPr>
          <w:p>
            <w:pPr>
              <w:spacing w:after="0"/>
              <w:rPr>
                <w:sz w:val="18"/>
                <w:szCs w:val="18"/>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574.7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204.0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245.8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179.2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operating expenses, net</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tax expense</w:t>
            </w:r>
          </w:p>
        </w:tc>
        <w:tc>
          <w:tcPr>
            <w:tcW w:w="1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13.1</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Cash Flows Data</w:t>
            </w:r>
          </w:p>
        </w:tc>
        <w:tc>
          <w:tcPr>
            <w:tcW w:w="1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Cash provided by (used in):</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Investing activities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17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Other Financial Data</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Adjusted net earnings</w:t>
            </w:r>
            <w:r>
              <w:rPr>
                <w:rFonts w:ascii="Arial" w:cs="Arial" w:eastAsia="Arial" w:hAnsi="Arial"/>
                <w:sz w:val="15"/>
                <w:szCs w:val="15"/>
                <w:color w:val="auto"/>
              </w:rPr>
              <w:t>(1)</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151.8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112.5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118.5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8"/>
          </w:tcPr>
          <w:p>
            <w:pPr>
              <w:jc w:val="center"/>
              <w:ind w:left="32"/>
              <w:spacing w:after="0"/>
              <w:rPr>
                <w:sz w:val="20"/>
                <w:szCs w:val="20"/>
                <w:color w:val="auto"/>
              </w:rPr>
            </w:pPr>
            <w:r>
              <w:rPr>
                <w:rFonts w:ascii="Arial" w:cs="Arial" w:eastAsia="Arial" w:hAnsi="Arial"/>
                <w:sz w:val="14"/>
                <w:szCs w:val="14"/>
                <w:b w:val="1"/>
                <w:bCs w:val="1"/>
                <w:color w:val="auto"/>
                <w:w w:val="95"/>
              </w:rPr>
              <w:t>Active Nutrition</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6"/>
            <w:vMerge w:val="restart"/>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gridSpan w:val="3"/>
            <w:vMerge w:val="restart"/>
          </w:tcPr>
          <w:p>
            <w:pPr>
              <w:jc w:val="center"/>
              <w:ind w:left="253"/>
              <w:spacing w:after="0" w:line="149"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gridSpan w:val="6"/>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6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gridSpan w:val="3"/>
            <w:vMerge w:val="restart"/>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4"/>
          </w:tcPr>
          <w:p>
            <w:pPr>
              <w:jc w:val="center"/>
              <w:ind w:left="133"/>
              <w:spacing w:after="0"/>
              <w:rPr>
                <w:sz w:val="20"/>
                <w:szCs w:val="20"/>
                <w:color w:val="auto"/>
              </w:rPr>
            </w:pPr>
            <w:r>
              <w:rPr>
                <w:rFonts w:ascii="Arial" w:cs="Arial" w:eastAsia="Arial" w:hAnsi="Arial"/>
                <w:sz w:val="14"/>
                <w:szCs w:val="14"/>
                <w:b w:val="1"/>
                <w:bCs w:val="1"/>
                <w:color w:val="auto"/>
                <w:w w:val="94"/>
              </w:rPr>
              <w:t>(unaudited)</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1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18"/>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10.9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597.6</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liabilities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parent company equity</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491.0</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260" w:hanging="436"/>
        <w:spacing w:after="0" w:line="277"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 “Explanation and Reconciliation of Non-GAAP Measures” for a reconciliation of Adjusted net earnings and Adjusted EBITDA to the most directly comparable GAAP measure.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QUARTERLY FINANCIAL INFORMATION</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7"/>
              </w:rPr>
              <w:t>Active Nutrition</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0"/>
              </w:rPr>
              <w:t>Fiscal 2019</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jc w:val="right"/>
              <w:ind w:right="230"/>
              <w:spacing w:after="0" w:line="142" w:lineRule="exact"/>
              <w:rPr>
                <w:sz w:val="20"/>
                <w:szCs w:val="20"/>
                <w:color w:val="auto"/>
              </w:rPr>
            </w:pPr>
            <w:r>
              <w:rPr>
                <w:rFonts w:ascii="Arial" w:cs="Arial" w:eastAsia="Arial" w:hAnsi="Arial"/>
                <w:sz w:val="14"/>
                <w:szCs w:val="14"/>
                <w:b w:val="1"/>
                <w:bCs w:val="1"/>
                <w:color w:val="auto"/>
              </w:rPr>
              <w:t>Fiscal 2018</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Third</w:t>
            </w:r>
          </w:p>
        </w:tc>
        <w:tc>
          <w:tcPr>
            <w:tcW w:w="280" w:type="dxa"/>
            <w:vAlign w:val="bottom"/>
          </w:tcPr>
          <w:p>
            <w:pPr>
              <w:spacing w:after="0"/>
              <w:rPr>
                <w:sz w:val="10"/>
                <w:szCs w:val="10"/>
                <w:color w:val="auto"/>
              </w:rPr>
            </w:pPr>
          </w:p>
        </w:tc>
        <w:tc>
          <w:tcPr>
            <w:tcW w:w="68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3"/>
              </w:rPr>
              <w:t>Second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11"/>
              <w:spacing w:after="0" w:line="119" w:lineRule="exact"/>
              <w:rPr>
                <w:sz w:val="20"/>
                <w:szCs w:val="20"/>
                <w:color w:val="auto"/>
              </w:rPr>
            </w:pPr>
            <w:r>
              <w:rPr>
                <w:rFonts w:ascii="Arial" w:cs="Arial" w:eastAsia="Arial" w:hAnsi="Arial"/>
                <w:sz w:val="13"/>
                <w:szCs w:val="13"/>
                <w:b w:val="1"/>
                <w:bCs w:val="1"/>
                <w:color w:val="auto"/>
              </w:rPr>
              <w:t>First</w:t>
            </w:r>
          </w:p>
        </w:tc>
        <w:tc>
          <w:tcPr>
            <w:tcW w:w="280" w:type="dxa"/>
            <w:vAlign w:val="bottom"/>
          </w:tcPr>
          <w:p>
            <w:pPr>
              <w:spacing w:after="0"/>
              <w:rPr>
                <w:sz w:val="10"/>
                <w:szCs w:val="10"/>
                <w:color w:val="auto"/>
              </w:rPr>
            </w:pPr>
          </w:p>
        </w:tc>
        <w:tc>
          <w:tcPr>
            <w:tcW w:w="76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Fourth</w:t>
            </w:r>
          </w:p>
        </w:tc>
        <w:tc>
          <w:tcPr>
            <w:tcW w:w="20" w:type="dxa"/>
            <w:vAlign w:val="bottom"/>
          </w:tcPr>
          <w:p>
            <w:pPr>
              <w:spacing w:after="0"/>
              <w:rPr>
                <w:sz w:val="10"/>
                <w:szCs w:val="10"/>
                <w:color w:val="auto"/>
              </w:rPr>
            </w:pPr>
          </w:p>
        </w:tc>
        <w:tc>
          <w:tcPr>
            <w:tcW w:w="5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Third</w:t>
            </w:r>
          </w:p>
        </w:tc>
        <w:tc>
          <w:tcPr>
            <w:tcW w:w="260" w:type="dxa"/>
            <w:vAlign w:val="bottom"/>
          </w:tcPr>
          <w:p>
            <w:pPr>
              <w:spacing w:after="0"/>
              <w:rPr>
                <w:sz w:val="10"/>
                <w:szCs w:val="10"/>
                <w:color w:val="auto"/>
              </w:rPr>
            </w:pPr>
          </w:p>
        </w:tc>
        <w:tc>
          <w:tcPr>
            <w:tcW w:w="5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Second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31"/>
              <w:spacing w:after="0" w:line="119" w:lineRule="exact"/>
              <w:rPr>
                <w:sz w:val="20"/>
                <w:szCs w:val="20"/>
                <w:color w:val="auto"/>
              </w:rPr>
            </w:pPr>
            <w:r>
              <w:rPr>
                <w:rFonts w:ascii="Arial" w:cs="Arial" w:eastAsia="Arial" w:hAnsi="Arial"/>
                <w:sz w:val="13"/>
                <w:szCs w:val="13"/>
                <w:b w:val="1"/>
                <w:bCs w:val="1"/>
                <w:color w:val="auto"/>
                <w:w w:val="99"/>
              </w:rPr>
              <w:t>First</w:t>
            </w:r>
          </w:p>
        </w:tc>
        <w:tc>
          <w:tcPr>
            <w:tcW w:w="120" w:type="dxa"/>
            <w:vAlign w:val="bottom"/>
          </w:tcPr>
          <w:p>
            <w:pPr>
              <w:spacing w:after="0"/>
              <w:rPr>
                <w:sz w:val="10"/>
                <w:szCs w:val="10"/>
                <w:color w:val="auto"/>
              </w:rPr>
            </w:pPr>
          </w:p>
        </w:tc>
      </w:tr>
      <w:tr>
        <w:trPr>
          <w:trHeight w:val="171"/>
        </w:trPr>
        <w:tc>
          <w:tcPr>
            <w:tcW w:w="4460" w:type="dxa"/>
            <w:vAlign w:val="bottom"/>
            <w:gridSpan w:val="3"/>
          </w:tcPr>
          <w:p>
            <w:pPr>
              <w:spacing w:after="0"/>
              <w:rPr>
                <w:sz w:val="20"/>
                <w:szCs w:val="20"/>
                <w:color w:val="auto"/>
              </w:rPr>
            </w:pPr>
            <w:r>
              <w:rPr>
                <w:rFonts w:ascii="Arial" w:cs="Arial" w:eastAsia="Arial" w:hAnsi="Arial"/>
                <w:sz w:val="14"/>
                <w:szCs w:val="14"/>
                <w:i w:val="1"/>
                <w:iCs w:val="1"/>
                <w:color w:val="auto"/>
              </w:rPr>
              <w:t>($ in millions)</w:t>
            </w:r>
          </w:p>
        </w:tc>
        <w:tc>
          <w:tcPr>
            <w:tcW w:w="1760" w:type="dxa"/>
            <w:vAlign w:val="bottom"/>
            <w:gridSpan w:val="3"/>
          </w:tcPr>
          <w:p>
            <w:pPr>
              <w:ind w:left="1240"/>
              <w:spacing w:after="0"/>
              <w:rPr>
                <w:sz w:val="20"/>
                <w:szCs w:val="20"/>
                <w:color w:val="auto"/>
              </w:rPr>
            </w:pPr>
            <w:r>
              <w:rPr>
                <w:rFonts w:ascii="Arial" w:cs="Arial" w:eastAsia="Arial" w:hAnsi="Arial"/>
                <w:sz w:val="14"/>
                <w:szCs w:val="14"/>
                <w:b w:val="1"/>
                <w:bCs w:val="1"/>
                <w:color w:val="auto"/>
                <w:w w:val="98"/>
              </w:rPr>
              <w:t>Quarter</w:t>
            </w:r>
          </w:p>
        </w:tc>
        <w:tc>
          <w:tcPr>
            <w:tcW w:w="960" w:type="dxa"/>
            <w:vAlign w:val="bottom"/>
            <w:gridSpan w:val="4"/>
          </w:tcPr>
          <w:p>
            <w:pPr>
              <w:jc w:val="center"/>
              <w:ind w:left="19"/>
              <w:spacing w:after="0"/>
              <w:rPr>
                <w:sz w:val="20"/>
                <w:szCs w:val="20"/>
                <w:color w:val="auto"/>
              </w:rPr>
            </w:pPr>
            <w:r>
              <w:rPr>
                <w:rFonts w:ascii="Arial" w:cs="Arial" w:eastAsia="Arial" w:hAnsi="Arial"/>
                <w:sz w:val="14"/>
                <w:szCs w:val="14"/>
                <w:b w:val="1"/>
                <w:bCs w:val="1"/>
                <w:color w:val="auto"/>
                <w:w w:val="98"/>
              </w:rPr>
              <w:t>Quarter</w:t>
            </w: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w:t>
            </w: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Quarter</w:t>
            </w:r>
          </w:p>
        </w:tc>
        <w:tc>
          <w:tcPr>
            <w:tcW w:w="780" w:type="dxa"/>
            <w:vAlign w:val="bottom"/>
            <w:gridSpan w:val="3"/>
          </w:tcPr>
          <w:p>
            <w:pPr>
              <w:ind w:left="260"/>
              <w:spacing w:after="0"/>
              <w:rPr>
                <w:sz w:val="20"/>
                <w:szCs w:val="20"/>
                <w:color w:val="auto"/>
              </w:rPr>
            </w:pPr>
            <w:r>
              <w:rPr>
                <w:rFonts w:ascii="Arial" w:cs="Arial" w:eastAsia="Arial" w:hAnsi="Arial"/>
                <w:sz w:val="14"/>
                <w:szCs w:val="14"/>
                <w:b w:val="1"/>
                <w:bCs w:val="1"/>
                <w:color w:val="auto"/>
                <w:w w:val="98"/>
              </w:rPr>
              <w:t>Quarter</w:t>
            </w:r>
          </w:p>
        </w:tc>
        <w:tc>
          <w:tcPr>
            <w:tcW w:w="900" w:type="dxa"/>
            <w:vAlign w:val="bottom"/>
            <w:gridSpan w:val="4"/>
          </w:tcPr>
          <w:p>
            <w:pPr>
              <w:ind w:left="260"/>
              <w:spacing w:after="0"/>
              <w:rPr>
                <w:sz w:val="20"/>
                <w:szCs w:val="20"/>
                <w:color w:val="auto"/>
              </w:rPr>
            </w:pPr>
            <w:r>
              <w:rPr>
                <w:rFonts w:ascii="Arial" w:cs="Arial" w:eastAsia="Arial" w:hAnsi="Arial"/>
                <w:sz w:val="14"/>
                <w:szCs w:val="14"/>
                <w:b w:val="1"/>
                <w:bCs w:val="1"/>
                <w:color w:val="auto"/>
              </w:rPr>
              <w:t>Quarter</w:t>
            </w: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237.6</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216.5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185.8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219.9</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216.4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205.2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186.0</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147.1</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120.2</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146.2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140.2</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140.8</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122.6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r>
      <w:tr>
        <w:trPr>
          <w:trHeight w:val="223"/>
        </w:trPr>
        <w:tc>
          <w:tcPr>
            <w:tcW w:w="4460" w:type="dxa"/>
            <w:vAlign w:val="bottom"/>
            <w:gridSpan w:val="3"/>
          </w:tcPr>
          <w:p>
            <w:pPr>
              <w:spacing w:after="0"/>
              <w:rPr>
                <w:sz w:val="20"/>
                <w:szCs w:val="20"/>
                <w:color w:val="auto"/>
              </w:rPr>
            </w:pPr>
            <w:r>
              <w:rPr>
                <w:rFonts w:ascii="Arial" w:cs="Arial" w:eastAsia="Arial" w:hAnsi="Arial"/>
                <w:sz w:val="18"/>
                <w:szCs w:val="18"/>
                <w:color w:val="auto"/>
              </w:rPr>
              <w:t>Earnings before income taxes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r>
      <w:tr>
        <w:trPr>
          <w:trHeight w:val="223"/>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Net Earnings</w:t>
            </w:r>
          </w:p>
        </w:tc>
        <w:tc>
          <w:tcPr>
            <w:tcW w:w="1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13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Non-cash stock-based compensation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Separation costs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Provision for legal settlement</w:t>
            </w:r>
          </w:p>
        </w:tc>
        <w:tc>
          <w:tcPr>
            <w:tcW w:w="1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5"/>
                <w:szCs w:val="15"/>
                <w:color w:val="auto"/>
              </w:rPr>
              <w:t>(1)</w:t>
            </w:r>
          </w:p>
        </w:tc>
        <w:tc>
          <w:tcPr>
            <w:tcW w:w="13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5620" w:right="960" w:hanging="5416"/>
        <w:spacing w:after="0" w:line="449" w:lineRule="auto"/>
        <w:tabs>
          <w:tab w:leader="none" w:pos="6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 “Explanation and Reconciliation of Non-GAAP Measures” for the definition and explanation of usefulness of Adjusted EBITDA. 70</w:t>
      </w:r>
    </w:p>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EXPLANATION AND RECONCILIATION OF NON-GAAP MEASURES</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use certain non-GAAP measures in this prospectus to supplement the financial measures prepared in accordance with GAAP. These non-GAAP measures include Adjusted net earnings and Adjusted EBITDA. The reconciliation of each of these non-GAAP measures to the most directly comparable GAAP measure for Post’s Active Nutrition business is provided in the table following this section. Post’s Active Nutrition business is the predecessor of BellRing Brands Inc. for financial reporting purposes. Non-GAAP measures are not prepared in accordance with GAAP, as they exclude certain items as described below. These non-GAAP measures may not be comparable to similarly titled measures of other companies. See also “Non-GAAP Financial Measures.”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Adjusted net earnings</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believe Adjusted net earnings is useful to potential investors in evaluating our operating performance because it excludes items that affect the comparability of our financial results and could potentially distort an understanding of the trends in business performance.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Adjusted net earnings is adjusted for the following items:</w:t>
      </w:r>
    </w:p>
    <w:p>
      <w:pPr>
        <w:spacing w:after="0" w:line="131" w:lineRule="exact"/>
        <w:rPr>
          <w:sz w:val="20"/>
          <w:szCs w:val="20"/>
          <w:color w:val="auto"/>
        </w:rPr>
      </w:pPr>
    </w:p>
    <w:p>
      <w:pPr>
        <w:ind w:left="1060" w:right="80" w:hanging="333"/>
        <w:spacing w:after="0" w:line="312" w:lineRule="auto"/>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Impairment of goodwill: </w:t>
      </w:r>
      <w:r>
        <w:rPr>
          <w:rFonts w:ascii="Arial" w:cs="Arial" w:eastAsia="Arial" w:hAnsi="Arial"/>
          <w:sz w:val="16"/>
          <w:szCs w:val="16"/>
          <w:color w:val="auto"/>
        </w:rPr>
        <w:t>We have excluded expenses for impairments of goodwill as such non-cash amounts are inconsistent in amount and</w:t>
      </w:r>
      <w:r>
        <w:rPr>
          <w:rFonts w:ascii="Arial" w:cs="Arial" w:eastAsia="Arial" w:hAnsi="Arial"/>
          <w:sz w:val="16"/>
          <w:szCs w:val="16"/>
          <w:i w:val="1"/>
          <w:iCs w:val="1"/>
          <w:color w:val="auto"/>
        </w:rPr>
        <w:t xml:space="preserve"> </w:t>
      </w:r>
      <w:r>
        <w:rPr>
          <w:rFonts w:ascii="Arial" w:cs="Arial" w:eastAsia="Arial" w:hAnsi="Arial"/>
          <w:sz w:val="16"/>
          <w:szCs w:val="16"/>
          <w:color w:val="auto"/>
        </w:rPr>
        <w:t>frequency, and we believe that these costs do not reflect expected ongoing future operating expenses and do not contribute to a meaningful evaluation of our current operating performance or comparisons of our operating performance to other periods.</w:t>
      </w:r>
    </w:p>
    <w:p>
      <w:pPr>
        <w:spacing w:after="0" w:line="52" w:lineRule="exact"/>
        <w:rPr>
          <w:rFonts w:ascii="Arial" w:cs="Arial" w:eastAsia="Arial" w:hAnsi="Arial"/>
          <w:sz w:val="16"/>
          <w:szCs w:val="16"/>
          <w:color w:val="auto"/>
        </w:rPr>
      </w:pPr>
    </w:p>
    <w:p>
      <w:pPr>
        <w:ind w:left="1060" w:right="60" w:hanging="343"/>
        <w:spacing w:after="0" w:line="259"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Restructuring and plant closure costs</w:t>
      </w:r>
      <w:r>
        <w:rPr>
          <w:rFonts w:ascii="Arial" w:cs="Arial" w:eastAsia="Arial" w:hAnsi="Arial"/>
          <w:sz w:val="18"/>
          <w:szCs w:val="18"/>
          <w:color w:val="auto"/>
        </w:rPr>
        <w:t>: We have excluded certain costs associated with facility closures as the amount and frequency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are not consistent. Additionally, we believe that these costs do not reflect expected ongoing future operating expenses and do not contribute to a meaningful evaluation of our current operating performance or comparisons of our operating performance to other periods.</w:t>
      </w:r>
    </w:p>
    <w:p>
      <w:pPr>
        <w:spacing w:after="0" w:line="92" w:lineRule="exact"/>
        <w:rPr>
          <w:rFonts w:ascii="Arial" w:cs="Arial" w:eastAsia="Arial" w:hAnsi="Arial"/>
          <w:sz w:val="18"/>
          <w:szCs w:val="18"/>
          <w:color w:val="auto"/>
        </w:rPr>
      </w:pPr>
    </w:p>
    <w:p>
      <w:pPr>
        <w:ind w:left="1060" w:hanging="333"/>
        <w:spacing w:after="0" w:line="259"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Separation costs</w:t>
      </w:r>
      <w:r>
        <w:rPr>
          <w:rFonts w:ascii="Arial" w:cs="Arial" w:eastAsia="Arial" w:hAnsi="Arial"/>
          <w:sz w:val="18"/>
          <w:szCs w:val="18"/>
          <w:color w:val="auto"/>
        </w:rPr>
        <w:t>: We have excluded certain expenses incurred to effect our separation from Post and to support our transition into a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stand-alone entity as the amount and frequency of such adjustments are not consistent. Additionally, we believe that these costs do not reflect expected ongoing future operating expenses and do not contribute to a meaningful evaluation of our current operating performance or comparisons of our operating performance to other periods.</w:t>
      </w:r>
    </w:p>
    <w:p>
      <w:pPr>
        <w:spacing w:after="0" w:line="92" w:lineRule="exact"/>
        <w:rPr>
          <w:rFonts w:ascii="Arial" w:cs="Arial" w:eastAsia="Arial" w:hAnsi="Arial"/>
          <w:sz w:val="18"/>
          <w:szCs w:val="18"/>
          <w:color w:val="auto"/>
        </w:rPr>
      </w:pPr>
    </w:p>
    <w:p>
      <w:pPr>
        <w:ind w:left="1060" w:right="20" w:hanging="343"/>
        <w:spacing w:after="0" w:line="264"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Provision for legal settlement</w:t>
      </w:r>
      <w:r>
        <w:rPr>
          <w:rFonts w:ascii="Arial" w:cs="Arial" w:eastAsia="Arial" w:hAnsi="Arial"/>
          <w:sz w:val="18"/>
          <w:szCs w:val="18"/>
          <w:color w:val="auto"/>
        </w:rPr>
        <w:t>: We have excluded losses recorded to recognize the anticipated or actual resolution of certain litigation as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such losses do not reflect expected ongoing future operating expense and do not contribute to a meaningful evaluation of our current operating performance or comparisons of our operating performance to other periods.</w:t>
      </w:r>
    </w:p>
    <w:p>
      <w:pPr>
        <w:spacing w:after="0" w:line="86" w:lineRule="exact"/>
        <w:rPr>
          <w:rFonts w:ascii="Arial" w:cs="Arial" w:eastAsia="Arial" w:hAnsi="Arial"/>
          <w:sz w:val="18"/>
          <w:szCs w:val="18"/>
          <w:color w:val="auto"/>
        </w:rPr>
      </w:pPr>
    </w:p>
    <w:p>
      <w:pPr>
        <w:ind w:left="1060" w:right="160" w:hanging="333"/>
        <w:spacing w:after="0" w:line="302" w:lineRule="auto"/>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Assets held for sale</w:t>
      </w:r>
      <w:r>
        <w:rPr>
          <w:rFonts w:ascii="Arial" w:cs="Arial" w:eastAsia="Arial" w:hAnsi="Arial"/>
          <w:sz w:val="16"/>
          <w:szCs w:val="16"/>
          <w:color w:val="auto"/>
        </w:rPr>
        <w:t>: We have excluded adjustments recorded to adjust the carrying value of facilities and other assets classified as held for</w:t>
      </w:r>
      <w:r>
        <w:rPr>
          <w:rFonts w:ascii="Arial" w:cs="Arial" w:eastAsia="Arial" w:hAnsi="Arial"/>
          <w:sz w:val="16"/>
          <w:szCs w:val="16"/>
          <w:i w:val="1"/>
          <w:iCs w:val="1"/>
          <w:color w:val="auto"/>
        </w:rPr>
        <w:t xml:space="preserve"> </w:t>
      </w:r>
      <w:r>
        <w:rPr>
          <w:rFonts w:ascii="Arial" w:cs="Arial" w:eastAsia="Arial" w:hAnsi="Arial"/>
          <w:sz w:val="16"/>
          <w:szCs w:val="16"/>
          <w:color w:val="auto"/>
        </w:rPr>
        <w:t>sale as such adjustments represent non-cash items and the amount and frequency of such adjustments are not consistent. Additionally, we believe that these adjustments do not reflect expected ongoing future operating expenses or income and do not contribute to a meaningful evaluation of our current operating performance or comparisons of our operating performance to other periods.</w:t>
      </w:r>
    </w:p>
    <w:p>
      <w:pPr>
        <w:spacing w:after="0" w:line="59" w:lineRule="exact"/>
        <w:rPr>
          <w:rFonts w:ascii="Arial" w:cs="Arial" w:eastAsia="Arial" w:hAnsi="Arial"/>
          <w:sz w:val="16"/>
          <w:szCs w:val="16"/>
          <w:color w:val="auto"/>
        </w:rPr>
      </w:pPr>
    </w:p>
    <w:p>
      <w:pPr>
        <w:ind w:left="1060" w:right="560" w:hanging="313"/>
        <w:spacing w:after="0" w:line="264"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Income tax</w:t>
      </w:r>
      <w:r>
        <w:rPr>
          <w:rFonts w:ascii="Arial" w:cs="Arial" w:eastAsia="Arial" w:hAnsi="Arial"/>
          <w:sz w:val="18"/>
          <w:szCs w:val="18"/>
          <w:color w:val="auto"/>
        </w:rPr>
        <w:t>: We have included the income tax impact of the non-GAAP adjustments using a rate described in the footnote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reconciliation tables below, as we believe that our GAAP effective income tax rate as reported is not representative of the income tax expense impact of the adjustments.</w:t>
      </w:r>
    </w:p>
    <w:p>
      <w:pPr>
        <w:spacing w:after="0" w:line="86" w:lineRule="exact"/>
        <w:rPr>
          <w:rFonts w:ascii="Arial" w:cs="Arial" w:eastAsia="Arial" w:hAnsi="Arial"/>
          <w:sz w:val="18"/>
          <w:szCs w:val="18"/>
          <w:color w:val="auto"/>
        </w:rPr>
      </w:pPr>
    </w:p>
    <w:p>
      <w:pPr>
        <w:ind w:left="1060" w:right="80" w:hanging="343"/>
        <w:spacing w:after="0" w:line="312" w:lineRule="auto"/>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U.S. tax reform net benefit</w:t>
      </w:r>
      <w:r>
        <w:rPr>
          <w:rFonts w:ascii="Arial" w:cs="Arial" w:eastAsia="Arial" w:hAnsi="Arial"/>
          <w:sz w:val="16"/>
          <w:szCs w:val="16"/>
          <w:color w:val="auto"/>
        </w:rPr>
        <w:t>: We have excluded the impact of the one-time income tax net benefit recorded in the first fiscal quarter of 2018</w:t>
      </w:r>
      <w:r>
        <w:rPr>
          <w:rFonts w:ascii="Arial" w:cs="Arial" w:eastAsia="Arial" w:hAnsi="Arial"/>
          <w:sz w:val="16"/>
          <w:szCs w:val="16"/>
          <w:i w:val="1"/>
          <w:iCs w:val="1"/>
          <w:color w:val="auto"/>
        </w:rPr>
        <w:t xml:space="preserve"> </w:t>
      </w:r>
      <w:r>
        <w:rPr>
          <w:rFonts w:ascii="Arial" w:cs="Arial" w:eastAsia="Arial" w:hAnsi="Arial"/>
          <w:sz w:val="16"/>
          <w:szCs w:val="16"/>
          <w:color w:val="auto"/>
        </w:rPr>
        <w:t>which reflected (i) the benefit related to an estimate of the remeasurement of our existing deferred tax assets and liabilities considering both our fiscal 2018 blended U.S. federal corporate income tax rate of 24.5% and a 21% rate for subsequent fiscal years and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60" w:firstLine="2"/>
        <w:spacing w:after="0" w:line="264" w:lineRule="auto"/>
        <w:tabs>
          <w:tab w:leader="none" w:pos="13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expense related to an estimate of a transition tax on unrepatriated foreign earnings. We believe that the net benefit as reported is not representative of our current income tax position and exclusion of the benefit allows for more meaningful comparisons of our operating performance to other periods.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believe that Adjusted EBITDA is useful to potential investors in evaluating our operating performance because (i) we believe it is widely used to measure a company’s operating performance without regard to items such as depreciation and amortization, which can vary depending upon accounting methods and the book value of assets, (ii) it presents a measure of corporate performance exclusive of our capital structure and the method by which the assets were acquired and (iii) it is a financial indicator of a company’s ability to service its debt, as we will be required to comply with certain covenants and limitations that are based on variations of EBITDA in our financing documents. Management anticipates that it will use Adjusted EBITDA to provide forward-looking guidance and to forecast future results.</w:t>
      </w:r>
    </w:p>
    <w:p>
      <w:pPr>
        <w:spacing w:after="0" w:line="193"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Adjusted EBITDA reflects adjustments for income tax expense (benefit), depreciation and amortization and the following adjustments discussed above: impairment of goodwill, restructuring and plant closure costs, separation costs, provision for legal settlement and assets held for sale. Additionally, Adjusted EBITDA reflects adjustments for the following item:</w:t>
      </w:r>
    </w:p>
    <w:p>
      <w:pPr>
        <w:spacing w:after="0" w:line="87" w:lineRule="exact"/>
        <w:rPr>
          <w:sz w:val="20"/>
          <w:szCs w:val="20"/>
          <w:color w:val="auto"/>
        </w:rPr>
      </w:pPr>
    </w:p>
    <w:p>
      <w:pPr>
        <w:ind w:left="1060" w:right="60" w:hanging="343"/>
        <w:spacing w:after="0" w:line="276"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Non-cash stock-based compensation</w:t>
      </w:r>
      <w:r>
        <w:rPr>
          <w:rFonts w:ascii="Arial" w:cs="Arial" w:eastAsia="Arial" w:hAnsi="Arial"/>
          <w:sz w:val="17"/>
          <w:szCs w:val="17"/>
          <w:color w:val="auto"/>
        </w:rPr>
        <w:t>: Our compensation strategy has included the use of Post stock-based compensation to attract and retain</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executives and employees by aligning their long-term compensation interests with Post’s shareholders’ investment interests. We have excluded non-cash stock-based compensation because it can vary significantly based on reasons such as the timing, size and nature of the awards granted and subjective assumptions which are unrelated to operational decisions and performance in any particular period and do not contribute to meaningful comparisons of our operating performance to other periods.</w:t>
      </w:r>
    </w:p>
    <w:p>
      <w:pPr>
        <w:spacing w:after="0" w:line="19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5"/>
              </w:rPr>
              <w:t>Active Nutrition</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gridSpan w:val="6"/>
          </w:tcPr>
          <w:p>
            <w:pPr>
              <w:jc w:val="center"/>
              <w:ind w:right="240"/>
              <w:spacing w:after="0" w:line="119" w:lineRule="exact"/>
              <w:rPr>
                <w:sz w:val="20"/>
                <w:szCs w:val="20"/>
                <w:color w:val="auto"/>
              </w:rPr>
            </w:pPr>
            <w:r>
              <w:rPr>
                <w:rFonts w:ascii="Arial" w:cs="Arial" w:eastAsia="Arial" w:hAnsi="Arial"/>
                <w:sz w:val="13"/>
                <w:szCs w:val="13"/>
                <w:b w:val="1"/>
                <w:bCs w:val="1"/>
                <w:color w:val="auto"/>
              </w:rPr>
              <w:t>Nine Months Ended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4"/>
          </w:tcPr>
          <w:p>
            <w:pPr>
              <w:jc w:val="center"/>
              <w:ind w:left="253"/>
              <w:spacing w:after="0" w:line="149" w:lineRule="exact"/>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left="253"/>
              <w:spacing w:after="0"/>
              <w:rPr>
                <w:sz w:val="20"/>
                <w:szCs w:val="20"/>
                <w:color w:val="auto"/>
              </w:rPr>
            </w:pPr>
            <w:r>
              <w:rPr>
                <w:rFonts w:ascii="Arial" w:cs="Arial" w:eastAsia="Arial" w:hAnsi="Arial"/>
                <w:sz w:val="14"/>
                <w:szCs w:val="14"/>
                <w:b w:val="1"/>
                <w:bCs w:val="1"/>
                <w:color w:val="auto"/>
                <w:w w:val="94"/>
              </w:rPr>
              <w:t>(unaudited)</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gridSpan w:val="2"/>
            <w:vMerge w:val="continue"/>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2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goodwill</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Restructuring and plant closure costs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Separation costs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Provision for legal settlement</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held for sale</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Total Net Adjustments</w:t>
            </w:r>
          </w:p>
        </w:tc>
        <w:tc>
          <w:tcPr>
            <w:tcW w:w="2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tax effect on adjustments</w:t>
            </w:r>
            <w:r>
              <w:rPr>
                <w:rFonts w:ascii="Arial" w:cs="Arial" w:eastAsia="Arial" w:hAnsi="Arial"/>
                <w:sz w:val="15"/>
                <w:szCs w:val="15"/>
                <w:color w:val="auto"/>
              </w:rPr>
              <w:t>(1)</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U.S. tax reform net benefit</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Earnings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r>
              <w:rPr>
                <w:rFonts w:ascii="Arial" w:cs="Arial" w:eastAsia="Arial" w:hAnsi="Arial"/>
                <w:sz w:val="18"/>
                <w:szCs w:val="18"/>
                <w:u w:val="single" w:color="auto"/>
                <w:color w:val="auto"/>
              </w:rPr>
              <w:t>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Earnings</w:t>
            </w:r>
          </w:p>
        </w:tc>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20" w:type="dxa"/>
            <w:vAlign w:val="bottom"/>
            <w:gridSpan w:val="2"/>
            <w:vMerge w:val="continue"/>
          </w:tcPr>
          <w:p>
            <w:pPr>
              <w:spacing w:after="0"/>
              <w:rPr>
                <w:sz w:val="24"/>
                <w:szCs w:val="24"/>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96.4</w:t>
            </w:r>
          </w:p>
        </w:tc>
        <w:tc>
          <w:tcPr>
            <w:tcW w:w="180" w:type="dxa"/>
            <w:vAlign w:val="bottom"/>
          </w:tcPr>
          <w:p>
            <w:pPr>
              <w:spacing w:after="0"/>
              <w:rPr>
                <w:sz w:val="24"/>
                <w:szCs w:val="24"/>
                <w:color w:val="auto"/>
              </w:rPr>
            </w:pP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69.7</w:t>
            </w:r>
          </w:p>
        </w:tc>
        <w:tc>
          <w:tcPr>
            <w:tcW w:w="8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96.1</w:t>
            </w:r>
          </w:p>
        </w:tc>
        <w:tc>
          <w:tcPr>
            <w:tcW w:w="14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Restructuring and plant closure costs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Separation costs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legal settlement</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Assets held for sale</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80" w:type="dxa"/>
            <w:vAlign w:val="bottom"/>
            <w:vMerge w:val="restart"/>
          </w:tcPr>
          <w:p>
            <w:pPr>
              <w:jc w:val="right"/>
              <w:ind w:right="610"/>
              <w:spacing w:after="0"/>
              <w:rPr>
                <w:sz w:val="20"/>
                <w:szCs w:val="20"/>
                <w:color w:val="auto"/>
              </w:rPr>
            </w:pPr>
            <w:r>
              <w:rPr>
                <w:rFonts w:ascii="Arial" w:cs="Arial" w:eastAsia="Arial" w:hAnsi="Arial"/>
                <w:sz w:val="18"/>
                <w:szCs w:val="18"/>
                <w:color w:val="auto"/>
              </w:rPr>
              <w:t>72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7632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line="291" w:lineRule="auto"/>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 the nine months ended June 30, 2019, income tax effect on adjustments was calculated using a rate of 23.8%, the sum of the Company’s fiscal 2019 U.S. federal corporate income tax rate plus its blended state income tax rate net of federal deductions. For the nine months ended June 30, 2018 and the year ended September 30, 2018, income tax effect on adjustments was calculated using a rate of 27.2%, the sum of the Company’s fiscal 2018 blended U.S. federal corporate income tax rate plus its blended state income tax rate. For the year ended September 30, 2017, income tax effect on adjustments was calculated using a rate of 37.7%, the sum of the Company’s fiscal 2017 U.S. federal corporate income tax rate plus its blended state income tax rate. For the year ended September 30, 2016, income tax effect on adjustments was calculated using a rate of 37.3%, the sum of the Company’s fiscal 2016 U.S. federal corporate income tax rate plus its blended state income tax rate.</w:t>
      </w:r>
    </w:p>
    <w:p>
      <w:pPr>
        <w:spacing w:after="0" w:line="10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60"/>
          </w:cols>
          <w:pgMar w:left="240" w:top="459"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CONDENSED CONSOLIDATED FINANCIAL INFORMATION</w:t>
      </w:r>
    </w:p>
    <w:p>
      <w:pPr>
        <w:spacing w:after="0" w:line="229"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The following unaudited pro forma condensed consolidated balance sheet and statements of operations have been prepared to reflect (i) the formation transactions described in “Prospectus Summary—Formation Transactions,” including the issuance of one share of our Class B common stock and 97,474,179 BellRing Brands, LLC Units to Post; (ii) the sale of 30,000,000 shares of our Class A common stock in this offering, at an assumed initial public offering price of $17.50 per share (which is the midpoint of the estimated offering price range set forth on the cover page of this prospectus) and assuming no exercise by the underwriters of their over-allotment option to purchase additional shares of our Class A common stock; and</w:t>
      </w:r>
    </w:p>
    <w:p>
      <w:pPr>
        <w:spacing w:after="0" w:line="2" w:lineRule="exact"/>
        <w:rPr>
          <w:sz w:val="20"/>
          <w:szCs w:val="20"/>
          <w:color w:val="auto"/>
        </w:rPr>
      </w:pPr>
    </w:p>
    <w:p>
      <w:pPr>
        <w:ind w:left="200" w:right="240" w:firstLine="4"/>
        <w:spacing w:after="0" w:line="292" w:lineRule="auto"/>
        <w:tabs>
          <w:tab w:leader="none" w:pos="51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entry of BellRing Brands, LLC into the debt facilities, its borrowing under the term loan facility and the revolving credit facility and the application of the net proceeds of this offering and the debt facilities to repay the remaining balance of the Post bridge loan and all interest thereunder and for the other purposes described under “Use of Proceeds.” The unaudited pro forma condensed consolidated balance sheet at June 30, 2019 is presented as if each of these events had occurred at June 30, 2019. The unaudited pro forma condensed consolidated statements of operations for the year ended September 30, 2018 and the nine months ended June 30, 2019 are presented as if each of these events had occurred on October 1, 2017.</w:t>
      </w:r>
    </w:p>
    <w:p>
      <w:pPr>
        <w:spacing w:after="0" w:line="163"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unaudited pro forma condensed consolidated financial statements are based upon Post’s Active Nutrition business’s historical combined financial statements for each period presented. In the opinion of management, all adjustments necessary for a fair statement of the pro forma data have been made. The unaudited pro forma condensed consolidated financial statements are provided for informational purposes only. The unaudited pro forma condensed consolidated balance sheet does not purport to reflect what our financial condition would have been had the formation transactions and the application of the proceeds of this offering and the debt facilities closed on June 30, 2019 or for any future or historical period. The unaudited pro forma condensed consolidated statements of operations are not necessarily indicative of operating results that would have been achieved had the formation transactions and the application of the proceeds of this offering and the debt facilities been completed on October 1, 2017, and do not intend to project our future financial results after the formation transactions and the application of the proceeds of this offering and the debt facilities. The unaudited pro forma condensed consolidated balance sheet and statements of operations are based on certain assumptions, described in the accompanying notes, which management believes are reasonable. Adjustments reflected in the unaudited pro forma condensed consolidated balance sheet give effect to events that are directly attributable to the transactions above and are factually supportable. Adjustments reflected in the unaudited pro forma condensed consolidated statements of operations include those items that are directly attributable to the transactions above, factually supportable and expected to have a continuing impact.</w:t>
      </w:r>
    </w:p>
    <w:p>
      <w:pPr>
        <w:spacing w:after="0" w:line="188"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As described under “Certain Relationships and Related Party Transactions—Post-Offering Relationship with Post—Tax Receivable Agreement,” upon the completion of the formation transactions, BellRing Brands, Inc. will enter into the tax receivable agreement with Post and BellRing Brands, LLC. Under the tax receivable agreement, we will be required to make cash payments to Post (or certain of its transferees or other assignees) equal to 85% of the amount of cash savings, if any, in U.S. federal income tax, as well as state and local income tax and franchise tax (using an assumed tax rate on a base equal to the U.S. federal taxable income of BellRing Brands, Inc.), that we realize (or, in some circumstances, we are deemed to realize) as a result of (a) the increase in the tax basis of the assets of BellRing Brands, LLC attributable to (i) the redemption of BellRing Brands, LLC Units by Post (or certain of its transferees or assignees) pursuant to the amended and restated limited liability company agreement, (ii) deemed sales by Post (or certain of its transferees or assignees) of BellRing Brands, LLC Units or assets to BellRing Brands, Inc. or BellRing Brands, LLC, (iii) certain actual or deemed distributions from BellRing Brands, LLC to Post (or certain of its transferees or assignees) and (iv) certain formation transactions, (b) disproportionate allocations of tax benefits to BellRing Brands, Inc. as a result of Section 704(c) of the Code and (c) certain tax benefits (e.g., basis adjustments, deductions, etc.) attributable to payments under the tax receivable agreement. Post has advised us that, except under the circumstances described under “Use of Proceeds,” it has no definitive plans to exit its interests in BellRing Brands, Inc. or BellRing Brands, LLC, and it does not currently expect that any such exit would include the redemption of its BellRing</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3" w:lineRule="auto"/>
        <w:rPr>
          <w:sz w:val="20"/>
          <w:szCs w:val="20"/>
          <w:color w:val="auto"/>
        </w:rPr>
      </w:pPr>
      <w:r>
        <w:rPr>
          <w:rFonts w:ascii="Arial" w:cs="Arial" w:eastAsia="Arial" w:hAnsi="Arial"/>
          <w:sz w:val="16"/>
          <w:szCs w:val="16"/>
          <w:color w:val="auto"/>
        </w:rPr>
        <w:t>Brands, LLC Units, as described above, due to unfavorable tax consequences that it could incur as a result, particularly in light of the availability of more tax-efficient exit alternatives—including tax-free “spin-off” or “split-off” transactions (which are not expected to result in adjustments to the tax basis of the assets of BellRing Brands, LLC). Due to the uncertainty in the amount and timing of future redemptions of BellRing Brands, LLC Units by Post (or its transferees or assignees), no increases in tax basis in BellRing Brands, LLC’s assets or other tax benefits that may be realized thereunder have been assumed in the unaudited pro forma condensed consolidated financial information. However, if Post (and its transferees and assignees) redeemed all of its BellRing Brands, LLC Units, we would recognize a deferred tax asset of approximately $860.6 million and a liability of approximately $731.5 million, assuming (i) all redemptions occurred immediately after this offering; (ii) a price of $17.50 per share (the midpoint of the estimated offering price range set forth on the cover page of this prospectus); (iii) a constant corporate tax rate of 25.0%; (iv) we will have sufficient taxable income to fully utilize the tax benefits; and (v) no material changes in tax law. For each 5% increase (decrease) in the amount of BellRing Brands, LLC Units redeemed by Post (and its transferees and assignees), our deferred tax asset would increase (decrease) by approximately</w:t>
      </w:r>
    </w:p>
    <w:p>
      <w:pPr>
        <w:spacing w:after="0" w:line="6" w:lineRule="exact"/>
        <w:rPr>
          <w:sz w:val="20"/>
          <w:szCs w:val="20"/>
          <w:color w:val="auto"/>
        </w:rPr>
      </w:pPr>
    </w:p>
    <w:p>
      <w:pPr>
        <w:ind w:left="200" w:right="40"/>
        <w:spacing w:after="0" w:line="288" w:lineRule="auto"/>
        <w:rPr>
          <w:sz w:val="20"/>
          <w:szCs w:val="20"/>
          <w:color w:val="auto"/>
        </w:rPr>
      </w:pPr>
      <w:r>
        <w:rPr>
          <w:rFonts w:ascii="Arial" w:cs="Arial" w:eastAsia="Arial" w:hAnsi="Arial"/>
          <w:sz w:val="16"/>
          <w:szCs w:val="16"/>
          <w:color w:val="auto"/>
        </w:rPr>
        <w:t>$43.0 million and the related liability would increase (decrease) by approximately $36.6 million, assuming that the price per share and corporate tax rate remain the same. For each $1.00 increase (decrease) in the assumed share price of $17.50 per share (the midpoint of the estimated offering price range set forth on the cover page of this prospectus), our deferred tax asset would increase (decrease) by approximately $31.5 million and the related liability would increase (decrease) by approximately $26.8 million, assuming that the number of BellRing Brands, LLC Units redeemed by Post (and its transferees and assignees) and the corporate tax rate remain the same. These amounts are estimates and have been prepared for informational purposes only. The actual amount of deferred tax assets and related liabilities that we will recognize will differ based on, among other things, the timing of the redemptions, the price of our shares of Class A common stock at the time of the redemption and the tax rates then in effect.</w:t>
      </w:r>
    </w:p>
    <w:p>
      <w:pPr>
        <w:spacing w:after="0" w:line="169"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The tax receivable agreement will provide that, upon a merger, asset sale or other form of business combination or certain other changes of control (which would not include a distribution by Post of its beneficial retained interest in BellRing Brands, LLC by means of a spin-off to its shareholders), or if, at any time, we elect an early termination of the tax receivable agreement or materially breach any of our material obligations under the tax receivable agreement, our (or our successor’s) future obligations under the tax receivable agreement would accelerate and become due and payable based on certain assumptions, including that we would have sufficient taxable income to fully utilize all potential future tax benefits that are subject to the tax receivable agreement, and that, as of the effective date of the acceleration, any BellRing Brands, LLC Units that Post (or its transferees or assignees) has not yet redeemed will be deemed to have been redeemed by Post (and its transferees and assignees) for an amount based on the closing trading price of our Class A common stock at the time of termination. The present value of such tax benefit payments are discounted at a rate equal to the lesser of (i)</w:t>
      </w:r>
    </w:p>
    <w:p>
      <w:pPr>
        <w:spacing w:after="0" w:line="1" w:lineRule="exact"/>
        <w:rPr>
          <w:sz w:val="20"/>
          <w:szCs w:val="20"/>
          <w:color w:val="auto"/>
        </w:rPr>
      </w:pPr>
    </w:p>
    <w:p>
      <w:pPr>
        <w:ind w:left="200" w:right="80"/>
        <w:spacing w:after="0" w:line="265" w:lineRule="auto"/>
        <w:rPr>
          <w:sz w:val="20"/>
          <w:szCs w:val="20"/>
          <w:color w:val="auto"/>
        </w:rPr>
      </w:pPr>
      <w:r>
        <w:rPr>
          <w:rFonts w:ascii="Arial" w:cs="Arial" w:eastAsia="Arial" w:hAnsi="Arial"/>
          <w:sz w:val="17"/>
          <w:szCs w:val="17"/>
          <w:color w:val="auto"/>
        </w:rPr>
        <w:t>6.50% per annum, compounded annually and (ii) LIBOR plus 300 basis points. If we were to elect to terminate the tax receivable agreement immediately after this offering, based on the assumed initial public offering price of $17.50 per share of our Class A common stock (the midpoint of the estimated offering price range set forth on the cover page of this prospectus), we estimate that we would be required to pay approximately</w:t>
      </w:r>
    </w:p>
    <w:p>
      <w:pPr>
        <w:spacing w:after="0" w:line="1"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$560.9 million in the aggregate under the tax receivable agreement. This amount is an estimate and has been prepared for informational purposes only. The actual amount will differ based on, among other things, the price of our shares of Class A common stock at the time of any such termination and the tax rates then in effect.</w:t>
      </w:r>
    </w:p>
    <w:p>
      <w:pPr>
        <w:spacing w:after="0" w:line="190"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Following this offering, we will incur costs associated with being a U.S. publicly traded company. Such costs will include new or increased expenses for such items as insurance, directors’ fees, accounting work, legal advice and compliance with applicable U.S. regulatory and stock exchange requirements, including costs associated with compliance with Sarbanes-Oxley and periodic or current reporting obligations under the Exchange Act. We have not made any pro forma adjustments to reflect such costs because they currently are not objectively determinable.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unaudited pro forma condensed consolidated financial statements and the notes thereto should be read together with the following:</w:t>
      </w:r>
    </w:p>
    <w:p>
      <w:pPr>
        <w:spacing w:after="0" w:line="142" w:lineRule="exact"/>
        <w:rPr>
          <w:sz w:val="20"/>
          <w:szCs w:val="20"/>
          <w:color w:val="auto"/>
        </w:rPr>
      </w:pPr>
    </w:p>
    <w:p>
      <w:pPr>
        <w:ind w:left="1180" w:right="140" w:hanging="419"/>
        <w:spacing w:after="0" w:line="27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audited combined financial statements and the notes thereto of Post’s Active Nutrition business as of September 30, 2018 and 2017 and for the three fiscal years ended September 30, 2018 included in this prospectus;</w:t>
      </w:r>
    </w:p>
    <w:p>
      <w:pPr>
        <w:spacing w:after="0" w:line="75" w:lineRule="exact"/>
        <w:rPr>
          <w:rFonts w:ascii="Arial" w:cs="Arial" w:eastAsia="Arial" w:hAnsi="Arial"/>
          <w:sz w:val="18"/>
          <w:szCs w:val="18"/>
          <w:color w:val="auto"/>
        </w:rPr>
      </w:pPr>
    </w:p>
    <w:p>
      <w:pPr>
        <w:ind w:left="1180" w:hanging="430"/>
        <w:spacing w:after="0" w:line="308" w:lineRule="auto"/>
        <w:tabs>
          <w:tab w:leader="none" w:pos="1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unaudited condensed combined financial statements and the notes thereto of Post’s Active Nutrition business as of June 30, 2019 and September 30, 2018 and for the nine months ended June 30, 2019 and 2018 included in this prospectus; and</w:t>
      </w:r>
    </w:p>
    <w:p>
      <w:pPr>
        <w:spacing w:after="0" w:line="51" w:lineRule="exact"/>
        <w:rPr>
          <w:rFonts w:ascii="Arial" w:cs="Arial" w:eastAsia="Arial" w:hAnsi="Arial"/>
          <w:sz w:val="17"/>
          <w:szCs w:val="17"/>
          <w:color w:val="auto"/>
        </w:rPr>
      </w:pPr>
    </w:p>
    <w:p>
      <w:pPr>
        <w:ind w:left="1180" w:hanging="419"/>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 included in this prospectus.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80"/>
          </w:cols>
          <w:pgMar w:left="240" w:top="459" w:right="5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2019</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 in millions)</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62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Active Nutrition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1520" w:type="dxa"/>
            <w:vAlign w:val="bottom"/>
            <w:gridSpan w:val="4"/>
          </w:tcPr>
          <w:p>
            <w:pPr>
              <w:ind w:left="340"/>
              <w:spacing w:after="0"/>
              <w:rPr>
                <w:sz w:val="20"/>
                <w:szCs w:val="20"/>
                <w:color w:val="auto"/>
              </w:rPr>
            </w:pPr>
            <w:r>
              <w:rPr>
                <w:rFonts w:ascii="Arial" w:cs="Arial" w:eastAsia="Arial" w:hAnsi="Arial"/>
                <w:sz w:val="14"/>
                <w:szCs w:val="14"/>
                <w:b w:val="1"/>
                <w:bCs w:val="1"/>
                <w:color w:val="auto"/>
              </w:rPr>
              <w:t>BellRing Brands,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Historical</w:t>
            </w:r>
          </w:p>
        </w:tc>
        <w:tc>
          <w:tcPr>
            <w:tcW w:w="2160" w:type="dxa"/>
            <w:vAlign w:val="bottom"/>
            <w:gridSpan w:val="4"/>
          </w:tcPr>
          <w:p>
            <w:pPr>
              <w:ind w:left="160"/>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(a)</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Assets</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70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900" w:type="dxa"/>
            <w:vAlign w:val="bottom"/>
            <w:gridSpan w:val="2"/>
          </w:tcPr>
          <w:p>
            <w:pPr>
              <w:ind w:left="600"/>
              <w:spacing w:after="0"/>
              <w:rPr>
                <w:sz w:val="20"/>
                <w:szCs w:val="20"/>
                <w:color w:val="auto"/>
              </w:rPr>
            </w:pPr>
            <w:r>
              <w:rPr>
                <w:rFonts w:ascii="Arial" w:cs="Arial" w:eastAsia="Arial" w:hAnsi="Arial"/>
                <w:sz w:val="18"/>
                <w:szCs w:val="18"/>
                <w:color w:val="auto"/>
              </w:rPr>
              <w:t>6.1</w:t>
            </w:r>
            <w:r>
              <w:rPr>
                <w:rFonts w:ascii="Arial" w:cs="Arial" w:eastAsia="Arial" w:hAnsi="Arial"/>
                <w:sz w:val="15"/>
                <w:szCs w:val="15"/>
                <w:color w:val="auto"/>
              </w:rPr>
              <w:t>(b)(c)(d)(g)</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Receivables,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Prepaids and other current assets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106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Property,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ind w:left="600"/>
              <w:spacing w:after="0"/>
              <w:rPr>
                <w:sz w:val="20"/>
                <w:szCs w:val="20"/>
                <w:color w:val="auto"/>
              </w:rPr>
            </w:pPr>
            <w:r>
              <w:rPr>
                <w:rFonts w:ascii="Arial" w:cs="Arial" w:eastAsia="Arial" w:hAnsi="Arial"/>
                <w:sz w:val="18"/>
                <w:szCs w:val="18"/>
                <w:color w:val="auto"/>
              </w:rPr>
              <w:t>1.1</w:t>
            </w:r>
            <w:r>
              <w:rPr>
                <w:rFonts w:ascii="Arial" w:cs="Arial" w:eastAsia="Arial" w:hAnsi="Arial"/>
                <w:sz w:val="15"/>
                <w:szCs w:val="15"/>
                <w:color w:val="auto"/>
              </w:rPr>
              <w:t>(b)</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Current portion of long-term debt</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8.2</w:t>
            </w:r>
            <w:r>
              <w:rPr>
                <w:rFonts w:ascii="Arial" w:cs="Arial" w:eastAsia="Arial" w:hAnsi="Arial"/>
                <w:sz w:val="15"/>
                <w:szCs w:val="15"/>
                <w:color w:val="auto"/>
              </w:rPr>
              <w:t>(b)</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liabilities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106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827.5</w:t>
            </w:r>
            <w:r>
              <w:rPr>
                <w:rFonts w:ascii="Arial" w:cs="Arial" w:eastAsia="Arial" w:hAnsi="Arial"/>
                <w:sz w:val="15"/>
                <w:szCs w:val="15"/>
                <w:color w:val="auto"/>
              </w:rPr>
              <w:t>(b)</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ind w:left="600"/>
              <w:spacing w:after="0"/>
              <w:rPr>
                <w:sz w:val="20"/>
                <w:szCs w:val="20"/>
                <w:color w:val="auto"/>
              </w:rPr>
            </w:pPr>
            <w:r>
              <w:rPr>
                <w:rFonts w:ascii="Arial" w:cs="Arial" w:eastAsia="Arial" w:hAnsi="Arial"/>
                <w:sz w:val="18"/>
                <w:szCs w:val="18"/>
                <w:color w:val="auto"/>
              </w:rPr>
              <w:t>0.7</w:t>
            </w:r>
            <w:r>
              <w:rPr>
                <w:rFonts w:ascii="Arial" w:cs="Arial" w:eastAsia="Arial" w:hAnsi="Arial"/>
                <w:sz w:val="15"/>
                <w:szCs w:val="15"/>
                <w:color w:val="auto"/>
              </w:rPr>
              <w:t>(e)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12.5</w:t>
            </w:r>
            <w:r>
              <w:rPr>
                <w:rFonts w:ascii="Arial" w:cs="Arial" w:eastAsia="Arial" w:hAnsi="Arial"/>
                <w:sz w:val="15"/>
                <w:szCs w:val="15"/>
                <w:color w:val="auto"/>
              </w:rPr>
              <w:t>(f)</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1060"/>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848.9</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ind w:left="280"/>
              <w:spacing w:after="0"/>
              <w:rPr>
                <w:sz w:val="20"/>
                <w:szCs w:val="20"/>
                <w:color w:val="auto"/>
              </w:rPr>
            </w:pPr>
            <w:r>
              <w:rPr>
                <w:rFonts w:ascii="Arial" w:cs="Arial" w:eastAsia="Arial" w:hAnsi="Arial"/>
                <w:sz w:val="18"/>
                <w:szCs w:val="18"/>
                <w:color w:val="auto"/>
              </w:rPr>
              <w:t>1,705.8</w:t>
            </w:r>
            <w:r>
              <w:rPr>
                <w:rFonts w:ascii="Arial" w:cs="Arial" w:eastAsia="Arial" w:hAnsi="Arial"/>
                <w:sz w:val="15"/>
                <w:szCs w:val="15"/>
                <w:color w:val="auto"/>
              </w:rPr>
              <w:t>(a)</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700"/>
              <w:spacing w:after="0"/>
              <w:rPr>
                <w:sz w:val="20"/>
                <w:szCs w:val="20"/>
                <w:color w:val="auto"/>
              </w:rPr>
            </w:pPr>
            <w:r>
              <w:rPr>
                <w:rFonts w:ascii="Arial" w:cs="Arial" w:eastAsia="Arial" w:hAnsi="Arial"/>
                <w:sz w:val="18"/>
                <w:szCs w:val="18"/>
                <w:color w:val="auto"/>
              </w:rPr>
              <w:t>Common stock:</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5"/>
              </w:rPr>
              <w:t>Class A, par value $0.01 per share; actual: No shares authorized,</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issued and outstanding as of June 30, 2019; as adjusted:</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6"/>
              </w:rPr>
              <w:t>500,000,000 shares authorized, 30,000,000 shares issued and</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outstanding</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0.3</w:t>
            </w:r>
            <w:r>
              <w:rPr>
                <w:rFonts w:ascii="Arial" w:cs="Arial" w:eastAsia="Arial" w:hAnsi="Arial"/>
                <w:sz w:val="15"/>
                <w:szCs w:val="15"/>
                <w:color w:val="auto"/>
              </w:rPr>
              <w:t>(a)(c)</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tcPr>
          <w:p>
            <w:pPr>
              <w:ind w:left="700"/>
              <w:spacing w:after="0" w:line="201" w:lineRule="exact"/>
              <w:rPr>
                <w:sz w:val="20"/>
                <w:szCs w:val="20"/>
                <w:color w:val="auto"/>
              </w:rPr>
            </w:pPr>
            <w:r>
              <w:rPr>
                <w:rFonts w:ascii="Arial" w:cs="Arial" w:eastAsia="Arial" w:hAnsi="Arial"/>
                <w:sz w:val="18"/>
                <w:szCs w:val="18"/>
                <w:color w:val="auto"/>
                <w:w w:val="95"/>
              </w:rPr>
              <w:t>Class B, par value $0.01 per share; actual: No shares authorized,</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880"/>
              <w:spacing w:after="0"/>
              <w:rPr>
                <w:sz w:val="20"/>
                <w:szCs w:val="20"/>
                <w:color w:val="auto"/>
              </w:rPr>
            </w:pPr>
            <w:r>
              <w:rPr>
                <w:rFonts w:ascii="Arial" w:cs="Arial" w:eastAsia="Arial" w:hAnsi="Arial"/>
                <w:sz w:val="18"/>
                <w:szCs w:val="18"/>
                <w:color w:val="auto"/>
                <w:w w:val="98"/>
              </w:rPr>
              <w:t>issued and outstanding as of June 30, 2019; as adjusted: one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880"/>
              <w:spacing w:after="0"/>
              <w:rPr>
                <w:sz w:val="20"/>
                <w:szCs w:val="20"/>
                <w:color w:val="auto"/>
              </w:rPr>
            </w:pPr>
            <w:r>
              <w:rPr>
                <w:rFonts w:ascii="Arial" w:cs="Arial" w:eastAsia="Arial" w:hAnsi="Arial"/>
                <w:sz w:val="18"/>
                <w:szCs w:val="18"/>
                <w:color w:val="auto"/>
              </w:rPr>
              <w:t>share authorized, issued and outstanding</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(a)(c)</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Preferred stock, par value $0.01 per share; 50,000,000 shares</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7"/>
              </w:rPr>
              <w:t>authorized, no shares issued and outstanding actual and pro forma</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(a)(c)</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parent investment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(492.8)</w:t>
            </w:r>
            <w:r>
              <w:rPr>
                <w:rFonts w:ascii="Arial" w:cs="Arial" w:eastAsia="Arial" w:hAnsi="Arial"/>
                <w:sz w:val="15"/>
                <w:szCs w:val="15"/>
                <w:color w:val="auto"/>
              </w:rPr>
              <w:t>(a)</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(2,055.0)</w:t>
            </w:r>
            <w:r>
              <w:rPr>
                <w:rFonts w:ascii="Arial" w:cs="Arial" w:eastAsia="Arial" w:hAnsi="Arial"/>
                <w:sz w:val="15"/>
                <w:szCs w:val="15"/>
                <w:color w:val="auto"/>
              </w:rPr>
              <w:t>(b)(c)(d)(f)</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1060"/>
              <w:spacing w:after="0"/>
              <w:rPr>
                <w:sz w:val="20"/>
                <w:szCs w:val="20"/>
                <w:color w:val="auto"/>
              </w:rPr>
            </w:pPr>
            <w:r>
              <w:rPr>
                <w:rFonts w:ascii="Arial" w:cs="Arial" w:eastAsia="Arial" w:hAnsi="Arial"/>
                <w:sz w:val="18"/>
                <w:szCs w:val="18"/>
                <w:color w:val="auto"/>
              </w:rPr>
              <w:t>Total Stockholders’ Equity</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(2,547.5)</w:t>
            </w: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Total Liabilities and Stockholders’ Equity</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Unaudited Pro Forma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240" w:top="459" w:right="4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NINE MONTHS ENDED JUNE 30, 2019</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 in millions)</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60" w:type="dxa"/>
            <w:vAlign w:val="bottom"/>
            <w:gridSpan w:val="3"/>
            <w:vMerge w:val="restart"/>
          </w:tcPr>
          <w:p>
            <w:pPr>
              <w:ind w:left="1060"/>
              <w:spacing w:after="0"/>
              <w:rPr>
                <w:sz w:val="20"/>
                <w:szCs w:val="20"/>
                <w:color w:val="auto"/>
              </w:rPr>
            </w:pPr>
            <w:r>
              <w:rPr>
                <w:rFonts w:ascii="Arial" w:cs="Arial" w:eastAsia="Arial" w:hAnsi="Arial"/>
                <w:sz w:val="14"/>
                <w:szCs w:val="14"/>
                <w:b w:val="1"/>
                <w:bCs w:val="1"/>
                <w:color w:val="auto"/>
                <w:w w:val="93"/>
              </w:rPr>
              <w:t>Active Nutrition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97"/>
              </w:rPr>
              <w:t>Pro Forma</w:t>
            </w:r>
          </w:p>
        </w:tc>
        <w:tc>
          <w:tcPr>
            <w:tcW w:w="1640" w:type="dxa"/>
            <w:vAlign w:val="bottom"/>
            <w:gridSpan w:val="4"/>
          </w:tcPr>
          <w:p>
            <w:pPr>
              <w:ind w:left="340"/>
              <w:spacing w:after="0"/>
              <w:rPr>
                <w:sz w:val="20"/>
                <w:szCs w:val="20"/>
                <w:color w:val="auto"/>
              </w:rPr>
            </w:pPr>
            <w:r>
              <w:rPr>
                <w:rFonts w:ascii="Arial" w:cs="Arial" w:eastAsia="Arial" w:hAnsi="Arial"/>
                <w:sz w:val="14"/>
                <w:szCs w:val="14"/>
                <w:b w:val="1"/>
                <w:bCs w:val="1"/>
                <w:color w:val="auto"/>
              </w:rPr>
              <w:t>BellRing Brands,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11"/>
              <w:spacing w:after="0"/>
              <w:rPr>
                <w:sz w:val="20"/>
                <w:szCs w:val="20"/>
                <w:color w:val="auto"/>
              </w:rPr>
            </w:pPr>
            <w:r>
              <w:rPr>
                <w:rFonts w:ascii="Arial" w:cs="Arial" w:eastAsia="Arial" w:hAnsi="Arial"/>
                <w:sz w:val="14"/>
                <w:szCs w:val="14"/>
                <w:b w:val="1"/>
                <w:bCs w:val="1"/>
                <w:color w:val="auto"/>
              </w:rPr>
              <w:t>Historical</w:t>
            </w:r>
          </w:p>
        </w:tc>
        <w:tc>
          <w:tcPr>
            <w:tcW w:w="2200" w:type="dxa"/>
            <w:vAlign w:val="bottom"/>
            <w:gridSpan w:val="4"/>
          </w:tcPr>
          <w:p>
            <w:pPr>
              <w:ind w:left="700"/>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(a)</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Cost of goods sold</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404.8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(4.0)</w:t>
            </w:r>
            <w:r>
              <w:rPr>
                <w:rFonts w:ascii="Arial" w:cs="Arial" w:eastAsia="Arial" w:hAnsi="Arial"/>
                <w:sz w:val="15"/>
                <w:szCs w:val="15"/>
                <w:color w:val="auto"/>
              </w:rPr>
              <w:t>(h)</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3"/>
              </w:rPr>
              <w:t>34.3</w:t>
            </w:r>
            <w:r>
              <w:rPr>
                <w:rFonts w:ascii="Arial" w:cs="Arial" w:eastAsia="Arial" w:hAnsi="Arial"/>
                <w:sz w:val="15"/>
                <w:szCs w:val="15"/>
                <w:color w:val="auto"/>
                <w:w w:val="93"/>
              </w:rPr>
              <w:t>(b)</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Earnings before Income Taxes</w:t>
            </w:r>
          </w:p>
        </w:tc>
        <w:tc>
          <w:tcPr>
            <w:tcW w:w="1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4"/>
              </w:rPr>
              <w:t>(24.7)</w:t>
            </w:r>
            <w:r>
              <w:rPr>
                <w:rFonts w:ascii="Arial" w:cs="Arial" w:eastAsia="Arial" w:hAnsi="Arial"/>
                <w:sz w:val="15"/>
                <w:szCs w:val="15"/>
                <w:color w:val="auto"/>
                <w:w w:val="94"/>
              </w:rPr>
              <w:t>(e)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0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3"/>
              </w:rPr>
              <w:t>73.6</w:t>
            </w:r>
            <w:r>
              <w:rPr>
                <w:rFonts w:ascii="Arial" w:cs="Arial" w:eastAsia="Arial" w:hAnsi="Arial"/>
                <w:sz w:val="15"/>
                <w:szCs w:val="15"/>
                <w:color w:val="auto"/>
                <w:w w:val="93"/>
              </w:rPr>
              <w:t>(a)</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Net Earnings attributable to BellRing Brands, Inc.</w:t>
            </w:r>
          </w:p>
        </w:tc>
        <w:tc>
          <w:tcPr>
            <w:tcW w:w="10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Basic</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w w:val="98"/>
              </w:rPr>
              <w:t>0.57</w:t>
            </w:r>
            <w:r>
              <w:rPr>
                <w:rFonts w:ascii="Arial" w:cs="Arial" w:eastAsia="Arial" w:hAnsi="Arial"/>
                <w:sz w:val="15"/>
                <w:szCs w:val="15"/>
                <w:color w:val="auto"/>
                <w:w w:val="98"/>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8"/>
              </w:rPr>
              <w:t>0.57</w:t>
            </w:r>
            <w:r>
              <w:rPr>
                <w:rFonts w:ascii="Arial" w:cs="Arial" w:eastAsia="Arial" w:hAnsi="Arial"/>
                <w:sz w:val="15"/>
                <w:szCs w:val="15"/>
                <w:color w:val="auto"/>
                <w:w w:val="98"/>
              </w:rPr>
              <w:t>(c)</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Unaudited Pro Forma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240" w:top="459"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CONSOLIDATED STATEMENT OF OPERATIONS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 ENDED SEPTEMBER 30, 2018</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 in millions)</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80" w:type="dxa"/>
            <w:vAlign w:val="bottom"/>
            <w:gridSpan w:val="3"/>
            <w:vMerge w:val="restart"/>
          </w:tcPr>
          <w:p>
            <w:pPr>
              <w:ind w:left="1060"/>
              <w:spacing w:after="0"/>
              <w:rPr>
                <w:sz w:val="20"/>
                <w:szCs w:val="20"/>
                <w:color w:val="auto"/>
              </w:rPr>
            </w:pPr>
            <w:r>
              <w:rPr>
                <w:rFonts w:ascii="Arial" w:cs="Arial" w:eastAsia="Arial" w:hAnsi="Arial"/>
                <w:sz w:val="14"/>
                <w:szCs w:val="14"/>
                <w:b w:val="1"/>
                <w:bCs w:val="1"/>
                <w:color w:val="auto"/>
                <w:w w:val="95"/>
              </w:rPr>
              <w:t>Active Nutrition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97"/>
              </w:rPr>
              <w:t>Pro Forma</w:t>
            </w:r>
          </w:p>
        </w:tc>
        <w:tc>
          <w:tcPr>
            <w:tcW w:w="1640" w:type="dxa"/>
            <w:vAlign w:val="bottom"/>
            <w:gridSpan w:val="4"/>
          </w:tcPr>
          <w:p>
            <w:pPr>
              <w:ind w:left="340"/>
              <w:spacing w:after="0"/>
              <w:rPr>
                <w:sz w:val="20"/>
                <w:szCs w:val="20"/>
                <w:color w:val="auto"/>
              </w:rPr>
            </w:pPr>
            <w:r>
              <w:rPr>
                <w:rFonts w:ascii="Arial" w:cs="Arial" w:eastAsia="Arial" w:hAnsi="Arial"/>
                <w:sz w:val="14"/>
                <w:szCs w:val="14"/>
                <w:b w:val="1"/>
                <w:bCs w:val="1"/>
                <w:color w:val="auto"/>
              </w:rPr>
              <w:t>BellRing Brands,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31"/>
              <w:spacing w:after="0"/>
              <w:rPr>
                <w:sz w:val="20"/>
                <w:szCs w:val="20"/>
                <w:color w:val="auto"/>
              </w:rPr>
            </w:pPr>
            <w:r>
              <w:rPr>
                <w:rFonts w:ascii="Arial" w:cs="Arial" w:eastAsia="Arial" w:hAnsi="Arial"/>
                <w:sz w:val="14"/>
                <w:szCs w:val="14"/>
                <w:b w:val="1"/>
                <w:bCs w:val="1"/>
                <w:color w:val="auto"/>
              </w:rPr>
              <w:t>Historical</w:t>
            </w:r>
          </w:p>
        </w:tc>
        <w:tc>
          <w:tcPr>
            <w:tcW w:w="2200" w:type="dxa"/>
            <w:vAlign w:val="bottom"/>
            <w:gridSpan w:val="4"/>
          </w:tcPr>
          <w:p>
            <w:pPr>
              <w:ind w:left="700"/>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(a)</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Cost of goods sold</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549.8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(h)</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3"/>
              </w:rPr>
              <w:t>45.8</w:t>
            </w:r>
            <w:r>
              <w:rPr>
                <w:rFonts w:ascii="Arial" w:cs="Arial" w:eastAsia="Arial" w:hAnsi="Arial"/>
                <w:sz w:val="15"/>
                <w:szCs w:val="15"/>
                <w:color w:val="auto"/>
                <w:w w:val="93"/>
              </w:rPr>
              <w:t>(b)</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Earnings before Income Taxes</w:t>
            </w:r>
          </w:p>
        </w:tc>
        <w:tc>
          <w:tcPr>
            <w:tcW w:w="1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4"/>
              </w:rPr>
              <w:t>(21.1)</w:t>
            </w:r>
            <w:r>
              <w:rPr>
                <w:rFonts w:ascii="Arial" w:cs="Arial" w:eastAsia="Arial" w:hAnsi="Arial"/>
                <w:sz w:val="15"/>
                <w:szCs w:val="15"/>
                <w:color w:val="auto"/>
                <w:w w:val="94"/>
              </w:rPr>
              <w:t>(e)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0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3"/>
              </w:rPr>
              <w:t>56.6</w:t>
            </w:r>
            <w:r>
              <w:rPr>
                <w:rFonts w:ascii="Arial" w:cs="Arial" w:eastAsia="Arial" w:hAnsi="Arial"/>
                <w:sz w:val="15"/>
                <w:szCs w:val="15"/>
                <w:color w:val="auto"/>
                <w:w w:val="93"/>
              </w:rPr>
              <w:t>(a)</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Net Earnings attributable to BellRing Brands, Inc.</w:t>
            </w:r>
          </w:p>
        </w:tc>
        <w:tc>
          <w:tcPr>
            <w:tcW w:w="10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Basic</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w w:val="98"/>
              </w:rPr>
              <w:t>0.49</w:t>
            </w:r>
            <w:r>
              <w:rPr>
                <w:rFonts w:ascii="Arial" w:cs="Arial" w:eastAsia="Arial" w:hAnsi="Arial"/>
                <w:sz w:val="15"/>
                <w:szCs w:val="15"/>
                <w:color w:val="auto"/>
                <w:w w:val="98"/>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8"/>
              </w:rPr>
              <w:t>0.49</w:t>
            </w:r>
            <w:r>
              <w:rPr>
                <w:rFonts w:ascii="Arial" w:cs="Arial" w:eastAsia="Arial" w:hAnsi="Arial"/>
                <w:sz w:val="15"/>
                <w:szCs w:val="15"/>
                <w:color w:val="auto"/>
                <w:w w:val="98"/>
              </w:rPr>
              <w:t>(c)</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Unaudited Pro Forma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240" w:top="459" w:right="4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NOTES TO UNAUDITED PRO FORMA CONDENSED CONSOLIDATED FINANCIAL STATEMENTS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BellRing Brands, Inc. was incorporated in the State of Delaware on March 20, 2019 for the purpose of completing this offering of its Class A common stock. To date, BellRing Brands, Inc. has engaged only in activities in contemplation of this offering. Prior to the completion of this offering, all of our business operations will have been conducted through Post’s Active Nutrition business.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 Forma Adjustments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Formation Transactions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On March 25, 2019, BellRing Brands, Inc. issued 1,000 shares of common stock to Post, resulting in BellRing Brands, Inc. becoming a wholly-owned subsidiary of Post. Prior to the completion of this offering, BellRing Brands, Inc. intends to amend and restate its certificate of incorporation and its bylaws to include the terms described under “Description of Capital Stock,” including to provide for two classes of common stock: Class A common stock, par value $0.01 per share, which will represent economic interests and will have one vote per share, and Class B common stock, par value $0.01 per share, which will represent no economic interests and, for so long as Post or its affiliates (other than us) directly own more than 50% of the BellRing Brands, LLC Units as described in this prospectus, will have a number of votes equal to 67% of the combined voting power of the common stock of BellRing Brands, Inc.</w:t>
      </w:r>
    </w:p>
    <w:p>
      <w:pPr>
        <w:spacing w:after="0" w:line="189" w:lineRule="exact"/>
        <w:rPr>
          <w:sz w:val="20"/>
          <w:szCs w:val="20"/>
          <w:color w:val="auto"/>
        </w:rPr>
      </w:pPr>
    </w:p>
    <w:p>
      <w:pPr>
        <w:ind w:left="200" w:right="560" w:firstLine="441"/>
        <w:spacing w:after="0" w:line="308" w:lineRule="auto"/>
        <w:rPr>
          <w:sz w:val="20"/>
          <w:szCs w:val="20"/>
          <w:color w:val="auto"/>
        </w:rPr>
      </w:pPr>
      <w:r>
        <w:rPr>
          <w:rFonts w:ascii="Arial" w:cs="Arial" w:eastAsia="Arial" w:hAnsi="Arial"/>
          <w:sz w:val="17"/>
          <w:szCs w:val="17"/>
          <w:color w:val="auto"/>
        </w:rPr>
        <w:t>In connection with the completion of this offering, BellRing Brands, Inc. and Post intend to complete a series of formation transactions (as described in “Prospectus Summary—Formation Transactions”). As a result of the formation transactions and this offering:</w:t>
      </w:r>
    </w:p>
    <w:p>
      <w:pPr>
        <w:spacing w:after="0" w:line="52" w:lineRule="exact"/>
        <w:rPr>
          <w:sz w:val="20"/>
          <w:szCs w:val="20"/>
          <w:color w:val="auto"/>
        </w:rPr>
      </w:pPr>
    </w:p>
    <w:p>
      <w:pPr>
        <w:ind w:left="1180" w:hanging="544"/>
        <w:spacing w:after="0"/>
        <w:tabs>
          <w:tab w:leader="none" w:pos="11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entities currently comprising Post’s Active Nutrition business will become direct or indirect subsidiaries of BellRing Brands, LLC.</w:t>
      </w:r>
    </w:p>
    <w:p>
      <w:pPr>
        <w:spacing w:after="0" w:line="142" w:lineRule="exact"/>
        <w:rPr>
          <w:rFonts w:ascii="Arial" w:cs="Arial" w:eastAsia="Arial" w:hAnsi="Arial"/>
          <w:sz w:val="17"/>
          <w:szCs w:val="17"/>
          <w:color w:val="auto"/>
        </w:rPr>
      </w:pPr>
    </w:p>
    <w:p>
      <w:pPr>
        <w:ind w:left="1180" w:right="320" w:hanging="544"/>
        <w:spacing w:after="0" w:line="27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BellRing Brands, Inc. will be a holding company and its only material assets will be its direct interest in BellRing Brands, LLC and its indirect interests in the subsidiaries of BellRing Brands, LLC.</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members of BellRing Brands, LLC will consist of Post and BellRing Brands, Inc.</w:t>
      </w:r>
    </w:p>
    <w:p>
      <w:pPr>
        <w:spacing w:after="0" w:line="130" w:lineRule="exact"/>
        <w:rPr>
          <w:rFonts w:ascii="Arial" w:cs="Arial" w:eastAsia="Arial" w:hAnsi="Arial"/>
          <w:sz w:val="18"/>
          <w:szCs w:val="18"/>
          <w:color w:val="auto"/>
        </w:rPr>
      </w:pPr>
    </w:p>
    <w:p>
      <w:pPr>
        <w:ind w:left="1180" w:right="20" w:hanging="544"/>
        <w:spacing w:after="0" w:line="289" w:lineRule="auto"/>
        <w:tabs>
          <w:tab w:leader="none" w:pos="11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Post will hold 97,474,179 BellRing Brands, LLC Units, which will represent 76.5% of the economic interest in BellRing Brands, LLC (or 73.9% if the underwriters exercise their over-allotment option in full), and one share of Class B common stock, which, for so long as Post or its affiliates (other than us) directly own more than 50% of the BellRing Brands, LLC Units as described in this prospectus, will represent 67% of the combined voting power of the common stock of BellRing Brands, Inc. Due to Post’s rights to redeem BellRing Brands, LLC Units for (i) shares of BellRing Brands, Inc. Class A common stock on a one-for-one basis or (ii) cash at BellRing Brands, LLC’s option (as determined by the BellRing Brands, LLC Board of Managers), the noncontrolling interest in BellRing Brands, LLC represented by these Units will be classified as temporary equity. The noncontrolling interest balance is determined based on the fair value of Post’s BellRing Brands, LLC Units if they were to be converted to shares of BellRing Brands, Inc. Class A common stock assuming the shares are offered at $17.50 per share (the midpoint of the estimated offering price range set forth on the cover page of this prospectus).</w:t>
      </w:r>
    </w:p>
    <w:p>
      <w:pPr>
        <w:spacing w:after="0" w:line="72" w:lineRule="exact"/>
        <w:rPr>
          <w:rFonts w:ascii="Arial" w:cs="Arial" w:eastAsia="Arial" w:hAnsi="Arial"/>
          <w:sz w:val="16"/>
          <w:szCs w:val="16"/>
          <w:color w:val="auto"/>
        </w:rPr>
      </w:pPr>
    </w:p>
    <w:p>
      <w:pPr>
        <w:ind w:left="1180" w:right="40" w:hanging="544"/>
        <w:spacing w:after="0" w:line="255"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purchasers in this offering (i) will own 30,000,000 shares of Class A common stock (or 34,500,000 shares if the underwriters exercise their non-allotment option in full), which, for so long as Post or its affiliates (other than us) directly own more than 50% of the BellRing Brands, LLC Units as described in this prospectus, will represent 33% of the combined voting power of the common stock of BellRing Brands, Inc. and 100% of the economic interest in BellRing Brands, Inc., and (ii) through BellRing Brands, Inc.’s ownership of BellRing Brands, LLC Units, indirectly will hold 23.5% of the economic interest in BellRing Brands, LLC (or 26.1% if the underwriters exercise their over-allotment option in full).</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80"/>
          </w:cols>
          <w:pgMar w:left="24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60" w:hanging="544"/>
        <w:spacing w:after="0" w:line="259"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BellRing Brands, Inc. and BellRing Brands, LLC will at all times maintain, subject to certain exceptions, a one-to-one ratio between the number of shares of Class A common stock issued by BellRing Brands, Inc. and the number of BellRing Brands, LLC Units owned by BellRing Brands, Inc. See “Certain Relationships and Related Party Transactions—Post-Offering Relationship with Post—Amended and Restated Limited Liability Company Agreement.”</w:t>
      </w:r>
    </w:p>
    <w:p>
      <w:pPr>
        <w:spacing w:after="0" w:line="92" w:lineRule="exact"/>
        <w:rPr>
          <w:rFonts w:ascii="Arial" w:cs="Arial" w:eastAsia="Arial" w:hAnsi="Arial"/>
          <w:sz w:val="18"/>
          <w:szCs w:val="18"/>
          <w:color w:val="auto"/>
        </w:rPr>
      </w:pPr>
    </w:p>
    <w:p>
      <w:pPr>
        <w:ind w:left="1180" w:right="80" w:hanging="544"/>
        <w:spacing w:after="0" w:line="253"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BellRing Brands, Inc. will hold the voting membership unit of BellRing Brands, LLC (which represents the power to fix the number of, and to appoint and remove, the members of the Board of Managers of, and no economic interest in, BellRing Brands, LLC). BellRing Brands, Inc. will appoint the members of the Board of Managers of BellRing Brands, LLC, and therefore will control BellRing Brands, LLC. The Board of Managers will be responsible for the oversight of BellRing Brands, LLC’s operations and overall performance and strategy, while the management of the day-to-day operations of the business of BellRing Brands, LLC and the execution of business strategy will be the responsibility of the officers and employees of BellRing Brands, LLC and its subsidiaries. Post, in its capacity as a member of BellRing Brands, LLC, will have no power to appoint any members of the Board of Managers or voting rights with respect to BellRing Brands, LLC. For so long as Post or its affiliates (other than us) directly own more than 50% of the BellRing Brands, LLC Units as described in this prospectus, Post will control BellRing Brands, Inc. through its ownership of the Class B common stock of BellRing Brands, Inc.</w:t>
      </w:r>
    </w:p>
    <w:p>
      <w:pPr>
        <w:spacing w:after="0" w:line="100" w:lineRule="exact"/>
        <w:rPr>
          <w:rFonts w:ascii="Arial" w:cs="Arial" w:eastAsia="Arial" w:hAnsi="Arial"/>
          <w:sz w:val="18"/>
          <w:szCs w:val="18"/>
          <w:color w:val="auto"/>
        </w:rPr>
      </w:pPr>
    </w:p>
    <w:p>
      <w:pPr>
        <w:ind w:left="1180" w:right="480" w:hanging="544"/>
        <w:spacing w:after="0" w:line="264"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financial results of BellRing Brands, LLC and its subsidiaries will be consolidated with BellRing Brands, Inc., and 76.5% of the earnings before income taxes will be allocated to the noncontrolling interest to reflect the entitlement of Post to a portion of the consolidated net earnings (loss).</w:t>
      </w:r>
    </w:p>
    <w:p>
      <w:pPr>
        <w:spacing w:after="0" w:line="289" w:lineRule="exact"/>
        <w:rPr>
          <w:rFonts w:ascii="Arial" w:cs="Arial" w:eastAsia="Arial" w:hAnsi="Arial"/>
          <w:sz w:val="18"/>
          <w:szCs w:val="18"/>
          <w:color w:val="auto"/>
        </w:rPr>
      </w:pPr>
    </w:p>
    <w:p>
      <w:pPr>
        <w:ind w:left="900" w:hanging="256"/>
        <w:spacing w:after="0"/>
        <w:tabs>
          <w:tab w:leader="none" w:pos="900" w:val="left"/>
        </w:tabs>
        <w:numPr>
          <w:ilvl w:val="1"/>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Post Bridge Loan and Senior Unsecured Debt Facilities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Prior to completion of this offering, Post will borrow $1,309.5 million under the Post bridge loan as described under “Prospectus Summary—Debt Financing Arrangements—Post Bridge Loan” and “Description of Certain Indebtedness.” Certain of Post’s domestic subsidiaries (other than BellRing Brands, Inc. but including BellRing Brands, LLC and its domestic subsidiaries) will guarantee the Post bridge loan. On the same day this offering is completed, and as part of the formation transactions, (i) BellRing Brands, LLC will become the borrower under the Post bridge loan and assume all interest of $2.4 million thereunder, and Post and its subsidiary guarantors (which will not include BellRing Brands, LLC or its domestic subsidiaries) will be released from all obligations under the Post bridge loan and all interest thereunder, (ii) the domestic subsidiaries of BellRing Brands, LLC will continue to guarantee the Post bridge loan, and (iii) BellRing Brands, LLC’s obligations under the Post bridge loan will become secured by a first priority security interest in substantially all of the assets of BellRing Brands, LLC and in substantially all of the assets of its subsidiary guarantors. We will not receive any of the proceeds of the Post bridge loan. See “Description of Certain Indebtedness.”</w:t>
      </w:r>
    </w:p>
    <w:p>
      <w:pPr>
        <w:spacing w:after="0" w:line="182"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Immediately after the completion of the formation transactions and the completion of this offering, BellRing Brands, LLC expects to enter into debt facilities consisting of an approximately $200.0 million revolving credit facility and an approximately $820.0 million term loan facility and use the proceeds of such borrowing to repay the remaining balance of the Post bridge loan and all interest thereunder and for the other purposes described under “Use of Proceeds.” A final determination as to whether to enter into any such debt facilities will be made by the BellRing Brands, LLC Board of Managers after completion of this offering. While we expect that the BellRing Brands, LLC Board of Managers will determine to enter into the debt facilities and borrow funds under the term loan facility and the revolving credit facility, we can provide no assurance that the Board of Managers will make such a determination. We expect that the revolving credit facility also will be available for working capital and for general corporate purposes (including acquisitions) and that a portion of the revolving credit facility will be available for letters of credit. The debt facilities also may include incremental revolving and term loan facilities at our request and at the discretion of the lenders. See “Description of Certain Indebtedness.”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unaudited pro forma condensed consolidated financial statements, we have assumed:</w:t>
      </w:r>
    </w:p>
    <w:p>
      <w:pPr>
        <w:spacing w:after="0" w:line="131" w:lineRule="exact"/>
        <w:rPr>
          <w:sz w:val="20"/>
          <w:szCs w:val="20"/>
          <w:color w:val="auto"/>
        </w:rPr>
      </w:pPr>
    </w:p>
    <w:p>
      <w:pPr>
        <w:ind w:left="1180" w:right="340" w:hanging="544"/>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approximately $30.0 million of borrowings under the revolving credit facility will be incurred concurrently with the completion of this offering at an assumed interest rate of 5%;</w:t>
      </w:r>
    </w:p>
    <w:p>
      <w:pPr>
        <w:spacing w:after="0" w:line="75" w:lineRule="exact"/>
        <w:rPr>
          <w:rFonts w:ascii="Arial" w:cs="Arial" w:eastAsia="Arial" w:hAnsi="Arial"/>
          <w:sz w:val="18"/>
          <w:szCs w:val="18"/>
          <w:color w:val="auto"/>
        </w:rPr>
      </w:pPr>
    </w:p>
    <w:p>
      <w:pPr>
        <w:ind w:left="1180" w:right="20" w:hanging="544"/>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approximately $820.0 million of borrowings, $8.2 million of which is considered the current portion of long-term debt, under the term loan facility will be incurred concurrently with the completion of this offering at an assumed interest rate of 5%; and</w:t>
      </w:r>
    </w:p>
    <w:p>
      <w:pPr>
        <w:spacing w:after="0" w:line="75" w:lineRule="exact"/>
        <w:rPr>
          <w:rFonts w:ascii="Arial" w:cs="Arial" w:eastAsia="Arial" w:hAnsi="Arial"/>
          <w:sz w:val="18"/>
          <w:szCs w:val="18"/>
          <w:color w:val="auto"/>
        </w:rPr>
      </w:pPr>
    </w:p>
    <w:p>
      <w:pPr>
        <w:ind w:left="1180" w:right="20" w:hanging="544"/>
        <w:spacing w:after="0" w:line="312" w:lineRule="auto"/>
        <w:tabs>
          <w:tab w:leader="none" w:pos="11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that BellRing Brands, LLC will receive net proceeds from the borrowings of approximately $6.1 million, after deducting fees and expenses of $15.4 million ($1.1 million related to the revolving credit facility and $14.3 million related to the term loan facility), repayment of the remaining portion of the Post bridge loan and related interest and repayment of cash and cash equivalents. See footnote (g) below.</w:t>
      </w:r>
    </w:p>
    <w:p>
      <w:pPr>
        <w:spacing w:after="0" w:line="14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final principal balance of the term loan and the interest rate will be subject to market conditions and may change materially from the assumptions described above. Changes in the assumptions described above would result in changes to the cash and cash equivalents and long-term debt components of the unaudited pro forma condensed consolidated balance sheet and changes to the interest expense component of the unaudited pro forma condensed consolidated statements of operations. Depending upon the nature of the changes, the impact on the pro forma financial information could be material. For example, each 0.125% increase or decrease in the stated interest rates assumed above for the debt facilities would increase or decrease pro forma interest expense by approximately $1.2 million for the fiscal year ended September 30, 2018 and approximately $1.0 million for the nine months ended June 30, 2019 (assuming the principal balance of the debt facilities does not change from that assumed above).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Stock Offering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BellRing Brands, Inc. expects to issue 30,000,000 shares of Class A common stock in this offering (or 34,500,000 shares if the underwriters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exercise their over-allotment in full). The unaudited pro forma consolidated basic and diluted earnings per share for the periods presented are based 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combined basic and diluted weighted-average shares outstanding to be issued by BellRing Brands, Inc. in this offering. The calculation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includes 30,000,000 shares of Class A common stock assumed to be sold in this offering. On the same day this offering is completed, but prior to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completion of this offering, BellRing Brands, Inc. will issue to Post (in exchange for the 1,000 shares of common stock initially issued to Post in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connection with its incorporation, which shares will be cancelled as part of the exchange) one share of Class B common stock, which share of Class B</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cannot be transferred by Post except to its affiliates (other than us). The share of BellRing Brands, Inc. Class B common stock does not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share in its earnings and is therefore not included in the weighted average shares outstanding or net earnings available per common share.</w:t>
      </w:r>
    </w:p>
    <w:p>
      <w:pPr>
        <w:spacing w:after="0" w:line="33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 Use of Proceeds</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BellRing Brands, Inc. expects to receive net proceeds from this offering of approximately $486.8 million (or approximately $561.0 million if the underwriters exercise their over-allotment option in full), assuming the shares are offered at $17.50 per share (the midpoint of the estimated offering price range set forth on the cover page of this prospectus), after deducting underwriting discounts and commissions and estimated offering expenses payable by us.</w:t>
      </w:r>
    </w:p>
    <w:p>
      <w:pPr>
        <w:spacing w:after="0" w:line="187"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BellRing Brands, Inc. will use all of the net proceeds from this offering to acquire a number of newly issued BellRing Brands, LLC Units from BellRing Brands, LLC equal to the number of shares of Class A common stock sold in this offering. BellRing Brands, LLC will use the net proceeds of this offering that it receives from BellRing Brands, Inc. to repay a portion of the Post bridge loan and related interest.</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 Tax Effect of Pro Forma Adjustments</w:t>
      </w:r>
    </w:p>
    <w:p>
      <w:pPr>
        <w:spacing w:after="0" w:line="117"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Following the formation transactions, BellRing Brands, Inc. will be subject to U.S. federal income taxes, in addition to state, local and foreign taxes, with respect to its allocable share of any net taxable income of BellRing Brands, LLC and its domestic subsidiaries. As a result, this reflects the tax effects of the proforma adjustments at an assumed blended statutory tax rate of 27.2% for the fiscal year ended September 30, 2018 and 23.8% for the nine months ended June 30, 2019 along with adjustments to reflect BellRing Brands, Inc.’s 23.5% of net taxable income.</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 Tax Receivable Agreement</w:t>
      </w:r>
    </w:p>
    <w:p>
      <w:pPr>
        <w:spacing w:after="0" w:line="117"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Upon the completion of the formation transactions, BellRing Brands, Inc. will enter into the tax receivable agreement with Post and BellRing Brands, LLC described under “Certain Relationships and Related Party Transactions—Post-Offering Relationship with Post—Tax Receivable Agreement.” BellRing Brands, Inc. may incur obligations under the tax receivable agreement subsequent to the completion of the formation transactions, as well as in connection with certain tax benefits BellRing Brands, Inc. may realize in connection with the formation transactions. The unaudited pro forma condensed consolidated financial statements include adjustments to reflect the expected amounts due to Post under the tax receivable agreement from disproportionate allocations of tax benefits to BellRing Brands, Inc. under Section 704(c) of the Code resulting from the formation transactions. Due to the uncertainty in the amount and timing of future redemptions of BellRing Brands, LLC Units by Post (or its transferees or assignees), no increases in tax basis in BellRing Brands, LLC’s assets or other tax benefits that may be realized thereunder have been assumed in the unaudited pro forma condensed consolidated financial information. For an illustration of the amount, based upon certain assumptions, that would be payable by BellRing Brands, Inc. under the tax receivable agreement if all of Post’s (and its transferees’ and assignees’) BellRing Brands, LLC Units were redeemed, see above under “Unaudited Pro Forma Condensed Consolidated Financial Information.”</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 Cash and cash equivalents</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Following the completion of this offering, BellRing Brands, LLC will receive proceeds from the term loan, the revolving credit facility and the offering and make payments for the Post bridge loan and related interest. In addition, BellRing Brands, LLC will pay to Post an amount equal to the value of all cash and cash equivalents held by BellRing Brands, LLC and its subsidiaries as of immediately prior to the consummation of this offering. See related cash adjustments as follows: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74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3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term loan and revolving credit facility</w:t>
            </w:r>
            <w:r>
              <w:rPr>
                <w:rFonts w:ascii="Arial" w:cs="Arial" w:eastAsia="Arial" w:hAnsi="Arial"/>
                <w:sz w:val="15"/>
                <w:szCs w:val="15"/>
                <w:color w:val="auto"/>
              </w:rPr>
              <w:t>(b)</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proceeds from offering</w:t>
            </w:r>
            <w:r>
              <w:rPr>
                <w:rFonts w:ascii="Arial" w:cs="Arial" w:eastAsia="Arial" w:hAnsi="Arial"/>
                <w:sz w:val="15"/>
                <w:szCs w:val="15"/>
                <w:color w:val="auto"/>
              </w:rPr>
              <w:t>(d)</w:t>
            </w: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Payment of Post bridge loan and interest</w:t>
            </w:r>
            <w:r>
              <w:rPr>
                <w:rFonts w:ascii="Arial" w:cs="Arial" w:eastAsia="Arial" w:hAnsi="Arial"/>
                <w:sz w:val="15"/>
                <w:szCs w:val="15"/>
                <w:color w:val="auto"/>
              </w:rPr>
              <w:t>(b)</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(1,311.9)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Payment of cash and cash equivalents to Post</w:t>
            </w: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cash proceeds</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 Transaction expenses and Master Services Agreement costs</w:t>
      </w:r>
    </w:p>
    <w:p>
      <w:pPr>
        <w:spacing w:after="0" w:line="117"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color w:val="auto"/>
        </w:rPr>
        <w:t>Represents the removal of non-recurring transaction expenses in Active Nutrition’s historical statement of operations for the nine months ended June 30, 2019, which are directly attributable to BellRing Brands, Inc.’s separation from Post. Additionally, no adjustments have been made related to expected master services agreement fees as the best estimates of those amounts are included in expense allocations that are recorded in Active Nutrition’s historical statements of operations. For additional information on expense allocations, refer to Notes 8 and 10 within “Notes to Condensed Combined Financial Statements” for the nine months ended June 30, 2019 and “Notes to Combined Financial Statements” for the year ended September 30, 2018, respectively.</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240" w:top="459" w:right="4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The following discussion summarizes the significant factors affecting the combined operating results, financial condition, liquidity and capital resources of BellRing Brands, Inc. and its subsidiaries. This discussion should be read in conjunction with the historical combined financial statements and the accompanying notes and other financial information for Post’s Active Nutrition business (“Active Nutrition”), as well as the “Cautionary Statement Regarding Forward-Looking Statements” included elsewhere in this prospectus. Active Nutrition’s historical combined financial statements have been prepared on a stand-alone basis and are derived from the consolidated financial statements and accounting records of Post. The combined financial statements reflect the historical results of operations, financial position and cash flows of Active Nutrition and the allocation of certain Post corporate expenses relating to Active Nutrition based on the historical financial statements and accounting records of Post. In the opinion of management, the assumptions underlying the Active Nutrition historical combined financial statements, including the basis on which the expenses have been allocated from Post, are reasonable. However, the allocations may not reflect the expenses that BellRing Brands, Inc. may have incurred as a separate company for the periods presented. For additional information, see “Risk Factors” within this prospectus.</w:t>
      </w:r>
    </w:p>
    <w:p>
      <w:pPr>
        <w:spacing w:after="0" w:line="27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BellRing Brands, Inc. was formed as a Delaware corporation in 2019 for the purpose of completing this offering. Upon completion of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formation transactions, BellRing Brands, LLC will become the holder of Posts’s Active Nutrition business, which, effective as of the fiscal quarter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ended June 30, 2015, has been comprised of Premier Nutrition, Dymatize and the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brand, and also includes Active Nutrition International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GmbH, which manufactures and sells Active Nutrition products in certain international markets. We are a provider of highly nutritious, great-tasting</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products including RTD protein shakes, other RTD beverages, powders, nutrition bars and nutritional supplements in the convenient nutrition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category. The following discussion contains references to the nine months ended June 30, 2019 and 2018 and the years ended September 30, 2018, 2017</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2016, which represent the financial results of our predecessor, Active Nutrition, for the same periods.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Industry &amp; Company Trends</w:t>
      </w:r>
    </w:p>
    <w:p>
      <w:pPr>
        <w:spacing w:after="0" w:line="117"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The success of companies in the convenient nutrition category is driven by how well such companies can grow, develop and differentiate their brands. We expect the convergence of several factors to support the continued growth of the convenient nutrition category, including:</w:t>
      </w:r>
    </w:p>
    <w:p>
      <w:pPr>
        <w:spacing w:after="0" w:line="29" w:lineRule="exact"/>
        <w:rPr>
          <w:sz w:val="20"/>
          <w:szCs w:val="20"/>
          <w:color w:val="auto"/>
        </w:rPr>
      </w:pPr>
    </w:p>
    <w:p>
      <w:pPr>
        <w:ind w:left="1180" w:hanging="544"/>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consumers’ increasingly dedicated pursuit of active lifestyles and growing interest in nutrition and wellness;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growing awareness of the numerous health benefits of protein, including sustained energy, muscle recovery and satiety;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rise in snacking and the desire for products that can be consumed on-the-go as nutritious snacks or meal replacements.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Nonetheless, the consumer food and beverage industry faces a number of challenges and uncertainties, including:</w:t>
      </w:r>
    </w:p>
    <w:p>
      <w:pPr>
        <w:spacing w:after="0" w:line="131" w:lineRule="exact"/>
        <w:rPr>
          <w:sz w:val="20"/>
          <w:szCs w:val="20"/>
          <w:color w:val="auto"/>
        </w:rPr>
      </w:pPr>
    </w:p>
    <w:p>
      <w:pPr>
        <w:ind w:left="1180" w:right="620" w:hanging="544"/>
        <w:spacing w:after="0" w:line="342" w:lineRule="auto"/>
        <w:tabs>
          <w:tab w:leader="none" w:pos="11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highly competitive nature of the industry, which involves competition from a host of nutritional food and beverage companies, including manufacturers of other branded food and beverage products as well as manufacturers of private label products; and</w:t>
      </w:r>
    </w:p>
    <w:p>
      <w:pPr>
        <w:spacing w:after="0" w:line="29" w:lineRule="exact"/>
        <w:rPr>
          <w:rFonts w:ascii="Arial" w:cs="Arial" w:eastAsia="Arial" w:hAnsi="Arial"/>
          <w:sz w:val="16"/>
          <w:szCs w:val="16"/>
          <w:color w:val="auto"/>
        </w:rPr>
      </w:pPr>
    </w:p>
    <w:p>
      <w:pPr>
        <w:ind w:left="1180" w:right="300" w:hanging="544"/>
        <w:spacing w:after="0" w:line="277"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changing consumer preferences which require food manufacturers to identify changing preferences and to offer products that appeal to consumers.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80"/>
          </w:cols>
          <w:pgMar w:left="24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In addition to the company trends described above, we also experienced short-term supply constraints for our RTD protein shakes during the nine months ended June 30, 2019. With the rapid consumption growth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we have added significant capacity at our contract manufacturing partners in order to keep up with consumer demand. However, due to a combination of better than expected volume growth for our </w:t>
      </w: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RTD shakes in the second half of fiscal 2018 and delays in planned incremental production capacity by our third party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 network, our customer demand exceeded our available capacity and resulted in inventory below acceptable levels at September 30, 2018. To increase inventory and to minimize the overall impact to customers and consumers, we temporarily reduced our available RTD protein shake flavors in the first quarter of fiscal 2019 from seven to its two best-selling flavors, chocolate and vanilla. This decision adversely impacted the year-over-year growth rate for the nine months ended June 30, 2019 compared to growth trends experienced in fiscal 2018 and 2017. During the second quarter of fiscal 2019, all flavors were re-introduced. With these actions as well as planned incremental capacity in the second half of fiscal 2019, we believe we will be able to meet expected customer demand and our inventory levels will be enough to accelerate our growth beyond that experienced since the beginning of fiscal 2019. At June 30, 2019, inventory had returned to normal levels and modest additional increases in inventory levels are expected through the end of fiscal 2019.</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Factors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net sales consist of the following:</w:t>
      </w:r>
    </w:p>
    <w:p>
      <w:pPr>
        <w:spacing w:after="0" w:line="131" w:lineRule="exact"/>
        <w:rPr>
          <w:sz w:val="20"/>
          <w:szCs w:val="20"/>
          <w:color w:val="auto"/>
        </w:rPr>
      </w:pPr>
    </w:p>
    <w:p>
      <w:pPr>
        <w:ind w:left="1180" w:hanging="544"/>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gross sales</w:t>
      </w:r>
      <w:r>
        <w:rPr>
          <w:rFonts w:ascii="Arial" w:cs="Arial" w:eastAsia="Arial" w:hAnsi="Arial"/>
          <w:sz w:val="18"/>
          <w:szCs w:val="18"/>
          <w:color w:val="auto"/>
        </w:rPr>
        <w:t>, which fluctuate as a function of changes in volume, product mix and list price;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costs deducted from gross sales to reach net sales, which consist of </w:t>
      </w:r>
      <w:r>
        <w:rPr>
          <w:rFonts w:ascii="Arial" w:cs="Arial" w:eastAsia="Arial" w:hAnsi="Arial"/>
          <w:sz w:val="16"/>
          <w:szCs w:val="16"/>
          <w:i w:val="1"/>
          <w:iCs w:val="1"/>
          <w:color w:val="auto"/>
        </w:rPr>
        <w:t>cash discounts, returns</w:t>
      </w:r>
      <w:r>
        <w:rPr>
          <w:rFonts w:ascii="Arial" w:cs="Arial" w:eastAsia="Arial" w:hAnsi="Arial"/>
          <w:sz w:val="16"/>
          <w:szCs w:val="16"/>
          <w:color w:val="auto"/>
        </w:rPr>
        <w:t xml:space="preserve"> and </w:t>
      </w:r>
      <w:r>
        <w:rPr>
          <w:rFonts w:ascii="Arial" w:cs="Arial" w:eastAsia="Arial" w:hAnsi="Arial"/>
          <w:sz w:val="16"/>
          <w:szCs w:val="16"/>
          <w:i w:val="1"/>
          <w:iCs w:val="1"/>
          <w:color w:val="auto"/>
        </w:rPr>
        <w:t>other allowances</w:t>
      </w:r>
      <w:r>
        <w:rPr>
          <w:rFonts w:ascii="Arial" w:cs="Arial" w:eastAsia="Arial" w:hAnsi="Arial"/>
          <w:sz w:val="16"/>
          <w:szCs w:val="16"/>
          <w:color w:val="auto"/>
        </w:rPr>
        <w:t xml:space="preserve"> as well as </w:t>
      </w:r>
      <w:r>
        <w:rPr>
          <w:rFonts w:ascii="Arial" w:cs="Arial" w:eastAsia="Arial" w:hAnsi="Arial"/>
          <w:sz w:val="16"/>
          <w:szCs w:val="16"/>
          <w:i w:val="1"/>
          <w:iCs w:val="1"/>
          <w:color w:val="auto"/>
        </w:rPr>
        <w:t>trade spending</w:t>
      </w:r>
      <w:r>
        <w:rPr>
          <w:rFonts w:ascii="Arial" w:cs="Arial" w:eastAsia="Arial" w:hAnsi="Arial"/>
          <w:sz w:val="16"/>
          <w:szCs w:val="16"/>
          <w:color w:val="auto"/>
        </w:rPr>
        <w:t>.</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Factors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Costs included in cost of goods sold in the statements of operations include:</w:t>
      </w:r>
    </w:p>
    <w:p>
      <w:pPr>
        <w:spacing w:after="0" w:line="131" w:lineRule="exact"/>
        <w:rPr>
          <w:sz w:val="20"/>
          <w:szCs w:val="20"/>
          <w:color w:val="auto"/>
        </w:rPr>
      </w:pPr>
    </w:p>
    <w:p>
      <w:pPr>
        <w:ind w:left="1180" w:hanging="544"/>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raw materials</w:t>
      </w:r>
      <w:r>
        <w:rPr>
          <w:rFonts w:ascii="Arial" w:cs="Arial" w:eastAsia="Arial" w:hAnsi="Arial"/>
          <w:sz w:val="18"/>
          <w:szCs w:val="18"/>
          <w:color w:val="auto"/>
        </w:rPr>
        <w:t>, which include milk-based, whey-based and soy-based proteins and protein blends;</w:t>
      </w:r>
    </w:p>
    <w:p>
      <w:pPr>
        <w:spacing w:after="0" w:line="130" w:lineRule="exact"/>
        <w:rPr>
          <w:rFonts w:ascii="Arial" w:cs="Arial" w:eastAsia="Arial" w:hAnsi="Arial"/>
          <w:sz w:val="18"/>
          <w:szCs w:val="18"/>
          <w:color w:val="auto"/>
        </w:rPr>
      </w:pPr>
    </w:p>
    <w:p>
      <w:pPr>
        <w:ind w:left="1180" w:right="240" w:hanging="544"/>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packaging costs</w:t>
      </w:r>
      <w:r>
        <w:rPr>
          <w:rFonts w:ascii="Arial" w:cs="Arial" w:eastAsia="Arial" w:hAnsi="Arial"/>
          <w:sz w:val="18"/>
          <w:szCs w:val="18"/>
          <w:color w:val="auto"/>
        </w:rPr>
        <w:t>, which include aseptic foil and plastic lined cardboard cartons, aseptic plastic bottles, plastic jars and lids, flexible film,</w:t>
      </w:r>
      <w:r>
        <w:rPr>
          <w:rFonts w:ascii="Arial" w:cs="Arial" w:eastAsia="Arial" w:hAnsi="Arial"/>
          <w:sz w:val="18"/>
          <w:szCs w:val="18"/>
          <w:i w:val="1"/>
          <w:iCs w:val="1"/>
          <w:color w:val="auto"/>
        </w:rPr>
        <w:t xml:space="preserve"> </w:t>
      </w:r>
      <w:r>
        <w:rPr>
          <w:rFonts w:ascii="Arial" w:cs="Arial" w:eastAsia="Arial" w:hAnsi="Arial"/>
          <w:sz w:val="18"/>
          <w:szCs w:val="18"/>
          <w:color w:val="auto"/>
        </w:rPr>
        <w:t>cartons and corrugate;</w:t>
      </w:r>
    </w:p>
    <w:p>
      <w:pPr>
        <w:spacing w:after="0" w:line="75" w:lineRule="exact"/>
        <w:rPr>
          <w:rFonts w:ascii="Arial" w:cs="Arial" w:eastAsia="Arial" w:hAnsi="Arial"/>
          <w:sz w:val="18"/>
          <w:szCs w:val="18"/>
          <w:color w:val="auto"/>
        </w:rPr>
      </w:pPr>
    </w:p>
    <w:p>
      <w:pPr>
        <w:ind w:left="1180" w:right="20" w:hanging="544"/>
        <w:spacing w:after="0" w:line="276" w:lineRule="auto"/>
        <w:tabs>
          <w:tab w:leader="none" w:pos="118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contract manufacturing and manufacturing costs</w:t>
      </w:r>
      <w:r>
        <w:rPr>
          <w:rFonts w:ascii="Arial" w:cs="Arial" w:eastAsia="Arial" w:hAnsi="Arial"/>
          <w:sz w:val="17"/>
          <w:szCs w:val="17"/>
          <w:color w:val="auto"/>
        </w:rPr>
        <w:t>, which include all costs necessary to convert raw materials into finished products. We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produce our finished products primarily through engaging third party contract manufacturers in North America and the E.U. We receive finished products from our contract manufacturers, which include all packaging and ingredients used, for an agreed-upon tolling charge for each item produced as well as other minor costs. We also own a manufacturing plant in Voerde, Germany that supplies some of the products for our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brands in the E.U. and the U.K.; and</w:t>
      </w:r>
    </w:p>
    <w:p>
      <w:pPr>
        <w:spacing w:after="0" w:line="77" w:lineRule="exact"/>
        <w:rPr>
          <w:rFonts w:ascii="Arial" w:cs="Arial" w:eastAsia="Arial" w:hAnsi="Arial"/>
          <w:sz w:val="17"/>
          <w:szCs w:val="17"/>
          <w:color w:val="auto"/>
        </w:rPr>
      </w:pPr>
    </w:p>
    <w:p>
      <w:pPr>
        <w:ind w:left="1180" w:right="240" w:hanging="544"/>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freight</w:t>
      </w:r>
      <w:r>
        <w:rPr>
          <w:rFonts w:ascii="Arial" w:cs="Arial" w:eastAsia="Arial" w:hAnsi="Arial"/>
          <w:sz w:val="18"/>
          <w:szCs w:val="18"/>
          <w:color w:val="auto"/>
        </w:rPr>
        <w:t>, which includes costs to transport our products from the manufacturing facilities to distribution centers and to deliver products to</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Our freight costs are impacted by fuel costs, as well as carrier availability.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Costs included in selling, general and administrative expenses in the statements of operations include:</w:t>
      </w:r>
    </w:p>
    <w:p>
      <w:pPr>
        <w:spacing w:after="0" w:line="131" w:lineRule="exact"/>
        <w:rPr>
          <w:sz w:val="20"/>
          <w:szCs w:val="20"/>
          <w:color w:val="auto"/>
        </w:rPr>
      </w:pPr>
    </w:p>
    <w:p>
      <w:pPr>
        <w:ind w:left="1180" w:hanging="544"/>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marketing and distribution, advertising and promotion, research and development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and administrative costs</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180" w:right="180" w:hanging="544"/>
        <w:spacing w:after="0" w:line="342" w:lineRule="auto"/>
        <w:tabs>
          <w:tab w:leader="none" w:pos="118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corporate allocations</w:t>
      </w:r>
      <w:r>
        <w:rPr>
          <w:rFonts w:ascii="Arial" w:cs="Arial" w:eastAsia="Arial" w:hAnsi="Arial"/>
          <w:sz w:val="16"/>
          <w:szCs w:val="16"/>
          <w:color w:val="auto"/>
        </w:rPr>
        <w:t>, which include allocations from Post of general and administrative costs, including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and costs related to the finance, information technology, legal, human resources, quality, supply chain and purchasing functions.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00"/>
          </w:cols>
          <w:pgMar w:left="24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We have experienced in the past, and expect to continue to experience, seasonal fluctuations in our sales and earnings before income taxes (“EBIT”) margins because of customer spending patterns and timing of promotional activity. Historically, our first fiscal quarter is seasonally low for all brands driven by a slowdown for our products during the holiday season and for colder weather which impacts outdoor activities. However, sales typically increase throughout the remainder of the fiscal year as a result of promotional activity at key retailers as well as organic growth of the business.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Items Affecting Comparability</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During the nine months ended June 30, 2019 and 2018, “Earnings before Income Taxes” in the Condensed Combined Statements of Operations and Comprehensive Income were impacted by the following items:</w:t>
      </w:r>
    </w:p>
    <w:p>
      <w:pPr>
        <w:spacing w:after="0" w:line="76" w:lineRule="exact"/>
        <w:rPr>
          <w:sz w:val="20"/>
          <w:szCs w:val="20"/>
          <w:color w:val="auto"/>
        </w:rPr>
      </w:pPr>
    </w:p>
    <w:p>
      <w:pPr>
        <w:ind w:left="1180" w:right="320" w:hanging="544"/>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short-term supply constraints for our RTD protein shakes, which resulted in smaller volume increases as compared to prior periods (see “Industry &amp; Company Trends” above for further discussion);</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separation costs of $4.0 million related to our separation from Post for the nine months ended June 30, 2019;</w:t>
      </w:r>
    </w:p>
    <w:p>
      <w:pPr>
        <w:spacing w:after="0" w:line="130" w:lineRule="exact"/>
        <w:rPr>
          <w:rFonts w:ascii="Arial" w:cs="Arial" w:eastAsia="Arial" w:hAnsi="Arial"/>
          <w:sz w:val="18"/>
          <w:szCs w:val="18"/>
          <w:color w:val="auto"/>
        </w:rPr>
      </w:pPr>
    </w:p>
    <w:p>
      <w:pPr>
        <w:ind w:left="1180" w:right="200" w:hanging="544"/>
        <w:spacing w:after="0" w:line="308" w:lineRule="auto"/>
        <w:tabs>
          <w:tab w:leader="none" w:pos="11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reclassification of certain payments to customers of $5.3 million from selling expenses to net sales in the nine months ended June 30, 2019, in connection with the adoption of ASU 2014-09, “Revenue from Contracts with Customers (Topic 606);” and</w:t>
      </w:r>
    </w:p>
    <w:p>
      <w:pPr>
        <w:spacing w:after="0" w:line="51" w:lineRule="exact"/>
        <w:rPr>
          <w:rFonts w:ascii="Arial" w:cs="Arial" w:eastAsia="Arial" w:hAnsi="Arial"/>
          <w:sz w:val="17"/>
          <w:szCs w:val="17"/>
          <w:color w:val="auto"/>
        </w:rPr>
      </w:pPr>
    </w:p>
    <w:p>
      <w:pPr>
        <w:ind w:left="1180" w:hanging="544"/>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litigation settlement accrual of $9.0 million in the nine months ended June 30, 2018.</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years ended September 30, 2018, 2017 and 2016, EBIT was impacted by the following items:</w:t>
      </w:r>
    </w:p>
    <w:p>
      <w:pPr>
        <w:spacing w:after="0" w:line="131" w:lineRule="exact"/>
        <w:rPr>
          <w:sz w:val="20"/>
          <w:szCs w:val="20"/>
          <w:color w:val="auto"/>
        </w:rPr>
      </w:pPr>
    </w:p>
    <w:p>
      <w:pPr>
        <w:ind w:left="1180" w:hanging="544"/>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litigation settlement accruals of $9.0 million and $5.5 million in the years ended September 30, 2018 and 2016, respectively;</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goodwill impairment charge of $26.5 million in the year ended September 30, 2017;</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insurance proceeds of $2.0 million in the year ended September 30, 2017; and</w:t>
      </w:r>
    </w:p>
    <w:p>
      <w:pPr>
        <w:spacing w:after="0" w:line="130" w:lineRule="exact"/>
        <w:rPr>
          <w:rFonts w:ascii="Arial" w:cs="Arial" w:eastAsia="Arial" w:hAnsi="Arial"/>
          <w:sz w:val="18"/>
          <w:szCs w:val="18"/>
          <w:color w:val="auto"/>
        </w:rPr>
      </w:pPr>
    </w:p>
    <w:p>
      <w:pPr>
        <w:ind w:left="1180" w:right="460" w:hanging="544"/>
        <w:spacing w:after="0" w:line="277"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restructuring and plant closure costs of $5.0 million and losses on assets held for sale of $4.5 million in the year ended September 30, 2016.</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Nine months ended June 30, 2019 and 2018</w:t>
      </w:r>
    </w:p>
    <w:p>
      <w:pPr>
        <w:spacing w:after="0" w:line="12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Active Nutrition</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 favorable/(unfavorable)</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7"/>
          </w:tcPr>
          <w:p>
            <w:pPr>
              <w:jc w:val="right"/>
              <w:ind w:right="240"/>
              <w:spacing w:after="0" w:line="142" w:lineRule="exact"/>
              <w:rPr>
                <w:sz w:val="20"/>
                <w:szCs w:val="20"/>
                <w:color w:val="auto"/>
              </w:rPr>
            </w:pPr>
            <w:r>
              <w:rPr>
                <w:rFonts w:ascii="Arial" w:cs="Arial" w:eastAsia="Arial" w:hAnsi="Arial"/>
                <w:sz w:val="14"/>
                <w:szCs w:val="14"/>
                <w:b w:val="1"/>
                <w:bCs w:val="1"/>
                <w:color w:val="auto"/>
              </w:rPr>
              <w:t>Nine Months Ended June 30,</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2019</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2018</w:t>
            </w:r>
          </w:p>
        </w:tc>
        <w:tc>
          <w:tcPr>
            <w:tcW w:w="680" w:type="dxa"/>
            <w:vAlign w:val="bottom"/>
            <w:gridSpan w:val="2"/>
          </w:tcPr>
          <w:p>
            <w:pPr>
              <w:ind w:left="58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9"/>
              </w:rPr>
              <w:t>Change</w:t>
            </w:r>
          </w:p>
        </w:tc>
        <w:tc>
          <w:tcPr>
            <w:tcW w:w="88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w w:val="94"/>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639.9</w:t>
            </w: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607.6</w:t>
            </w: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404.8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403.6</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235.1</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204.0</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92.0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104.1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340"/>
              <w:spacing w:after="0"/>
              <w:rPr>
                <w:sz w:val="20"/>
                <w:szCs w:val="20"/>
                <w:color w:val="auto"/>
              </w:rPr>
            </w:pPr>
            <w:r>
              <w:rPr>
                <w:rFonts w:ascii="Arial" w:cs="Arial" w:eastAsia="Arial" w:hAnsi="Arial"/>
                <w:sz w:val="18"/>
                <w:szCs w:val="18"/>
                <w:b w:val="1"/>
                <w:bCs w:val="1"/>
                <w:color w:val="auto"/>
              </w:rPr>
              <w:t>Earnings before Income Taxes</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126.5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82.8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43.7</w:t>
            </w:r>
          </w:p>
        </w:tc>
        <w:tc>
          <w:tcPr>
            <w:tcW w:w="28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340"/>
              <w:spacing w:after="0"/>
              <w:rPr>
                <w:sz w:val="20"/>
                <w:szCs w:val="20"/>
                <w:color w:val="auto"/>
              </w:rPr>
            </w:pPr>
            <w:r>
              <w:rPr>
                <w:rFonts w:ascii="Arial" w:cs="Arial" w:eastAsia="Arial" w:hAnsi="Arial"/>
                <w:sz w:val="18"/>
                <w:szCs w:val="18"/>
                <w:b w:val="1"/>
                <w:bCs w:val="1"/>
                <w:color w:val="auto"/>
              </w:rPr>
              <w:t>Net Earnings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8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44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37%</w:t>
            </w:r>
          </w:p>
        </w:tc>
        <w:tc>
          <w:tcPr>
            <w:tcW w:w="3160" w:type="dxa"/>
            <w:vAlign w:val="bottom"/>
            <w:shd w:val="clear" w:color="auto" w:fill="CCEEFF"/>
          </w:tcPr>
          <w:p>
            <w:pPr>
              <w:jc w:val="right"/>
              <w:ind w:right="235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EBIT Margin</w:t>
            </w:r>
          </w:p>
        </w:tc>
        <w:tc>
          <w:tcPr>
            <w:tcW w:w="4440" w:type="dxa"/>
            <w:vAlign w:val="bottom"/>
          </w:tcPr>
          <w:p>
            <w:pPr>
              <w:jc w:val="right"/>
              <w:ind w:right="310"/>
              <w:spacing w:after="0"/>
              <w:rPr>
                <w:sz w:val="20"/>
                <w:szCs w:val="20"/>
                <w:color w:val="auto"/>
              </w:rPr>
            </w:pPr>
            <w:r>
              <w:rPr>
                <w:rFonts w:ascii="Arial" w:cs="Arial" w:eastAsia="Arial" w:hAnsi="Arial"/>
                <w:sz w:val="18"/>
                <w:szCs w:val="18"/>
                <w:color w:val="auto"/>
              </w:rPr>
              <w:t>20%</w:t>
            </w:r>
          </w:p>
        </w:tc>
        <w:tc>
          <w:tcPr>
            <w:tcW w:w="3160" w:type="dxa"/>
            <w:vAlign w:val="bottom"/>
          </w:tcPr>
          <w:p>
            <w:pPr>
              <w:jc w:val="right"/>
              <w:ind w:right="235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44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24%</w:t>
            </w:r>
          </w:p>
        </w:tc>
        <w:tc>
          <w:tcPr>
            <w:tcW w:w="3160" w:type="dxa"/>
            <w:vAlign w:val="bottom"/>
            <w:shd w:val="clear" w:color="auto" w:fill="CCEEFF"/>
          </w:tcPr>
          <w:p>
            <w:pPr>
              <w:jc w:val="right"/>
              <w:ind w:right="2350"/>
              <w:spacing w:after="0"/>
              <w:rPr>
                <w:sz w:val="20"/>
                <w:szCs w:val="20"/>
                <w:color w:val="auto"/>
              </w:rPr>
            </w:pPr>
            <w:r>
              <w:rPr>
                <w:rFonts w:ascii="Arial" w:cs="Arial" w:eastAsia="Arial" w:hAnsi="Arial"/>
                <w:sz w:val="18"/>
                <w:szCs w:val="18"/>
                <w:color w:val="auto"/>
              </w:rPr>
              <w:t>16%</w:t>
            </w:r>
          </w:p>
        </w:tc>
      </w:tr>
      <w:tr>
        <w:trPr>
          <w:trHeight w:val="365"/>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440" w:type="dxa"/>
            <w:vAlign w:val="bottom"/>
          </w:tcPr>
          <w:p>
            <w:pPr>
              <w:jc w:val="right"/>
              <w:ind w:right="2190"/>
              <w:spacing w:after="0"/>
              <w:rPr>
                <w:sz w:val="20"/>
                <w:szCs w:val="20"/>
                <w:color w:val="auto"/>
              </w:rPr>
            </w:pPr>
            <w:r>
              <w:rPr>
                <w:rFonts w:ascii="Arial" w:cs="Arial" w:eastAsia="Arial" w:hAnsi="Arial"/>
                <w:sz w:val="18"/>
                <w:szCs w:val="18"/>
                <w:color w:val="auto"/>
              </w:rPr>
              <w:t>86</w:t>
            </w:r>
          </w:p>
        </w:tc>
        <w:tc>
          <w:tcPr>
            <w:tcW w:w="31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Nine months ended June 30, 2019 compared to 2018</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Sales</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 xml:space="preserve">Net sales increased $32.3 million, or 5%, during the nine months ended June 30, 2019, as compared to the corresponding period in the prior year, primarily due to higher volume and higher average net selling prices. Sales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products were up $47.2 million, or 10%, with volume up 7%, primarily driven by increases in sales of RTD protein shake products, partially offset by lower sales of nutrition bars. Sales of RTD protein shakes in the nine months ended June 30, 2019 were positively impacted by approximately $15 million of sales associated with the request for early delivery of product made by a large customer to support promotional activity in the third quarter of fiscal 2019, as compared to comparable delivery in the fourth quarter of fiscal 2018. However, increases in RTD protein shake product volumes for the nine months ended June 30, 2019 were below recent growth trends primarily due to short-term supply constraints (for further discussion, see “Industry &amp; Company Trends” above). Sales of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products were up $2.8 million, or 3%, with volume up 2%, primarily due to distribution gains in the club and mass channels and organic growth in the eCommerce channel, partially offset by declines in the specialty channel. Sales of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products were down $13.5 million, or 28%, with volume down 31%, driven by distribution losses and strategic sales reductions of low performing products within our North American portfolio. Sales of all other products were down $4.2 million. Current year net sales were impacted by the reclassification of certain payments to customers of $5.3 million from selling expenses to net sales in connection with the adoption of ASU 2014-09 (see below for further discussion).</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Earnings before Income Taxes</w:t>
      </w:r>
    </w:p>
    <w:p>
      <w:pPr>
        <w:spacing w:after="0" w:line="117"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EBIT increased $43.7 million, or 53%, for the nine months ended June 30, 2019, as compared to the corresponding period in the prior year. EBIT in the nine months ended June 30, 2018 was impacted by a litigation settlement accrual of $9.0 million. Excluding this impact, EBIT increased</w:t>
      </w:r>
    </w:p>
    <w:p>
      <w:pPr>
        <w:ind w:left="200" w:right="80"/>
        <w:spacing w:after="0" w:line="253" w:lineRule="auto"/>
        <w:rPr>
          <w:sz w:val="20"/>
          <w:szCs w:val="20"/>
          <w:color w:val="auto"/>
        </w:rPr>
      </w:pPr>
      <w:r>
        <w:rPr>
          <w:rFonts w:ascii="Arial" w:cs="Arial" w:eastAsia="Arial" w:hAnsi="Arial"/>
          <w:sz w:val="18"/>
          <w:szCs w:val="18"/>
          <w:color w:val="auto"/>
        </w:rPr>
        <w:t>$34.7 million, or 38%. Gross profit margins improved to 37% in the nine months ended June 30, 2019, from 34% in the prior year period. These increases were driven by higher average net selling prices, as previously discussed, lower net product costs of $16.0 million, as favorable raw materials and freight costs were partially offset by increased manufacturing costs, and reduced advertising and consumer spending of $7.4 million. These positive impacts were partially offset by higher employee-related expenses and increased corporate cost allocations of $5.0 million driven primarily by costs incurred related to our separation from Post.</w:t>
      </w:r>
    </w:p>
    <w:p>
      <w:pPr>
        <w:spacing w:after="0" w:line="2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Income Taxes</w:t>
      </w:r>
    </w:p>
    <w:p>
      <w:pPr>
        <w:spacing w:after="0" w:line="11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The effective income tax rate was 23.8% and 15.8% for the nine months ended June 30, 2019 and 2018, respectively. In accordance with Accounting Standards Codification (“ASC”) Topic 740, “Income Taxes,” income tax expense is recorded for interim periods using the estimated annual effective income tax rate for the full fiscal year adjusted for the impact of discrete items occurring during the interim periods.</w:t>
      </w:r>
    </w:p>
    <w:p>
      <w:pPr>
        <w:spacing w:after="0" w:line="166"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The effective income tax rate in the nine months ended June 30, 2018, was impacted by the Tax Act, which was enacted on December 22, 2017. The Tax Act resulted in significant impacts to the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went into effect for the 2019 tax year and was prorated with the pre-December 22, 2017 U.S. federal corporate income tax rate of 35% for the 2018 tax year. This proration resulted in a blended U.S. federal corporate income tax rate of 24.5% for fiscal 2018. During the nine months ended June, 2018, Active Nutrition (i) remeasured its existing deferred tax assets and liabilities considering both the 2018 fiscal blended rate and the 21% rate for periods beyond fiscal 2018 and recorded a tax benefit of $9.9 million and (ii) calculated the one-time transition tax and recorded tax expense of $0.5 million. Full expensing of certain depreciable assets resulted in temporary differences, which were analyzed throughout fiscal 2018 as assets were placed in service.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Revenue from Contracts with Customers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On October 1, 2018, Active Nutrition adopted ASU 2014-09, “Revenue from Contracts with Customers (Topic 606),” which superseded all existing revenue recognition guidance under GAAP. Upon adoption, certain payments to customers were reclassified from “Selling, general and administrative expenses” to “Net Sales” in the Condensed Combined Statement of Operations and Comprehensive Income for the nine months ended June 30, 2019. For additional information regarding ASU 2014-09, refer to Note 3 of “Notes to Condensed Combined Financial Statements” for the nine months ended June 30, 2019 and 2018.</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Years Ended September 30, 2018, 2017 and 2016</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Active Nutrition</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 in millions; favorable/(unfavorable)</w:t>
            </w: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8"/>
          </w:tcPr>
          <w:p>
            <w:pPr>
              <w:jc w:val="right"/>
              <w:ind w:right="120"/>
              <w:spacing w:after="0" w:line="142" w:lineRule="exact"/>
              <w:rPr>
                <w:sz w:val="20"/>
                <w:szCs w:val="20"/>
                <w:color w:val="auto"/>
              </w:rPr>
            </w:pPr>
            <w:r>
              <w:rPr>
                <w:rFonts w:ascii="Arial" w:cs="Arial" w:eastAsia="Arial" w:hAnsi="Arial"/>
                <w:sz w:val="14"/>
                <w:szCs w:val="14"/>
                <w:b w:val="1"/>
                <w:bCs w:val="1"/>
                <w:color w:val="auto"/>
              </w:rPr>
              <w:t>Year Ended September 30,</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7"/>
          </w:tcPr>
          <w:p>
            <w:pPr>
              <w:jc w:val="right"/>
              <w:ind w:right="120"/>
              <w:spacing w:after="0" w:line="142" w:lineRule="exact"/>
              <w:rPr>
                <w:sz w:val="20"/>
                <w:szCs w:val="20"/>
                <w:color w:val="auto"/>
              </w:rPr>
            </w:pPr>
            <w:r>
              <w:rPr>
                <w:rFonts w:ascii="Arial" w:cs="Arial" w:eastAsia="Arial" w:hAnsi="Arial"/>
                <w:sz w:val="14"/>
                <w:szCs w:val="14"/>
                <w:b w:val="1"/>
                <w:bCs w:val="1"/>
                <w:color w:val="auto"/>
              </w:rPr>
              <w:t>Year Ended September 30,</w:t>
            </w: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2018</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2"/>
                <w:szCs w:val="12"/>
                <w:color w:val="auto"/>
              </w:rPr>
            </w:pPr>
          </w:p>
        </w:tc>
        <w:tc>
          <w:tcPr>
            <w:tcW w:w="2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9"/>
              </w:rPr>
              <w:t>Change</w:t>
            </w:r>
          </w:p>
        </w:tc>
        <w:tc>
          <w:tcPr>
            <w:tcW w:w="7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w w:val="94"/>
              </w:rPr>
              <w:t>% Change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2016</w:t>
            </w: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9"/>
              </w:rPr>
              <w:t>Change</w:t>
            </w: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right w:val="single" w:sz="8" w:color="CCEEFF"/>
            </w:tcBorders>
            <w:vMerge w:val="continue"/>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827.5</w:t>
            </w: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713.2</w:t>
            </w:r>
          </w:p>
        </w:tc>
        <w:tc>
          <w:tcPr>
            <w:tcW w:w="24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713.2</w:t>
            </w:r>
          </w:p>
        </w:tc>
        <w:tc>
          <w:tcPr>
            <w:tcW w:w="2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574.7</w:t>
            </w: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Cost of goods sold</w:t>
            </w:r>
          </w:p>
        </w:tc>
        <w:tc>
          <w:tcPr>
            <w:tcW w:w="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549.8</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467.4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(82.4)</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467.4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395.5</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(71.9)</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277.7</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179.2</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expenses</w:t>
            </w:r>
          </w:p>
        </w:tc>
        <w:tc>
          <w:tcPr>
            <w:tcW w:w="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135.1</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131.0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131.0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119.8</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Impairment of goodwill</w:t>
            </w: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operating (income) expenses, net</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ind w:left="340"/>
              <w:spacing w:after="0"/>
              <w:rPr>
                <w:sz w:val="20"/>
                <w:szCs w:val="20"/>
                <w:color w:val="auto"/>
              </w:rPr>
            </w:pPr>
            <w:r>
              <w:rPr>
                <w:rFonts w:ascii="Arial" w:cs="Arial" w:eastAsia="Arial" w:hAnsi="Arial"/>
                <w:sz w:val="18"/>
                <w:szCs w:val="18"/>
                <w:b w:val="1"/>
                <w:bCs w:val="1"/>
                <w:color w:val="auto"/>
              </w:rPr>
              <w:t>Earnings before Income Taxes</w:t>
            </w:r>
          </w:p>
        </w:tc>
        <w:tc>
          <w:tcPr>
            <w:tcW w:w="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119.8</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22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ind w:left="340"/>
              <w:spacing w:after="0"/>
              <w:rPr>
                <w:sz w:val="20"/>
                <w:szCs w:val="20"/>
                <w:color w:val="auto"/>
              </w:rPr>
            </w:pPr>
            <w:r>
              <w:rPr>
                <w:rFonts w:ascii="Arial" w:cs="Arial" w:eastAsia="Arial" w:hAnsi="Arial"/>
                <w:sz w:val="18"/>
                <w:szCs w:val="18"/>
                <w:b w:val="1"/>
                <w:bCs w:val="1"/>
                <w:color w:val="auto"/>
              </w:rPr>
              <w:t>Net Earnings</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1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34%</w:t>
            </w:r>
          </w:p>
        </w:tc>
        <w:tc>
          <w:tcPr>
            <w:tcW w:w="196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34%</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34%</w:t>
            </w:r>
          </w:p>
        </w:tc>
        <w:tc>
          <w:tcPr>
            <w:tcW w:w="2760" w:type="dxa"/>
            <w:vAlign w:val="bottom"/>
            <w:shd w:val="clear" w:color="auto" w:fill="CCEEFF"/>
          </w:tcPr>
          <w:p>
            <w:pPr>
              <w:jc w:val="right"/>
              <w:ind w:right="205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EBIT Margin</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14%</w:t>
            </w:r>
          </w:p>
        </w:tc>
        <w:tc>
          <w:tcPr>
            <w:tcW w:w="1960" w:type="dxa"/>
            <w:vAlign w:val="bottom"/>
          </w:tcPr>
          <w:p>
            <w:pPr>
              <w:jc w:val="right"/>
              <w:ind w:right="1230"/>
              <w:spacing w:after="0"/>
              <w:rPr>
                <w:sz w:val="20"/>
                <w:szCs w:val="20"/>
                <w:color w:val="auto"/>
              </w:rPr>
            </w:pPr>
            <w:r>
              <w:rPr>
                <w:rFonts w:ascii="Arial" w:cs="Arial" w:eastAsia="Arial" w:hAnsi="Arial"/>
                <w:sz w:val="18"/>
                <w:szCs w:val="18"/>
                <w:color w:val="auto"/>
              </w:rPr>
              <w:t>9%</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9%</w:t>
            </w:r>
          </w:p>
        </w:tc>
        <w:tc>
          <w:tcPr>
            <w:tcW w:w="2760" w:type="dxa"/>
            <w:vAlign w:val="bottom"/>
          </w:tcPr>
          <w:p>
            <w:pPr>
              <w:jc w:val="right"/>
              <w:ind w:right="205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w:t>
            </w:r>
          </w:p>
        </w:tc>
        <w:tc>
          <w:tcPr>
            <w:tcW w:w="196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46%</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46%</w:t>
            </w:r>
          </w:p>
        </w:tc>
        <w:tc>
          <w:tcPr>
            <w:tcW w:w="2760" w:type="dxa"/>
            <w:vAlign w:val="bottom"/>
            <w:shd w:val="clear" w:color="auto" w:fill="CCEEFF"/>
          </w:tcPr>
          <w:p>
            <w:pPr>
              <w:jc w:val="right"/>
              <w:ind w:right="2050"/>
              <w:spacing w:after="0"/>
              <w:rPr>
                <w:sz w:val="20"/>
                <w:szCs w:val="20"/>
                <w:color w:val="auto"/>
              </w:rPr>
            </w:pPr>
            <w:r>
              <w:rPr>
                <w:rFonts w:ascii="Arial" w:cs="Arial" w:eastAsia="Arial" w:hAnsi="Arial"/>
                <w:sz w:val="18"/>
                <w:szCs w:val="18"/>
                <w:color w:val="auto"/>
              </w:rPr>
              <w:t>37%</w:t>
            </w: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Sales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sales increased $114.3 million, or 16%, during the year ended September 30, 2018, as compared to the corresponding period in the prior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year. Sales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products were up $135.0 million, or 27%, with volume up 29%, driven by increased consumption and distribution of RTD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protein shakes, as well as new product introductions. Sales of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products were down $2.1 million, or 2%, with volume down 13%, primarily due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to weakness in the domestic specialty channel, partially offset by volume gains in the eCommerce channel, new distribution in the club and mass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channels and a favorable customer and product mix. Sales of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products were down $18.9 million, or 24%, with volume down 27%, primarily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due to lost distribution in the mass channel, portfolio reductions on low performing product and reduced consumption in North America. These negative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impacts were partially offset by new product introductions and favorable foreign exchange rates. Sales of all other products were up $0.3 million.</w:t>
      </w:r>
    </w:p>
    <w:p>
      <w:pPr>
        <w:spacing w:after="0" w:line="3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Earnings before Income Taxes</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EBIT increased $54.2 million, or 83%, for the year ended September 30, 2018. EBIT in the year ended September 30, 2018 was impacted by a litigation settlement accrual of $9.0 million and in the year ended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240" w:top="459" w:right="4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9" w:lineRule="auto"/>
        <w:rPr>
          <w:sz w:val="20"/>
          <w:szCs w:val="20"/>
          <w:color w:val="auto"/>
        </w:rPr>
      </w:pPr>
      <w:r>
        <w:rPr>
          <w:rFonts w:ascii="Arial" w:cs="Arial" w:eastAsia="Arial" w:hAnsi="Arial"/>
          <w:sz w:val="17"/>
          <w:szCs w:val="17"/>
          <w:color w:val="auto"/>
        </w:rPr>
        <w:t xml:space="preserve">September 30, 2017, by an impairment of goodwill of $26.5 million (see below for further discussion) and insurance proceeds of $2.0 million. Excluding these impacts, EBIT increased $38.7 million, or 43%. This increase was driven by higher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product volumes, as previously discussed, and lower advertising and consumer spending of $9.7 million, partially offset by higher raw material costs of $2.3 million, increased freight costs of $8.4 million (excluding volume-driven increases) and increased employee-related expenses to support growth.</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Sales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 xml:space="preserve">Net sales increased $138.5 million, or 24%, during the year ended September 30, 2017, as compared to the corresponding period in the prior year. Sales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products were up $166.3 million, or 50%, with volume up 53%, driven by increased consumption and distribution of RTD protein shakes, as well as new product introductions, partially offset by targeted price reductions and increased promotional activity. Sales of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were down $4.8 million, or 4%, primarily due to weakness in the domestic specialty channel and higher promotional activity, partially offset by an increase in volume of 10%. The increase in volume is primarily the result of distribution gains in the eCommerce channel and international growth. Sales of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products were down $12.1 million, or 13%, with volume down 27%, primarily due to lost distribution in North America, discontinued products and increased promotional investments. These negative impacts were partially offset by new product introductions and a favorable product mix. Other product sales were down $10.9 million, or 34%, with volume down 32%, primarily due to lower consumption of </w:t>
      </w:r>
      <w:r>
        <w:rPr>
          <w:rFonts w:ascii="Arial" w:cs="Arial" w:eastAsia="Arial" w:hAnsi="Arial"/>
          <w:sz w:val="18"/>
          <w:szCs w:val="18"/>
          <w:i w:val="1"/>
          <w:iCs w:val="1"/>
          <w:color w:val="auto"/>
        </w:rPr>
        <w:t>Supreme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Protein </w:t>
      </w:r>
      <w:r>
        <w:rPr>
          <w:rFonts w:ascii="Arial" w:cs="Arial" w:eastAsia="Arial" w:hAnsi="Arial"/>
          <w:sz w:val="18"/>
          <w:szCs w:val="18"/>
          <w:color w:val="auto"/>
        </w:rPr>
        <w:t>and</w:t>
      </w:r>
      <w:r>
        <w:rPr>
          <w:rFonts w:ascii="Arial" w:cs="Arial" w:eastAsia="Arial" w:hAnsi="Arial"/>
          <w:sz w:val="18"/>
          <w:szCs w:val="18"/>
          <w:i w:val="1"/>
          <w:iCs w:val="1"/>
          <w:color w:val="auto"/>
        </w:rPr>
        <w:t xml:space="preserve"> Joint Juice </w:t>
      </w:r>
      <w:r>
        <w:rPr>
          <w:rFonts w:ascii="Arial" w:cs="Arial" w:eastAsia="Arial" w:hAnsi="Arial"/>
          <w:sz w:val="18"/>
          <w:szCs w:val="18"/>
          <w:color w:val="auto"/>
        </w:rPr>
        <w:t>products.</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Earnings before Income Taxes</w:t>
      </w:r>
    </w:p>
    <w:p>
      <w:pPr>
        <w:spacing w:after="0" w:line="117" w:lineRule="exact"/>
        <w:rPr>
          <w:sz w:val="20"/>
          <w:szCs w:val="20"/>
          <w:color w:val="auto"/>
        </w:rPr>
      </w:pPr>
    </w:p>
    <w:p>
      <w:pPr>
        <w:jc w:val="both"/>
        <w:ind w:left="200" w:right="100" w:firstLine="441"/>
        <w:spacing w:after="0" w:line="288" w:lineRule="auto"/>
        <w:rPr>
          <w:sz w:val="20"/>
          <w:szCs w:val="20"/>
          <w:color w:val="auto"/>
        </w:rPr>
      </w:pPr>
      <w:r>
        <w:rPr>
          <w:rFonts w:ascii="Arial" w:cs="Arial" w:eastAsia="Arial" w:hAnsi="Arial"/>
          <w:sz w:val="16"/>
          <w:szCs w:val="16"/>
          <w:color w:val="auto"/>
        </w:rPr>
        <w:t>EBIT increased $33.9 million, or 107%, for the year ended September 30, 2017. EBIT in the year ended September 30, 2017 was impacted by an impairment of goodwill of $26.5 million (see below for further discussion) and insurance proceeds of $2.0 million and in the year ended September 30, 2016, by a litigation settlement accrual of $5.5 million, restructuring and plant closure costs of $5.0 million and losses on assets held for sale of</w:t>
      </w:r>
    </w:p>
    <w:p>
      <w:pPr>
        <w:ind w:left="200" w:right="120"/>
        <w:spacing w:after="0" w:line="253" w:lineRule="auto"/>
        <w:rPr>
          <w:sz w:val="20"/>
          <w:szCs w:val="20"/>
          <w:color w:val="auto"/>
        </w:rPr>
      </w:pPr>
      <w:r>
        <w:rPr>
          <w:rFonts w:ascii="Arial" w:cs="Arial" w:eastAsia="Arial" w:hAnsi="Arial"/>
          <w:sz w:val="18"/>
          <w:szCs w:val="18"/>
          <w:color w:val="auto"/>
        </w:rPr>
        <w:t xml:space="preserve">$4.5 million. Excluding these impacts, EBIT increased $43.4 million, or 93%. This increase was driven by higher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product volumes, as previously described, and favorable input costs of $24.9 million, partially offset by lower net selling prices, $6.4 million higher advertising and consumer spending related to the growth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branded products and increased employee-related expenses resulting from increased headcount to support growth. For additional information on restructuring activities and assets held for sale, refer to Note 4 of “Notes to Combined Financial Statements” for the years ended September 30, 2018, 2017 and 2016.</w:t>
      </w:r>
    </w:p>
    <w:p>
      <w:pPr>
        <w:spacing w:after="0" w:line="29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Impairment of Goodwill</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For the year ended September 30, 2017, Active Nutrition recorded a charge of $26.5 million for the impairment of goodwill. The impairment charge related to the Dymatize reporting unit. In fiscal 2017, consistent with the prior year, the specialty channel, from which the Dymatize reporting unit derived the majority of its sales, continued to experience weak sales, which resulted in management lowering its long-term expectations for the Dymatize reporting unit. After conducting step one of the impairment analysis, it was determined that the carrying value of the Dymatize reporting unit exceeded its fair value by $76.6 million, and Active Nutrition recorded an impairment charge for goodwill down to the fair value. At the time of the analysis, the Dymatize reporting unit had $26.5 million of remaining goodwill, and therefore, an impairment charge for the entire goodwill balance of $26.5 million was recorded.</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effective income tax rate for fiscal 2018 was 19.8% compared to 46.3% for fiscal 2017 and 37.2% for fiscal 2016. A reconciliation of income tax expense with amounts computed at the federal statutory tax rate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5"/>
              </w:rPr>
              <w:t>Active Nutrition</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9"/>
          </w:tcPr>
          <w:p>
            <w:pPr>
              <w:jc w:val="center"/>
              <w:ind w:right="33"/>
              <w:spacing w:after="0" w:line="142" w:lineRule="exact"/>
              <w:rPr>
                <w:sz w:val="20"/>
                <w:szCs w:val="20"/>
                <w:color w:val="auto"/>
              </w:rPr>
            </w:pPr>
            <w:r>
              <w:rPr>
                <w:rFonts w:ascii="Arial" w:cs="Arial" w:eastAsia="Arial" w:hAnsi="Arial"/>
                <w:sz w:val="14"/>
                <w:szCs w:val="14"/>
                <w:b w:val="1"/>
                <w:bCs w:val="1"/>
                <w:color w:val="auto"/>
                <w:w w:val="92"/>
              </w:rPr>
              <w:t>Year Ended September 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33"/>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Computed tax</w:t>
            </w:r>
            <w:r>
              <w:rPr>
                <w:rFonts w:ascii="Arial" w:cs="Arial" w:eastAsia="Arial" w:hAnsi="Arial"/>
                <w:sz w:val="15"/>
                <w:szCs w:val="15"/>
                <w:color w:val="auto"/>
              </w:rPr>
              <w:t>(a)</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Enacted tax law and changes, including the Tax Act</w:t>
            </w:r>
            <w:r>
              <w:rPr>
                <w:rFonts w:ascii="Arial" w:cs="Arial" w:eastAsia="Arial" w:hAnsi="Arial"/>
                <w:sz w:val="15"/>
                <w:szCs w:val="15"/>
                <w:color w:val="auto"/>
              </w:rPr>
              <w:t>(a)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income taxes, net of effect on federal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Non-deductible goodwill impairment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 (none in excess of 5% of statutory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848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7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640" w:right="160" w:hanging="436"/>
        <w:spacing w:after="0" w:line="264"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Fiscal 2018 federal corporate income tax was computed using a blended U.S. federal corporate income tax rate of 24.5%. The fiscal 2018 federal corporate income tax rate was impacted by the Tax Act, as discussed below. Fiscal 2017 and 2016 federal corporate income tax was computed at the federal statutory tax rate of 35%.</w:t>
      </w:r>
    </w:p>
    <w:p>
      <w:pPr>
        <w:spacing w:after="0" w:line="181" w:lineRule="exact"/>
        <w:rPr>
          <w:sz w:val="20"/>
          <w:szCs w:val="20"/>
          <w:color w:val="auto"/>
        </w:rPr>
      </w:pPr>
    </w:p>
    <w:p>
      <w:pPr>
        <w:ind w:left="200" w:right="80" w:firstLine="441"/>
        <w:spacing w:after="0" w:line="284" w:lineRule="auto"/>
        <w:rPr>
          <w:sz w:val="20"/>
          <w:szCs w:val="20"/>
          <w:color w:val="auto"/>
        </w:rPr>
      </w:pPr>
      <w:r>
        <w:rPr>
          <w:rFonts w:ascii="Arial" w:cs="Arial" w:eastAsia="Arial" w:hAnsi="Arial"/>
          <w:sz w:val="16"/>
          <w:szCs w:val="16"/>
          <w:color w:val="auto"/>
        </w:rPr>
        <w:t>In fiscal 2018, the effective income tax rate was impacted by the Tax Act, which was enacted on December 22, 2017. The SEC issued interpretive guidance regarding the Tax Act, which was codified by ASU 2018-05 in March 2018. The Tax Act resulted in significant impacts to the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went into effect for the 2019 tax year and is prorated with the pre-December 22, 2017 U.S. federal corporate income tax rate of 35% for the 2018 tax year. This proration resulted in a blended U.S. federal corporate income tax rate of 24.5% for fiscal 2018. Adjustments were made in the following instances: (i) Active Nutrition remeasured its existing deferred tax assets and liabilities considering both the 2018 fiscal blended rate and the 21% rate for future periods and recorded a tax benefit of</w:t>
      </w:r>
    </w:p>
    <w:p>
      <w:pPr>
        <w:spacing w:after="0" w:line="1" w:lineRule="exact"/>
        <w:rPr>
          <w:sz w:val="20"/>
          <w:szCs w:val="20"/>
          <w:color w:val="auto"/>
        </w:rPr>
      </w:pPr>
    </w:p>
    <w:p>
      <w:pPr>
        <w:ind w:left="200" w:right="780"/>
        <w:spacing w:after="0" w:line="261" w:lineRule="auto"/>
        <w:rPr>
          <w:sz w:val="20"/>
          <w:szCs w:val="20"/>
          <w:color w:val="auto"/>
        </w:rPr>
      </w:pPr>
      <w:r>
        <w:rPr>
          <w:rFonts w:ascii="Arial" w:cs="Arial" w:eastAsia="Arial" w:hAnsi="Arial"/>
          <w:sz w:val="18"/>
          <w:szCs w:val="18"/>
          <w:color w:val="auto"/>
        </w:rPr>
        <w:t>$9.9 million and (ii) Active Nutrition calculated the one-time transition tax and recorded tax expense of $0.5 million. Full expensing of certain depreciable assets will result in a temporary difference as assets are placed in service.</w:t>
      </w: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LIQUIDITY AND CAPITAL RESOURCES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Active Nutrition</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5"/>
          </w:tcPr>
          <w:p>
            <w:pPr>
              <w:jc w:val="right"/>
              <w:ind w:right="240"/>
              <w:spacing w:after="0" w:line="119" w:lineRule="exact"/>
              <w:rPr>
                <w:sz w:val="20"/>
                <w:szCs w:val="20"/>
                <w:color w:val="auto"/>
              </w:rPr>
            </w:pPr>
            <w:r>
              <w:rPr>
                <w:rFonts w:ascii="Arial" w:cs="Arial" w:eastAsia="Arial" w:hAnsi="Arial"/>
                <w:sz w:val="13"/>
                <w:szCs w:val="13"/>
                <w:b w:val="1"/>
                <w:bCs w:val="1"/>
                <w:color w:val="auto"/>
              </w:rPr>
              <w:t>Nine Months Ended</w:t>
            </w:r>
          </w:p>
        </w:tc>
        <w:tc>
          <w:tcPr>
            <w:tcW w:w="360" w:type="dxa"/>
            <w:vAlign w:val="bottom"/>
          </w:tcPr>
          <w:p>
            <w:pPr>
              <w:spacing w:after="0"/>
              <w:rPr>
                <w:sz w:val="10"/>
                <w:szCs w:val="10"/>
                <w:color w:val="auto"/>
              </w:rPr>
            </w:pPr>
          </w:p>
        </w:tc>
        <w:tc>
          <w:tcPr>
            <w:tcW w:w="212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9"/>
              </w:rPr>
              <w:t>June 30,</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tcBorders>
              <w:bottom w:val="single" w:sz="8" w:color="auto"/>
            </w:tcBorders>
            <w:gridSpan w:val="6"/>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jc w:val="right"/>
              <w:ind w:right="24"/>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64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3"/>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Operating activities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59.4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100.5</w:t>
            </w: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141.2</w:t>
            </w:r>
          </w:p>
        </w:tc>
        <w:tc>
          <w:tcPr>
            <w:tcW w:w="3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80.4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980" w:type="dxa"/>
            <w:vAlign w:val="bottom"/>
            <w:gridSpan w:val="3"/>
            <w:shd w:val="clear" w:color="auto" w:fill="CCEEFF"/>
          </w:tcPr>
          <w:p>
            <w:pPr>
              <w:jc w:val="right"/>
              <w:ind w:right="379"/>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Financing activities</w:t>
            </w:r>
          </w:p>
        </w:tc>
        <w:tc>
          <w:tcPr>
            <w:tcW w:w="980" w:type="dxa"/>
            <w:vAlign w:val="bottom"/>
            <w:gridSpan w:val="3"/>
          </w:tcPr>
          <w:p>
            <w:pPr>
              <w:jc w:val="right"/>
              <w:ind w:right="379"/>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(99.5)</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(133.0)</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(84.0)</w:t>
            </w: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80" w:type="dxa"/>
            <w:vAlign w:val="bottom"/>
            <w:gridSpan w:val="3"/>
            <w:shd w:val="clear" w:color="auto" w:fill="CCEEFF"/>
          </w:tcPr>
          <w:p>
            <w:pPr>
              <w:jc w:val="right"/>
              <w:ind w:right="379"/>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(7.5</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c>
          <w:tcPr>
            <w:tcW w:w="3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(1.1</w:t>
            </w:r>
          </w:p>
        </w:tc>
        <w:tc>
          <w:tcPr>
            <w:tcW w:w="500" w:type="dxa"/>
            <w:vAlign w:val="bottom"/>
          </w:tcPr>
          <w:p>
            <w:pPr>
              <w:jc w:val="right"/>
              <w:ind w:right="42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Financial resources for our U.S. operations have historically been provided by Post, which has managed cash and cash equivalents on a centralized basis. Under Post’s centralized cash management system, cash</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240" w:top="459" w:right="4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requirements are provided directly by Post and cash generated by us is generally remitted directly to Post. Transaction systems (e.g. payroll and employee benefits) used to record and account for cash disbursements are generally provided by Post. Cash receipts associated with our U.S. business have been transferred to Post on a daily basis and Post has funded our cash disbursements. Financial resources for our international operations have been historically managed by us.</w:t>
      </w:r>
    </w:p>
    <w:p>
      <w:pPr>
        <w:spacing w:after="0" w:line="18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BellRing Brands, Inc. expects to receive net proceeds from this offering of approximately $486.8 million (or approximately $561.0 million if the underwriters exercise their over-allotment option in full), assuming the shares are offered at $17.50 per share (the midpoint of the estimated offering price range set forth on the cover page of this prospectus), after deducting underwriting discounts and commissions and estimated offering expenses payable by us.</w:t>
      </w:r>
    </w:p>
    <w:p>
      <w:pPr>
        <w:spacing w:after="0" w:line="18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Prior to completion of this offering, Post will borrow $1,309.5 million under the Post bridge loan that Post and certain of its subsidiaries as guarantors (other than BellRing Brands, Inc., but including BellRing Brands, LLC and its domestic subsidiaries) will enter into with various financial institutions. On the same day that this offering is completed, BellRing Brands, LLC will enter into an assignment and assumption agreement with Post and the administrative agent (on behalf of the lenders) under the Post bridge loan pursuant to which (i) BellRing Brands, LLC will become the borrower under the Post bridge loan, and Post and its subsidiary guarantors (which will not include BellRing Brands, LLC or its domestic subsidiaries) will be released from their respective obligations thereunder, (ii) the domestic subsidiaries of BellRing Brands, LLC will continue to guarantee the Post bridge loan and (iii) BellRing Brands, LLC’s obligations under the Post bridge loan will become secured by a first priority security interest in substantially all of the assets of BellRing Brands, LLC and in substantially all of the assets of its subsidiary guarantors. Post will retain the net cash proceeds of the Post bridge loan. BellRing Brands, Inc. will contribute the net proceeds of this offering to BellRing Brands, LLC, which will use such net proceeds to repay a portion of the Post bridge loan and related interest.</w:t>
      </w:r>
    </w:p>
    <w:p>
      <w:pPr>
        <w:spacing w:after="0" w:line="17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Immediately after the completion of the formation transactions and the completion of this offering, BellRing Brands, LLC expects to enter into the debt facilities consisting of a revolving credit facility with approximately $200.0 million borrowing capacity and an approximately $820.0 million term loan facility and use the proceeds of the borrowings thereunder to repay the remaining balance of the Post bridge loan and all interest thereunder and for the other purposes described under “Use of Proceeds.”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term loan facility and the revolving credit facility, we can provide no assurance that the Board of Managers will make such a determination. We anticipate that BellRing Brands, LLC, if its Board of Managers determines to borrow under the debt facilities, will borrow approximately $820.0 million under the term loan facility and approximately $30.0 million under the revolving credit facility and receive net proceeds of approximately $6.1 million, after deducting fees and expenses, repayment of the remaining portion of the Post bridge loan and related interest and repayment of cash and cash equivalents to Post.</w:t>
      </w:r>
    </w:p>
    <w:p>
      <w:pPr>
        <w:spacing w:after="0" w:line="178"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We expect that the revolving credit facility also will be available for working capital and for general corporate purposes (including acquisitions) and that a portion of the revolving credit facility will be available for letters of credit. The debt facilities also may include incremental revolving and term loan facilities at our request and at the discretion of the lenders, on terms to be agreed upon with such lenders.</w:t>
      </w:r>
    </w:p>
    <w:p>
      <w:pPr>
        <w:spacing w:after="0" w:line="166"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We expect that the BellRing Brands, LLC obligations under the debt facilities will be unconditionally guaranteed by its existing and subsequently acquired or organized domestic subsidiaries (other than immaterial subsidiaries) and that the debt facilities will be secured by security interests on substantially all of the assets of BellRing Brands, LLC and the assets of its subsidiary guarantors, subject to limited exceptions. BellRing Brands, Inc. will not be an obligor or guarantor under the debt facilities, nor will BellRing Brands, Inc. pledge its BellRing Brands, LLC Units as collateral.</w:t>
      </w:r>
    </w:p>
    <w:p>
      <w:pPr>
        <w:spacing w:after="0" w:line="154"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As part of the formation transactions and this offering, BellRing Brands, LLC and its subsidiaries and BellRing Brands, Inc. will be designated “unrestricted subsidiaries” under Post’s senior note indentures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secured credit facility (meaning that they will not be guarantors of Post’s senior notes or secured credit facility or subject to the covenants under Post’s senior note indentures or secured credit facility), and any of such entities that are guarantors under Post’s secured credit facility will be released, as guarantors, the liens on their assets also will be released and the liens on any of their shares or other equity interests will be released. Thereafter, none of the assets of any such entities or their equity interests, including equity interests in their subsidiaries, will be pledged to secure Post’s debt, and they will not guarantee any Post debt.</w:t>
      </w:r>
    </w:p>
    <w:p>
      <w:pPr>
        <w:spacing w:after="0" w:line="188"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Additionally, BellRing Brands, Inc. intends to enter into a tax receivable agreement with Post and BellRing Brands, LLC that will provide for the payment by BellRing Brands, Inc. or one of its subsidiaries to Post (or certain of its transferees or other assignees) of 85% of the amount of cash savings, if any, in U.S. federal income tax, as well as state and local income tax and franchise tax (using an assumed tax rate on a base equal to the U.S. federal taxable income of BellRing Brands, Inc.) that BellRing Brands, Inc. realizes (or, in some circumstances, BellRing Brands, Inc. is deemed to realize) as a result of (a) the increase in the tax basis of assets of BellRing Brands, LLC attributable to (i) the redemption of Post’s (or certain transferees’ or assignees’) BellRing Brands, LLC Units for shares of BellRing Brands, Inc.’s Class A common stock or cash, (ii) deemed sales by Post (or certain of its transferees or assignees) of BellRing Brands, LLC Units or assets to BellRing Brands, Inc., (iii) certain actual or deemed distributions from BellRing Brands, LLC to Post (or certain transferees or assignees) and (iv) certain formation transactions, (b) disproportionate allocations of tax benefits to BellRing Brands, Inc. as a result of Section 704(c) of the Code and (c) certain tax benefits (e.g., basis adjustments, deductions, etc.) attributable to payments under the tax receivable agreement.</w:t>
      </w:r>
    </w:p>
    <w:p>
      <w:pPr>
        <w:spacing w:after="0" w:line="17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expect to generate positive cash flows from operations and believe our cash on hand, cash flows from operations and possible future credit facilities will be sufficient to satisfy our future working capital requirements, research and development activities, and other financing requirements for the foreseeable future. Our asset-light business model requires modest capital expenditures, with annual capital expenditures over the last three fiscal years averaging less than 1% of net sales. No significant capital expenditures are planned for fiscal 2019 or fiscal 2020. Our ability to generate positive cash flows from operations is dependent on general economic conditions, competitive pressures and other business risk factors. If we are unable to generate sufficient cash flows from operations, or otherwise to comply with the terms of our credit facilities, we may be required to seek additional financing alternatives.</w:t>
      </w:r>
    </w:p>
    <w:p>
      <w:pPr>
        <w:spacing w:after="0" w:line="18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Under the amended and restated limited liability company agreement, BellRing Brands, LLC may make distributions to its members from time to time at the discretion of the Board of Managers. Such distributions will be made to the members on a pro rata basis in proportion to the number of BellRing Brands, LLC Units held by each member, except that the Board of Managers may cause BellRing Brands, LLC to make non-proportionate distributions to BellRing Brands, Inc. in connection with any cash redemption of BellRing Brands, Inc.’s Class A common stock. See “Certain Relationships and Related Party Transactions—Post-Offering Relationship with Post—Amended and Restated Limited Liability Company Agreement— Distributions and Allocations.” The amended and restated limited liability company agreement provides, to the extent cash is available, for distributions pro rata to the holders of BellRing Brands, LLC Units such that members receive an amount of cash sufficient to cover the estimated taxes payable by them including, in the case of BellRing Brands, Inc., an amount sufficient to allow BellRing Brands, Inc. to make any payments required under the tax receivable agreement. In addition, the amended and restated limited liability company agreement will provide that BellRing Brands, LLC will reimburse BellRing Brands, Inc. for any reasonable out-of-pocket expenses incurred on behalf of the Company, including all fees, costs and expenses of BellRing Brands, Inc. associated with being a public company and maintaining its corporate existence.</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Nine months ended June 30, 2019 compared to 2018</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Cash provided by operating activities for the nine months ended June 30, 2019 decreased by $41.1 million compared to the prior year period. The decrease was driven by unfavorable working capital changes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24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 xml:space="preserve">$85.9 million, partially offset by higher earnings before income taxes. Changes in working capital were primarily driven by the impacts of fluctuations in the timing of sales largely connected with the reintroduction of all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 flavors in the second quarter of fiscal 2019 (for further discussion, see “Industry &amp; Company Trends” above) and fluctuations in the timing of purchases and payments of trade payables. Additionally, working capital was impacted in the fiscal 2019 period by payments of legal settlements and an increase in finished goods inventory for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as compared to unusually low inventory levels at September 30, 2018.</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117"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Cash provided by operating activities for the year ended September 30, 2018 increased by $60.8 million compared to the year ended September 30, 2017. The increase was driven by higher earnings before income taxes as well as $31.3 million of favorable working capital changes during the year ended September 30, 2018, as compared to the prior year period. The change in working capital was driven by a reduction in finished goods inventory, the timing of purchases and payments of trade payables and an increase in accrued legal settlements, partially offset by increased receivables due to higher net sales.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provided by operating activities for the year ended September 30, 2017 increased by $39.6 million compared to the year ended</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September 30, 2016. The increase was driven by higher net earnings as well as $5.7 million of favorable working capital changes during the year ended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September 30, 2017, as compared to the prior year period. The change in working capital was driven by fluctuations in the timing of sales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collections of trade receivables associated with higher overall net sales, as well as fluctuations in the timing of purchases and payments of trade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xml:space="preserve">payables. In addition, net inventory levels were lower as decreases for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protein powders resulting from the optimization of finished good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inventory levels were partially offset by increases in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to support the rapid growth of that product.</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Nine months ended June 30, 2019 compared to 2018</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Cash used in investing activities for the nine months ended June 30, 2019 decreased by $0.4 million compared to the prior year period, resulting from a decrease in capital expenditures.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Cash used in investing activities for the year ended September 30, 2018 was $5.0 million compared to cash provided by investing activities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$2.1 million in the year ended September 30, 2017. Cash provided by investing activities in the year ended September 30, 2017 included proceeds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$6.0 million received from the sale of the Dymatize Enterprises manufacturing facility located in Farmers Branch, Texas. Capital expenditures increased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 million in the year ended September 30, 2018, as compared to the prior year period.</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Cash provided by investing activities for the year ended September 30, 2017 was $2.1 million compared to cash used in investing activities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$2.6 million in the year ended September 30, 2016. Cash provided by investing activities in the year ended September 30, 2017 included proceeds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$6.0 million received from the sale of the Dymatize Enterprises manufacturing facility located in Farmers Branch, Texas. Capital expenditures decreased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$0.5 million in the year ended September 30, 2017, as compared to the prior year period.</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Nine months ended June 30, 2019 compared to 2018</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Cash used in financing activities for the nine months ended June 30, 2019 decreased $34.5 million compared to the prior year period. Financing activities primarily related to cash transfers to and from Post. The components of net transfers included cash deposits from Active Nutrition to Post and cash borrowings received from Post used to fund operations or capital expenditures and allocations of Post’s corporate expenses (see Note 8 of “Notes to Condensed Combined Financial Statements” for the nine months ended June 30, 2019 and 2018).</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Cash used in financing activities for the year ended September 30, 2018 increased $49.0 million compared to the prior year period. Financing activities primarily related to cash transfers to and from Post. The components of net transfers included cash deposits from Active Nutrition to Post and cash borrowings received from Post used to fund operations or capital expenditures and allocations of Post’s corporate expenses (see Note 10 of “Notes to Combined Financial Statements” for the years ended September 30, 2018, 2017 and 2016).</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Cash used in financing activities for the year ended September 30, 2017 increased $49.2 million compared to the prior year period. Financing activities primarily related to cash transfers to and from Post. The components of net transfers included cash deposits from Active Nutrition to Post and cash borrowings received from Post used to fund operations or capital expenditures and allocations of Post’s corporate expenses (see Note 10 of “Notes to Combined Financial Statements” for the years ended September 30, 2018, 2017 and 2016).</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the normal course of business, we enter into contracts and commitments which obligate us to make payments in the future. The table below sets forth our significant future obligations by time period as of September 30, 2018. For consideration of the table below, “Less Than 1 Year” refers to obligations due between October 1, 2018 and September 30, 2019, “1-3 Years” refers to obligations due between October 1, 2019 and September 30, 2021, “3-5 Years” refers to obligations due between October 1, 2021 and September 30, 2023 and “More Than 5 Years” refers to any obligations due after September 30, 2023.</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00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Total</w:t>
            </w:r>
            <w:r>
              <w:rPr>
                <w:rFonts w:ascii="Arial" w:cs="Arial" w:eastAsia="Arial" w:hAnsi="Arial"/>
                <w:sz w:val="12"/>
                <w:szCs w:val="12"/>
                <w:b w:val="1"/>
                <w:bCs w:val="1"/>
                <w:color w:val="auto"/>
                <w:w w:val="95"/>
              </w:rPr>
              <w:t>(c)</w:t>
            </w:r>
          </w:p>
        </w:tc>
        <w:tc>
          <w:tcPr>
            <w:tcW w:w="1100" w:type="dxa"/>
            <w:vAlign w:val="bottom"/>
            <w:gridSpan w:val="3"/>
          </w:tcPr>
          <w:p>
            <w:pPr>
              <w:ind w:left="460"/>
              <w:spacing w:after="0"/>
              <w:rPr>
                <w:sz w:val="20"/>
                <w:szCs w:val="20"/>
                <w:color w:val="auto"/>
              </w:rPr>
            </w:pPr>
            <w:r>
              <w:rPr>
                <w:rFonts w:ascii="Arial" w:cs="Arial" w:eastAsia="Arial" w:hAnsi="Arial"/>
                <w:sz w:val="14"/>
                <w:szCs w:val="14"/>
                <w:b w:val="1"/>
                <w:bCs w:val="1"/>
                <w:color w:val="auto"/>
                <w:w w:val="89"/>
              </w:rPr>
              <w:t>Less Than</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1-3 Years</w:t>
            </w:r>
          </w:p>
        </w:tc>
        <w:tc>
          <w:tcPr>
            <w:tcW w:w="104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89"/>
              </w:rPr>
              <w:t>3-5 Years</w:t>
            </w:r>
          </w:p>
        </w:tc>
        <w:tc>
          <w:tcPr>
            <w:tcW w:w="12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4160" w:type="dxa"/>
            <w:vAlign w:val="bottom"/>
            <w:gridSpan w:val="3"/>
            <w:vMerge w:val="continue"/>
          </w:tcPr>
          <w:p>
            <w:pPr>
              <w:spacing w:after="0"/>
              <w:rPr>
                <w:sz w:val="14"/>
                <w:szCs w:val="14"/>
                <w:color w:val="auto"/>
              </w:rPr>
            </w:pPr>
          </w:p>
        </w:tc>
        <w:tc>
          <w:tcPr>
            <w:tcW w:w="20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34"/>
              <w:spacing w:after="0"/>
              <w:rPr>
                <w:sz w:val="20"/>
                <w:szCs w:val="20"/>
                <w:color w:val="auto"/>
              </w:rPr>
            </w:pPr>
            <w:r>
              <w:rPr>
                <w:rFonts w:ascii="Arial" w:cs="Arial" w:eastAsia="Arial" w:hAnsi="Arial"/>
                <w:sz w:val="14"/>
                <w:szCs w:val="14"/>
                <w:b w:val="1"/>
                <w:bCs w:val="1"/>
                <w:color w:val="auto"/>
                <w:w w:val="95"/>
              </w:rPr>
              <w:t>1 Year</w:t>
            </w:r>
          </w:p>
        </w:tc>
        <w:tc>
          <w:tcPr>
            <w:tcW w:w="1020" w:type="dxa"/>
            <w:vAlign w:val="bottom"/>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(a)</w:t>
            </w:r>
          </w:p>
        </w:tc>
        <w:tc>
          <w:tcPr>
            <w:tcW w:w="20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$369.0</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$ 114.3</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(b)</w:t>
            </w:r>
          </w:p>
        </w:tc>
        <w:tc>
          <w:tcPr>
            <w:tcW w:w="20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386.7</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$ 119.5</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9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60" w:hanging="436"/>
        <w:spacing w:after="0" w:line="256" w:lineRule="auto"/>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Purchase obligations are legally binding agreements to purchase goods, services or equipment that specify all significant terms, including: fixed or minimum quantities to be purchased and/or penalties imposed for failing to meet contracted minimum purchase quantities; fixed, minimum or variable price provisions; and the approximate timing of the transaction.</w:t>
      </w:r>
    </w:p>
    <w:p>
      <w:pPr>
        <w:ind w:left="640" w:right="760" w:hanging="436"/>
        <w:spacing w:after="0" w:line="250" w:lineRule="auto"/>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Operating lease obligations consist of minimum rental payments under noncancelable operating leases, as shown in Note 11 of “Notes to Combined Financial Statements” for the years ended September 30, 2018, 2017 and 2016.</w:t>
      </w:r>
    </w:p>
    <w:p>
      <w:pPr>
        <w:ind w:left="640" w:right="180" w:hanging="436"/>
        <w:spacing w:after="0" w:line="255" w:lineRule="auto"/>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have excluded from the table above $0.5 million for certain provisions of ASC Topic 740, “Income Taxes,” associated with liabilities for uncertain tax positions due to the uncertainty as to the amount and timing of payments, if any. In addition, we have excluded a repatriation tax of $0.5 million due to uncertainty involving the timing of payments.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240" w:top="459" w:right="4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COMMODITY TRENDS</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exposed to price fluctuations primarily from purchases of ingredients and packaging materials, transportation costs and energy. Our principal ingredients are milk-based, whey-based and soy-based proteins and protein blends. Our principal packaging materials consist of aseptic foil and plastic lined cardboard cartons, aseptic plastic bottles, plastic jars and lids, flexible film, cartons and corrugate. These costs have been volatile in recent years and future changes in such costs may cause our results of operations and our operating margins to fluctuate significantly. We manage the impact of cost increases, wherever possible, on commercially reasonable terms, by locking in prices on the quantities through purchase commitments required to meet our production requirements. In addition, we attempt to offset the effect of increased costs by raising prices to our customers. However, for competitive reasons, we may not be able to pass along the full effect of increases in raw materials and other input costs as we incur them. In addition, inflationary pressures can have an adverse effect on our business through higher raw material and fuel costs. We believe that inflation has not had a material adverse impact on our operations for the years ended September 30, 2018, 2017 and 2016, but could have a material impact in the future if inflation rates were to significantly exceed our ability to achieve price increases.</w:t>
      </w: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CURRENCY</w:t>
      </w:r>
    </w:p>
    <w:p>
      <w:pPr>
        <w:spacing w:after="0" w:line="229"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Certain sales and costs of our foreign operations are denominated in the Euro. Consequently, profits from these operations are impacted by fluctuations in the value of this currency relative to the U.S. Dollar.</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As of September 30, 2018, 2017 and 2016, we did not have any off-balance sheet arrangements as defined in Item 303(a)(4) of Regulation S-K that are likely to have a material impact on our financial position or results of operations.</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the use of judgment, estimates and assumptions. We make these subjective determinations after considering our historical performance, management’s experience, current economic trends and events and information from outside sources. Inherent in this process is the possibility that actual results could differ from these estimates and assumptions for any particular period.</w:t>
      </w:r>
    </w:p>
    <w:p>
      <w:pPr>
        <w:spacing w:after="0" w:line="187"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Throughout the periods covered by the financial statements, Active Nutrition’s operations were conducted by and accounted for as part of Post. The Active Nutrition financial statements were derived from Post’s historical accounting records and reflect significant allocations of direct costs and expenses. All of the allocations and estimates in the financial statements are based on assumptions that we believe are reasonable. The financial statements do not necessarily represent our financial position, results of operations and cash flows had our business been operated as a separate independent entity.</w:t>
      </w:r>
    </w:p>
    <w:p>
      <w:pPr>
        <w:spacing w:after="0" w:line="188"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Active Nutrition’s significant accounting policies are described in Note 2 of “Notes to Combined Financial Statements” for the years ended September 30, 2018, 2017 and 2016. The critical accounting estimates are those that have a meaningful impact on the reporting of our financial condition and results of operations.</w:t>
      </w:r>
    </w:p>
    <w:p>
      <w:pPr>
        <w:spacing w:after="0" w:line="177" w:lineRule="exact"/>
        <w:rPr>
          <w:sz w:val="20"/>
          <w:szCs w:val="20"/>
          <w:color w:val="auto"/>
        </w:rPr>
      </w:pPr>
    </w:p>
    <w:p>
      <w:pPr>
        <w:ind w:left="200" w:right="380" w:firstLine="441"/>
        <w:spacing w:after="0" w:line="266"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–Revenue is recognized when title of goods is transferred to the customer, as specified by the shipping terms. Net sales</w:t>
      </w:r>
      <w:r>
        <w:rPr>
          <w:rFonts w:ascii="Arial" w:cs="Arial" w:eastAsia="Arial" w:hAnsi="Arial"/>
          <w:sz w:val="18"/>
          <w:szCs w:val="18"/>
          <w:b w:val="1"/>
          <w:bCs w:val="1"/>
          <w:color w:val="auto"/>
        </w:rPr>
        <w:t xml:space="preserve"> </w:t>
      </w:r>
      <w:r>
        <w:rPr>
          <w:rFonts w:ascii="Arial" w:cs="Arial" w:eastAsia="Arial" w:hAnsi="Arial"/>
          <w:sz w:val="18"/>
          <w:szCs w:val="18"/>
          <w:color w:val="auto"/>
        </w:rPr>
        <w:t>reflect gross sales, including amounts billed to customers for shipping and handling, less sales discounts and trade allowances. Customer trade allowances are generally computed as a</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percentage of gross sales. Products are generally sold with no right of return, except in the case of goods which do not meet product specifications or are damaged. Related reserves are maintained based on return history. If additional rights of return are granted, revenue recognition is deferred. Estimated reductions to revenue for customer incentive offerings are based upon customer redemption history.</w:t>
      </w:r>
    </w:p>
    <w:p>
      <w:pPr>
        <w:spacing w:after="0" w:line="18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In conjunction with the adoption of ASU 2014-09 on October 1, 2018, the policy for recognizing revenue was updated. The revised policy effective for fiscal 2019 is as follows:</w:t>
      </w:r>
    </w:p>
    <w:p>
      <w:pPr>
        <w:spacing w:after="0" w:line="62"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Revenue is recognized when performance obligations have been satisfied by transferring control of the goods to customers. Control is generally transferred upon delivery of the goods to the customer. At the time of delivery, the customer is invoiced using previously agreed-upon credit terms. Shipping and/or handling costs that occur before the customer obtains control of the goods are deemed fulfillment activities and are accounted for as fulfillment costs. Our contracts with customers generally contain one performance obligation.</w:t>
      </w:r>
    </w:p>
    <w:p>
      <w:pPr>
        <w:spacing w:after="0" w:line="171"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Many of our contracts with customers include some form of variable consideration. The most common forms of variable consideration are trade promotions, rebates and discounts. Variable consideration is treated as a reduction of revenue at the time product revenue is recognized. Depending on the nature of the variable consideration, the Company primarily uses the “expected value” method to determine variable consideration. We do not believe that there will be significant changes to its estimates of variable consideration when any uncertainties are resolved with customers. We review and update estimates of variable consideration each period. Uncertainties related to the estimates of variable consideration are resolved in a short time frame and do not require any additional constraint on variable consideration.</w:t>
      </w:r>
    </w:p>
    <w:p>
      <w:pPr>
        <w:spacing w:after="0" w:line="178"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Our products are sold with no right of return, except in the case of goods which do not meet product specifications or are damaged. No services beyond this assurance-type warranty are provided to customers. Customer remedies include either a cash refund or an exchange of the product. As a result, the right of return and related refund liability is estimated and recorded as a reduction of revenue based on historical sales return experience.</w:t>
      </w:r>
    </w:p>
    <w:p>
      <w:pPr>
        <w:spacing w:after="0" w:line="143" w:lineRule="exact"/>
        <w:rPr>
          <w:sz w:val="20"/>
          <w:szCs w:val="20"/>
          <w:color w:val="auto"/>
        </w:rPr>
      </w:pPr>
    </w:p>
    <w:p>
      <w:pPr>
        <w:ind w:left="200" w:right="60" w:firstLine="441"/>
        <w:spacing w:after="0" w:line="281" w:lineRule="auto"/>
        <w:rPr>
          <w:sz w:val="20"/>
          <w:szCs w:val="20"/>
          <w:color w:val="auto"/>
        </w:rPr>
      </w:pPr>
      <w:r>
        <w:rPr>
          <w:rFonts w:ascii="Arial" w:cs="Arial" w:eastAsia="Arial" w:hAnsi="Arial"/>
          <w:sz w:val="17"/>
          <w:szCs w:val="17"/>
          <w:b w:val="1"/>
          <w:bCs w:val="1"/>
          <w:color w:val="auto"/>
        </w:rPr>
        <w:t>Long-Lived Assets</w:t>
      </w:r>
      <w:r>
        <w:rPr>
          <w:rFonts w:ascii="Arial" w:cs="Arial" w:eastAsia="Arial" w:hAnsi="Arial"/>
          <w:sz w:val="17"/>
          <w:szCs w:val="17"/>
          <w:color w:val="auto"/>
        </w:rPr>
        <w:t>–We review long-lived assets, including leasehold improvements, property and equipment and amortized intangible assets, for</w:t>
      </w:r>
      <w:r>
        <w:rPr>
          <w:rFonts w:ascii="Arial" w:cs="Arial" w:eastAsia="Arial" w:hAnsi="Arial"/>
          <w:sz w:val="17"/>
          <w:szCs w:val="17"/>
          <w:b w:val="1"/>
          <w:bCs w:val="1"/>
          <w:color w:val="auto"/>
        </w:rPr>
        <w:t xml:space="preserve"> </w:t>
      </w:r>
      <w:r>
        <w:rPr>
          <w:rFonts w:ascii="Arial" w:cs="Arial" w:eastAsia="Arial" w:hAnsi="Arial"/>
          <w:sz w:val="17"/>
          <w:szCs w:val="17"/>
          <w:color w:val="auto"/>
        </w:rPr>
        <w:t>impairment whenever events or changes in business circumstances indicate that the carrying amount of the assets may not be fully recoverable. Long-lived assets to be disposed of are reported at the lower of the carrying amount or fair value less the cost to sell. Estimating future cash flows and calculating the fair value of assets requires significant estimates and assumptions by management.</w:t>
      </w:r>
    </w:p>
    <w:p>
      <w:pPr>
        <w:spacing w:after="0" w:line="165" w:lineRule="exact"/>
        <w:rPr>
          <w:sz w:val="20"/>
          <w:szCs w:val="20"/>
          <w:color w:val="auto"/>
        </w:rPr>
      </w:pPr>
    </w:p>
    <w:p>
      <w:pPr>
        <w:ind w:left="200" w:firstLine="441"/>
        <w:spacing w:after="0" w:line="292" w:lineRule="auto"/>
        <w:rPr>
          <w:sz w:val="20"/>
          <w:szCs w:val="20"/>
          <w:color w:val="auto"/>
        </w:rPr>
      </w:pPr>
      <w:r>
        <w:rPr>
          <w:rFonts w:ascii="Arial" w:cs="Arial" w:eastAsia="Arial" w:hAnsi="Arial"/>
          <w:sz w:val="16"/>
          <w:szCs w:val="16"/>
          <w:b w:val="1"/>
          <w:bCs w:val="1"/>
          <w:color w:val="auto"/>
        </w:rPr>
        <w:t>Goodwill</w:t>
      </w:r>
      <w:r>
        <w:rPr>
          <w:rFonts w:ascii="Arial" w:cs="Arial" w:eastAsia="Arial" w:hAnsi="Arial"/>
          <w:sz w:val="16"/>
          <w:szCs w:val="16"/>
          <w:color w:val="auto"/>
        </w:rPr>
        <w:t>–Goodwill represents the excess of the cost of acquired businesses over the fair market value of their identifiable net assets. We conduct</w:t>
      </w:r>
      <w:r>
        <w:rPr>
          <w:rFonts w:ascii="Arial" w:cs="Arial" w:eastAsia="Arial" w:hAnsi="Arial"/>
          <w:sz w:val="16"/>
          <w:szCs w:val="16"/>
          <w:b w:val="1"/>
          <w:bCs w:val="1"/>
          <w:color w:val="auto"/>
        </w:rPr>
        <w:t xml:space="preserve"> </w:t>
      </w:r>
      <w:r>
        <w:rPr>
          <w:rFonts w:ascii="Arial" w:cs="Arial" w:eastAsia="Arial" w:hAnsi="Arial"/>
          <w:sz w:val="16"/>
          <w:szCs w:val="16"/>
          <w:color w:val="auto"/>
        </w:rPr>
        <w:t>a goodwill impairment qualitative assessment during the fourth quarter of each fiscal year following the annual forecasting process, or more frequently if facts and circumstances indicate that goodwill may be impaired. The goodwill impairment qualitative assessment requires us to perform an assessment to determine if it is more likely than not that the fair value of the business is less than its carrying amount. The qualitative assessment considers various factors, including the macroeconomic environment, industry and market specific conditions, financial performance, cost impacts and issues or events specific to the business. If adverse qualitative trends are identified that could negatively impact the fair value of the business, we perform a quantitative goodwill impairment test. In fiscal 2018, 2017 and 2016, Active Nutrition performed a quantitative impairment test for all three of its reporting units.</w:t>
      </w:r>
    </w:p>
    <w:p>
      <w:pPr>
        <w:spacing w:after="0" w:line="16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Under ASU 2017-04, “Intangibles—Goodwill and Other (Topic 350): Simplifying the Test for Goodwill Impairment,” which was early adopted on a prospective basis in the fourth quarter of fiscal 2017, the goodwill impairment test requires an entity to compare the fair value of each reporting unit with its carrying amount. An impairment charge should be recognized for the amount by which the carrying amount of goodwill exceeds the reporting unit’s fair value with the loss not exceeding the total amount of goodwill allocated to that reporting</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unit. The estimated fair values of each reporting unit were determined using a combined income and market approach with a greater weighting on the income approach (75% of the calculation for all reporting units with goodwill). The income approach is based on discounted future cash flows and requires significant assumptions, including estimates regarding future revenue, profitability and capital requirements. The market approach (25% of the calculation for all reporting units with goodwill) is based on a market multiple (revenue and EBITDA, which stands for earnings before interest, income taxes, depreciation and amortization) and requires an estimate of appropriate multiples based on market data. Revenue growth assumptions (along with profitability and cash flow assumptions) were based on historical trends for the reporting units and management’s expectations for future growth. The discount rates were based on a risk adjusted weighted-average cost of capital utilizing industry market data of businesses similar to the reporting units and based upon management judgment.</w:t>
      </w:r>
    </w:p>
    <w:p>
      <w:pPr>
        <w:spacing w:after="0" w:line="17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Prior to the adoption of ASU 2017-04 in fiscal 2017, the impairment test required a two-step quantitative evaluation. Step one of the evaluation involved comparing the current fair value of each reporting unit to its carrying value, including goodwill, consistent with the description above. If the fair value of a reporting unit determined in step one of the evaluation was lower than its carrying value, we proceeded to step two, which compared the carrying value of goodwill to its implied fair value. In estimating the implied fair value of goodwill for a reporting unit, we assigned the fair value of the reporting unit (as determined in the first step) to the assets and liabilities associated with the reporting unit as if the reporting unit had been acquired in a business combination. Any excess of the carrying value of goodwill of the reporting unit over its implied fair value would be recorded as impairment.</w:t>
      </w:r>
    </w:p>
    <w:p>
      <w:pPr>
        <w:spacing w:after="0" w:line="16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Active Nutrition did not record a goodwill impairment charge at September 30, 2018, as all reporting units with goodwill passed the quantitative impairment test.</w:t>
      </w:r>
    </w:p>
    <w:p>
      <w:pPr>
        <w:spacing w:after="0" w:line="170"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For the year ended September 30, 2017, Active Nutrition recorded a charge of $26.5 million for the impairment of goodwill. The impairment charge related to the Dymatize reporting unit. In fiscal 2017, consistent with the prior year, the specialty channel, from which the Dymatize reporting unit derived the majority of its sales, continued to experience weak sales, which resulted in management lowering its long-term expectations for the Dymatize reporting unit. After conducting step one of the impairment analysis, it was determined that the carrying value of the Dymatize reporting unit exceeded its fair value by $76.6 million. As the application of ASU 2017-04 does not require step two of the analysis prescribed prior to the adoption of ASU 2017-04, Active Nutrition recorded an impairment charge of goodwill down to fair value. At the time of the analysis, the Dymatize reporting unit had $26.5 million of remaining goodwill, and therefore an impairment charge was recorded for the entire goodwill balance of $26.5 million.</w:t>
      </w:r>
    </w:p>
    <w:p>
      <w:pPr>
        <w:spacing w:after="0" w:line="16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Active Nutrition did not record a goodwill impairment charge at September 30, 2016. With the exception of the Dymatize reporting unit, all reporting units passed the first step of the impairment test. The Dymatize reporting unit failed step one, and accordingly, step two of the analysis was performed. Based on the results of step two, it was determined that the fair value of the goodwill allocated to the Dymatize reporting unit exceeded its carrying value by approximately $36.0 million and was therefore not impaired as of September 30, 2016. At September 30, 2016, the estimated fair values of all other reporting units exceeded their carrying values by more than 100%.</w:t>
      </w:r>
    </w:p>
    <w:p>
      <w:pPr>
        <w:spacing w:after="0" w:line="184" w:lineRule="exact"/>
        <w:rPr>
          <w:sz w:val="20"/>
          <w:szCs w:val="20"/>
          <w:color w:val="auto"/>
        </w:rPr>
      </w:pPr>
    </w:p>
    <w:p>
      <w:pPr>
        <w:ind w:left="200" w:right="40" w:firstLine="441"/>
        <w:spacing w:after="0" w:line="292" w:lineRule="auto"/>
        <w:rPr>
          <w:sz w:val="20"/>
          <w:szCs w:val="20"/>
          <w:color w:val="auto"/>
        </w:rPr>
      </w:pPr>
      <w:r>
        <w:rPr>
          <w:rFonts w:ascii="Arial" w:cs="Arial" w:eastAsia="Arial" w:hAnsi="Arial"/>
          <w:sz w:val="16"/>
          <w:szCs w:val="16"/>
          <w:b w:val="1"/>
          <w:bCs w:val="1"/>
          <w:color w:val="auto"/>
        </w:rPr>
        <w:t>Income Tax</w:t>
      </w:r>
      <w:r>
        <w:rPr>
          <w:rFonts w:ascii="Arial" w:cs="Arial" w:eastAsia="Arial" w:hAnsi="Arial"/>
          <w:sz w:val="16"/>
          <w:szCs w:val="16"/>
          <w:color w:val="auto"/>
        </w:rPr>
        <w:t>–We estimate income tax expense based on taxes in each jurisdiction. We estimate current tax exposures together with temporary</w:t>
      </w:r>
      <w:r>
        <w:rPr>
          <w:rFonts w:ascii="Arial" w:cs="Arial" w:eastAsia="Arial" w:hAnsi="Arial"/>
          <w:sz w:val="16"/>
          <w:szCs w:val="16"/>
          <w:b w:val="1"/>
          <w:bCs w:val="1"/>
          <w:color w:val="auto"/>
        </w:rPr>
        <w:t xml:space="preserve"> </w:t>
      </w:r>
      <w:r>
        <w:rPr>
          <w:rFonts w:ascii="Arial" w:cs="Arial" w:eastAsia="Arial" w:hAnsi="Arial"/>
          <w:sz w:val="16"/>
          <w:szCs w:val="16"/>
          <w:color w:val="auto"/>
        </w:rPr>
        <w:t>differences resulting from differing treatment of items for tax and financial reporting purposes. These temporary differences result in deferred tax assets and liabilities. We believe that sufficient income will be generated in the future to realize the benefit of most of our deferred tax assets. Where there is not sufficient evidence that such income is likely to be generated, we establish a valuation allowance against the related deferred tax assets. We are subject to periodic audits by governmental tax authorities of our income tax returns. These audits generally include questions regarding our tax filing positions, including the amount and timing of deductions and the allocation of income among various tax jurisdictions. We evaluate our exposures associated with our tax filing positions, including state and local taxes, and record reserves for estimated exposures.</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80"/>
          </w:cols>
          <w:pgMar w:left="24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U.S. federal, U.S. state and German income tax returns for the tax years ended September 30, 2017, 2016 and 2015 are subject to examination by the tax authorities in each respective jurisdiction.</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See Note 6 of “Notes to Combined Financial Statements” for the years ended September 30, 2018, 2017 and 2016 and Note 4 of “Notes to Condensed Combined Financial Statements” for the nine months ended June 30, 2019 and 2018 for more information about estimates affecting income taxes.</w:t>
      </w:r>
    </w:p>
    <w:p>
      <w:pPr>
        <w:spacing w:after="0" w:line="39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See Note 3 of “Notes to Combined Financial Statements” for the years ended September 30, 2018, 2017 and 2016 and Notes 2 and 3 of “Notes to Condensed Combined Financial Statements” for the nine months ended June 30, 2019 and 2018 for a discussion regarding recently issued and adopted accounting standards.</w:t>
      </w: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See “Commodity Trends,” “Liquidity and Capital Resources” and “Currency” above for discussion of our market risks relating to commodity prices, future debt and foreign currency.</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240" w:top="459" w:right="5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Company: Bringing Good Energy to the World</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 xml:space="preserve">We are a rapidly growing leader in the global convenient nutrition category, aiming to enhance the lives of our consumers by providing them with highly nutritious, great-tasting products they can enjoy throughout the day. Our primary brands,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target a broad range of consumers and compete in all major product forms, including RTD protein shakes, powders and nutrition bars. Our products are distributed across a diverse network of channels including club, FDM, eCommerce, convenience and specialty. Our vision is to create a healthier world where EVERYONE actively seeks and has access to great-tasting nutrition. Our commitment to consumers is to strive to make highly effective products that deliver best-in-class nutritionals and superior taste. Our Company is guided by the following core values:</w:t>
      </w:r>
    </w:p>
    <w:p>
      <w:pPr>
        <w:spacing w:after="0" w:line="84" w:lineRule="exact"/>
        <w:rPr>
          <w:sz w:val="20"/>
          <w:szCs w:val="20"/>
          <w:color w:val="auto"/>
        </w:rPr>
      </w:pPr>
    </w:p>
    <w:p>
      <w:pPr>
        <w:ind w:left="1180" w:right="980" w:hanging="544"/>
        <w:spacing w:after="0" w:line="277"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Builders. </w:t>
      </w:r>
      <w:r>
        <w:rPr>
          <w:rFonts w:ascii="Arial" w:cs="Arial" w:eastAsia="Arial" w:hAnsi="Arial"/>
          <w:sz w:val="18"/>
          <w:szCs w:val="18"/>
          <w:color w:val="auto"/>
        </w:rPr>
        <w:t>We challenge the status quo, constantly striving for better, smarter ways to do things while maintaining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entrepreneurial agility to quickly seize opportunities.</w:t>
      </w:r>
    </w:p>
    <w:p>
      <w:pPr>
        <w:spacing w:after="0" w:line="75" w:lineRule="exact"/>
        <w:rPr>
          <w:rFonts w:ascii="Arial" w:cs="Arial" w:eastAsia="Arial" w:hAnsi="Arial"/>
          <w:sz w:val="18"/>
          <w:szCs w:val="18"/>
          <w:color w:val="auto"/>
        </w:rPr>
      </w:pPr>
    </w:p>
    <w:p>
      <w:pPr>
        <w:ind w:left="1180" w:right="160" w:hanging="544"/>
        <w:spacing w:after="0" w:line="264"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Champions of Great-Tasting Nutrition. </w:t>
      </w:r>
      <w:r>
        <w:rPr>
          <w:rFonts w:ascii="Arial" w:cs="Arial" w:eastAsia="Arial" w:hAnsi="Arial"/>
          <w:sz w:val="18"/>
          <w:szCs w:val="18"/>
          <w:color w:val="auto"/>
        </w:rPr>
        <w:t>We believe nutrition sits at the core of a healthy and active lifestyle; however, we know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it is not always easy (or enjoyable) to be healthy. This is why we never compromise on our commitment to strive to make highly effective products that deliver best-in-class nutritionals and superior taste.</w:t>
      </w:r>
    </w:p>
    <w:p>
      <w:pPr>
        <w:spacing w:after="0" w:line="86" w:lineRule="exact"/>
        <w:rPr>
          <w:rFonts w:ascii="Arial" w:cs="Arial" w:eastAsia="Arial" w:hAnsi="Arial"/>
          <w:sz w:val="18"/>
          <w:szCs w:val="18"/>
          <w:color w:val="auto"/>
        </w:rPr>
      </w:pPr>
    </w:p>
    <w:p>
      <w:pPr>
        <w:ind w:left="1180" w:right="140" w:hanging="544"/>
        <w:spacing w:after="0" w:line="277"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Better Together. </w:t>
      </w:r>
      <w:r>
        <w:rPr>
          <w:rFonts w:ascii="Arial" w:cs="Arial" w:eastAsia="Arial" w:hAnsi="Arial"/>
          <w:sz w:val="18"/>
          <w:szCs w:val="18"/>
          <w:color w:val="auto"/>
        </w:rPr>
        <w:t>We value each member of our team and know that success is only achievable through our collective efforts.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coach rather than tell and work hard to build people up through encouragement and empowerment.</w:t>
      </w:r>
    </w:p>
    <w:p>
      <w:pPr>
        <w:spacing w:after="0" w:line="75" w:lineRule="exact"/>
        <w:rPr>
          <w:rFonts w:ascii="Arial" w:cs="Arial" w:eastAsia="Arial" w:hAnsi="Arial"/>
          <w:sz w:val="18"/>
          <w:szCs w:val="18"/>
          <w:color w:val="auto"/>
        </w:rPr>
      </w:pPr>
    </w:p>
    <w:p>
      <w:pPr>
        <w:ind w:left="1180" w:right="380" w:hanging="544"/>
        <w:spacing w:after="0" w:line="277"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Ring the Bell. </w:t>
      </w:r>
      <w:r>
        <w:rPr>
          <w:rFonts w:ascii="Arial" w:cs="Arial" w:eastAsia="Arial" w:hAnsi="Arial"/>
          <w:sz w:val="18"/>
          <w:szCs w:val="18"/>
          <w:color w:val="auto"/>
        </w:rPr>
        <w:t>We celebrate the small victories, as well as the big wins. We are a low-ego group—inspiring and appreciating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happily sharing credit—all to Ring the Bell.</w:t>
      </w:r>
    </w:p>
    <w:p>
      <w:pPr>
        <w:spacing w:after="0" w:line="170"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 xml:space="preserve">We believe our largest brand,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one of the top growth brands in the U.S. convenient nutrition category based on Nielsen data for Total US xAOC including Convenience for the 52 week period ended August 3, 2019 and is positioned to appeal to mainstream consumers focused on healthy nutrition.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brand holds the #1 share position in the convenient nutrition category and RTD protein shakes as measured by Nielsen household panel data for all outlets for the 52 week period ended July 27, 2019. Net sales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grew at a CAGR of 42% from fiscal 2016 to fiscal 2018. Our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brand is a market leader targeting fitness enthusiasts, who value the brand for its science-based product development and athletic performance focus. Our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brand is one of the most well-known brands in the convenient nutrition category based on a survey powered by Qualtrics performed in June 2019 and targets a range of consumers from committed athletes to active individuals.</w:t>
      </w:r>
    </w:p>
    <w:p>
      <w:pPr>
        <w:spacing w:after="0" w:line="10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60"/>
          </w:cols>
          <w:pgMar w:left="240" w:top="459" w:right="4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diverse product portfolio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169545</wp:posOffset>
            </wp:positionV>
            <wp:extent cx="5120005" cy="31559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20005"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Three product forms have accounted for the majority of our net sales over the last three fiscal years. In fiscal 2018, RTD protein shakes accounted for 71% of net sales, powders accounted for 14% of net sales and nutrition bars accounted for 11% of net sales. In fiscal 2017, RTD protein shakes accounted for 63% of net sales, powders accounted for 16% of net sales and nutrition bars accounted for 16% of net sales. In fiscal 2016, RTD protein shakes accounted for 51% of net sales, powders accounted for 22% of net sales and nutrition bars accounted for 22% of net sales.</w:t>
      </w:r>
    </w:p>
    <w:p>
      <w:pPr>
        <w:spacing w:after="0" w:line="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60"/>
          </w:cols>
          <w:pgMar w:left="240" w:top="459"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net sales by brand and product form are reflected below:</w:t>
      </w:r>
    </w:p>
    <w:p>
      <w:pPr>
        <w:spacing w:after="0" w:line="248" w:lineRule="exact"/>
        <w:rPr>
          <w:sz w:val="20"/>
          <w:szCs w:val="20"/>
          <w:color w:val="auto"/>
        </w:rPr>
      </w:pPr>
    </w:p>
    <w:p>
      <w:pPr>
        <w:ind w:left="1840"/>
        <w:spacing w:after="0"/>
        <w:tabs>
          <w:tab w:leader="none" w:pos="6980" w:val="left"/>
        </w:tabs>
        <w:rPr>
          <w:sz w:val="20"/>
          <w:szCs w:val="20"/>
          <w:color w:val="auto"/>
        </w:rPr>
      </w:pPr>
      <w:r>
        <w:rPr>
          <w:rFonts w:ascii="Arial" w:cs="Arial" w:eastAsia="Arial" w:hAnsi="Arial"/>
          <w:sz w:val="18"/>
          <w:szCs w:val="18"/>
          <w:b w:val="1"/>
          <w:bCs w:val="1"/>
          <w:color w:val="auto"/>
        </w:rPr>
        <w:t>Fiscal 2018 Net Sales by Brand</w:t>
      </w:r>
      <w:r>
        <w:rPr>
          <w:sz w:val="20"/>
          <w:szCs w:val="20"/>
          <w:color w:val="auto"/>
        </w:rPr>
        <w:tab/>
      </w:r>
      <w:r>
        <w:rPr>
          <w:rFonts w:ascii="Arial" w:cs="Arial" w:eastAsia="Arial" w:hAnsi="Arial"/>
          <w:sz w:val="16"/>
          <w:szCs w:val="16"/>
          <w:b w:val="1"/>
          <w:bCs w:val="1"/>
          <w:color w:val="auto"/>
        </w:rPr>
        <w:t>Fiscal 2018 Net Sales by Product Form</w:t>
      </w:r>
      <w:r>
        <w:rPr>
          <w:rFonts w:ascii="Arial" w:cs="Arial" w:eastAsia="Arial" w:hAnsi="Arial"/>
          <w:sz w:val="13"/>
          <w:szCs w:val="13"/>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94615</wp:posOffset>
            </wp:positionV>
            <wp:extent cx="5866130" cy="18783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6613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120"/>
        <w:spacing w:after="0"/>
        <w:rPr>
          <w:sz w:val="20"/>
          <w:szCs w:val="20"/>
          <w:color w:val="auto"/>
        </w:rPr>
      </w:pPr>
      <w:r>
        <w:rPr>
          <w:rFonts w:ascii="Arial" w:cs="Arial" w:eastAsia="Arial" w:hAnsi="Arial"/>
          <w:sz w:val="14"/>
          <w:szCs w:val="14"/>
          <w:i w:val="1"/>
          <w:iCs w:val="1"/>
          <w:color w:val="auto"/>
        </w:rPr>
        <w:t>(1) Numbers do not add to 100% due to rounding.</w:t>
      </w:r>
    </w:p>
    <w:p>
      <w:pPr>
        <w:spacing w:after="0" w:line="20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Fiscal 2018 Net Sales By Channel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172085</wp:posOffset>
            </wp:positionV>
            <wp:extent cx="1818005" cy="14662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18005"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We have benefited from the consumer trends driving the rapid growth in the convenient nutrition category. Mainstream consumers are increasingly focused on consuming healthier food and beverage alternatives, and specifically on increasing protein in their diets. Consumers also are eating more frequently throughout the day. These category tailwinds support our convenient, protein-enriched food and beverage products that can be consumed on-the-go as nutritious snacks or meal replacements. We believe the convenient nutrition category consists of four key consumer need states as defined by management based on a category study performed by Seurat Group in May 2018: everyday nutrition, adult nutrition, sports nutrition and weight management. We believe most brands in the convenient nutrition category are positioned to appeal primarily to one consumer need state, but we have developed brand equities and product value propositions to appeal to a broad range of need states. Everyday nutrition, the need state where we have our largest presence, is the fastest-growing need state in the category based on Nielsen data for Total US xAOC including Convenience for the 52 week period ended August 8, 2015 and the comparable period in 2019 and spans a range of consumption occasions, including breakfast, snack, meal replacement and treat. In the U.S., management estimates that the everyday nutrition need state accounted for $3.2 billion in sales for the 52 week period ended August 3, 2019 and grew at a 17% CAGR from 2015 to 2019, based on data from Nielsen for Total US xAOC including Convenience. </w:t>
      </w:r>
      <w:r>
        <w:rPr>
          <w:rFonts w:ascii="Arial" w:cs="Arial" w:eastAsia="Arial" w:hAnsi="Arial"/>
          <w:sz w:val="16"/>
          <w:szCs w:val="16"/>
          <w:i w:val="1"/>
          <w:iCs w:val="1"/>
          <w:color w:val="auto"/>
        </w:rPr>
        <w:t>Premier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Protein </w:t>
      </w:r>
      <w:r>
        <w:rPr>
          <w:rFonts w:ascii="Arial" w:cs="Arial" w:eastAsia="Arial" w:hAnsi="Arial"/>
          <w:sz w:val="16"/>
          <w:szCs w:val="16"/>
          <w:color w:val="auto"/>
        </w:rPr>
        <w:t>is positioned to satisfy not only the everyday nutrition consumer need state, but also to appeal to the adult nutrition, sports nutrition and weight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management need states, while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are primarily focused on the sports nutrition need state.</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Consumers in the U.S. and internationally purchase our products through several channels including club, FDM, eCommerce (such as Amazon), convenience (such as 7-Eleven) and specialty (such as The Vitamin Shoppe). We maintain a strong leadership position in the club channel based on Nielsen household panel data for the 52 week period ended July 27, 2019 and have developed deep, long-standing relationships with customers such as Costco (which is not included in Nielsen tracked channels) and Sam’s Club. Continued expansion in FDM represents an exciting opportunity to leverage existing relationships with key retail partners such as Walmart, Target, Kroger and Walgreens to grow our presence. Expansion in FDM and eCommerce increases consumer exposure to and trial of our products, which we believe will drive repeat purchases and increase our penetration across all channels.</w:t>
      </w:r>
    </w:p>
    <w:p>
      <w:pPr>
        <w:spacing w:after="0" w:line="165"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7"/>
          <w:szCs w:val="17"/>
          <w:color w:val="auto"/>
        </w:rPr>
        <w:t>We have organically grown our net sales from $574.7 million in fiscal 2016 to $827.5 million in fiscal 2018, representing a CAGR of 20%. Over the same period, net income grew from $19.9 million in fiscal 2016 to $96.1 million in fiscal 2018, representing a CAGR of 120%, Adjusted net earnings grew from $29.3 million in fiscal 2016 to $93.3 million in fiscal 2018, representing a CAGR of 78% and Adjusted EBITDA grew from $72.0 million in fiscal 2016 to $156.5 million in fiscal 2018, representing a CAGR of 47%. Our attractive financial profile includes high margins, modest capital expenditures and limited working capital requirements, which enables us to generate significant free cash flow. These attributes provide us with the financial flexibility to continue to invest in brand marketing, research and development and people development and to pursue value-enhancing acquisition opportunities as they arise. See “Explanation and Reconciliation of Non-GAAP Measures” for a reconciliation of Adjusted net earnings and Adjusted EBITDA, each a non-GAAP measure, to the most directly comparable GAAP measure.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We were formed as a Delaware corporation in 2019 for the purpose of completing this offering. Upon completion of the formation transactions, BellRing Brands, LLC will become the holder of Post’s Active Nutrition business, which, effective as of the fiscal quarter ended June 30, 2015, has been comprised of Premier Nutrition, Dymatize Enterprises and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also includes Active Nutrition International, which manufactures and sells products of Post’s Active Nutrition business in certain international markets.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brands were pioneers in their respective markets and were key drivers behind the formation and growth of the convenient nutrition category as a whole. Post brought these leading brands together to create a diverse portfolio of high-quality, great-tasting and convenient nutrition products under Post’s Active Nutrition umbrella.</w:t>
      </w:r>
    </w:p>
    <w:p>
      <w:pPr>
        <w:spacing w:after="0" w:line="18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In fiscal 2013, Post acquired Premier Nutrition, which, at the time, was a marketer and distributor of high quality protein shakes and nutrition bars under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 and nutritional supplements under the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brand. Premier Nutrition, Inc. was founded in 1997, and Joint Juice, Inc. was founded in 1999. In 2011, Joint Juice, Inc. acquired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 and related assets from Premier Nutrition, Inc. via a corporate restructuring, and the resulting entity assumed the name Premier Nutrition Corporation. Premier Nutrition’s products are primarily manufactured under co-manufacturing agreements at various third party facilities located in the U.S. and Europe, with the exception of a portion of Premier Nutrition’s nutrition bars manufactured at our Voerde, Germany facility.</w:t>
      </w:r>
    </w:p>
    <w:p>
      <w:pPr>
        <w:spacing w:after="0" w:line="193"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 xml:space="preserve">In fiscal 2014, Post acquired Dymatize Enterprises, which, at the time, was a manufacturer and marketer of high-quality protein powders and nutritional supplements under the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brand and nutrition bars under the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brand. Dymatize Enterprises was founded in 1994 and purchased the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brand in 2012. At the time of the Post acquisition,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were manufactured by Dymatize Enterprises at its manufacturing facility in Farmers Branch, Texas and by various co-manufacturers. By the end of fiscal 2015, Dymatize Enterprises transferred all production to third parties under co-manufacturing agreements and ceased in-house production. In fiscal 2017, Dymatize Enterprises sold its manufacturing facility.</w:t>
      </w:r>
    </w:p>
    <w:p>
      <w:pPr>
        <w:spacing w:after="0" w:line="193"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 xml:space="preserve">In fiscal 2015, Post acquired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and </w:t>
      </w:r>
      <w:r>
        <w:rPr>
          <w:rFonts w:ascii="Arial" w:cs="Arial" w:eastAsia="Arial" w:hAnsi="Arial"/>
          <w:sz w:val="18"/>
          <w:szCs w:val="18"/>
          <w:i w:val="1"/>
          <w:iCs w:val="1"/>
          <w:color w:val="auto"/>
        </w:rPr>
        <w:t>Musashi</w:t>
      </w:r>
      <w:r>
        <w:rPr>
          <w:rFonts w:ascii="Arial" w:cs="Arial" w:eastAsia="Arial" w:hAnsi="Arial"/>
          <w:sz w:val="18"/>
          <w:szCs w:val="18"/>
          <w:color w:val="auto"/>
        </w:rPr>
        <w:t xml:space="preserve"> brands, Active Nutrition International (formerly known as PowerBar Europe GmbH) and manufacturing facilities in Boise, Idaho and Voerde, Germany.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i w:val="1"/>
          <w:iCs w:val="1"/>
          <w:color w:val="auto"/>
        </w:rPr>
        <w:t xml:space="preserve">PowerBar </w:t>
      </w:r>
      <w:r>
        <w:rPr>
          <w:rFonts w:ascii="Arial" w:cs="Arial" w:eastAsia="Arial" w:hAnsi="Arial"/>
          <w:sz w:val="18"/>
          <w:szCs w:val="18"/>
          <w:color w:val="auto"/>
        </w:rPr>
        <w:t>brand was founded in 1986. In fiscal 2015, Post sold the</w:t>
      </w:r>
      <w:r>
        <w:rPr>
          <w:rFonts w:ascii="Arial" w:cs="Arial" w:eastAsia="Arial" w:hAnsi="Arial"/>
          <w:sz w:val="18"/>
          <w:szCs w:val="18"/>
          <w:i w:val="1"/>
          <w:iCs w:val="1"/>
          <w:color w:val="auto"/>
        </w:rPr>
        <w:t xml:space="preserve"> Musashi </w:t>
      </w:r>
      <w:r>
        <w:rPr>
          <w:rFonts w:ascii="Arial" w:cs="Arial" w:eastAsia="Arial" w:hAnsi="Arial"/>
          <w:sz w:val="18"/>
          <w:szCs w:val="18"/>
          <w:color w:val="auto"/>
        </w:rPr>
        <w:t>brand. In that same fiscal year, Post also ceased all production at,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thereafter sold, the Boise manufacturing facility. All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products are currently manufactured under co-manufacturing agreements at various third party facilities located in the U.S. and Europe, with the exception of a portion of the brand’s nutrition bar and gel products, which continue to be manufactured at our Voerde, Germany facility.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operate in the $32.7 billion global convenient nutrition category based on Euromonitor data for 2018, a rapidly-growing and on-trend category within food and beverage. The U.S. is our primary market and is the largest and most developed market in the world, accounting for $17.1 billion of category sales in 2018 based on Euromonitor data. In the U.S., based on Euromonitor data, the convenient nutrition category grew at a CAGR of 9% from 2014 to 2018.</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believe approximately 38% of the U.S. market is comprised of tracked channels with the remaining 62% in untracked channels (Costco, eCommerce, natural, specialty, vending and foodservice). Bars, RTDs and powders are the three primary product forms in the U.S. According to Nielsen data for Total US xAOC including Convenience for the 52 week period ended August 3, 2019, bars have a 50% dollar share, RTDs have a 39% dollar share and powders have an 11% dollar share. However, management believes the powder share for the total U.S. market (tracked and untracked) is significantly greater than the 11% share in tracked channels.</w:t>
      </w: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 Convenient Nutrition Category by Product Form</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Tracked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160020</wp:posOffset>
            </wp:positionV>
            <wp:extent cx="2752725" cy="21951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752725"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79"/>
        <w:spacing w:after="0"/>
        <w:rPr>
          <w:sz w:val="20"/>
          <w:szCs w:val="20"/>
          <w:color w:val="auto"/>
        </w:rPr>
      </w:pPr>
      <w:r>
        <w:rPr>
          <w:rFonts w:ascii="Arial" w:cs="Arial" w:eastAsia="Arial" w:hAnsi="Arial"/>
          <w:sz w:val="14"/>
          <w:szCs w:val="14"/>
          <w:i w:val="1"/>
          <w:iCs w:val="1"/>
          <w:color w:val="auto"/>
        </w:rPr>
        <w:t>Source: Nielsen, Total US xAOC including Convenience, 52 week period ended 8/3/2019</w:t>
      </w:r>
    </w:p>
    <w:p>
      <w:pPr>
        <w:spacing w:after="0" w:line="208"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We believe the U.S. convenient nutrition category can be broken down into four key consumer need states as defined by management based on a category study performed by Seurat Group in May 2018: everyday nutrition, adult nutrition, sports nutrition and weight management. Using data from Nielsen for Total US xAOC including Convenience for the 52 week period ended August 3, 2019, management estimates that, excluding the private label and other sales from the category (which account for 5% and 3%, respectively, of the sales in the category), everyday nutrition represents a 50% share of the category, adult nutrition represents a 17% share of the category, sports nutrition represents a 16% share of the category and weight management represents a 17% share of the category. We primarily compete in the everyday nutrition and sports nutrition consumer need states, but also appeal to the adult nutrition and weight management consumer need states. Management expects that global consumer need states mirror U.S. need states to varying degrees depending upon market development.</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00"/>
          </w:cols>
          <w:pgMar w:left="24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tracked channels of the U.S. convenient nutrition category are broken down by need states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169545</wp:posOffset>
            </wp:positionV>
            <wp:extent cx="5017135" cy="41852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017135" cy="418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 xml:space="preserve">Everyday nutrition is the largest, fastest-growing need state in the category based on Nielsen data for Total US xAOC including Convenience for the 52 week period ended August 8, 2015 and the comparable period in 2019 and spans a range of consumption occasions (breakfast, snack, meal replacement and treat). We define everyday nutrition as nutritious products that can be consumed throughout the day as part of a healthy lifestyle. While we believe most brands in the convenient nutrition category are positioned to appeal to consumers primarily in one need state,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has developed brand equities and product value propositions to appeal to a broad range of consumer need states. Our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brands are focused primarily on sports nutrition, which we define as consumers looking to supplement sports endurance and body building needs.</w:t>
      </w:r>
    </w:p>
    <w:p>
      <w:pPr>
        <w:spacing w:after="0" w:line="16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rapid rise of the convenient nutrition category is fueled by a growing awareness among mainstream consumers of the importance of health and nutrition and the increasing importance of snacking in consumers’ diets. Everyday consumers are focused on incorporating healthier food and beverage alternatives into their diets to support a balanced lifestyle. According to a 2019 Label Insights report, 63% of American consumers said they are trying to eat healthier. A Nielsen 2018 Consumer Insights article shows U.S. consumers have a growing appetite for protein with 55% of U.S. households indicating that protein is now an important attribute to consider when buying food for their households. Nevertheless, research published in 2018 found that roughly 40% of participants still did not meet current daily protein recommendations according to U.S. News &amp; World Report. Furthermore, approximately one in three U.S. adults are obese and more than 100 million Americans have diabetes or are pre-diabetic according to the Center for Disease Control and Prevention, and 90% of Americans eat more sodium than is recommended according to the American Heart Association, Inc. In addition, the IRI 2019 State of the Snack Food Industry report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80"/>
          </w:cols>
          <w:pgMar w:left="24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highlights that consumers are increasingly eating more frequently throughout the day and 47% of consumers snack more than three times a day. In fact, according to Mintel’s 2019 report, Snacking Motivations and Attitudes, 95% of U.S. adults snack daily. These statistics reflect the broader trend that mainstream consumers, not just fitness enthusiasts, are increasingly looking for convenient, protein-enriched food and beverage products that can be consumed on-the-go as nutritious snacks or as meal replacements.</w:t>
      </w:r>
    </w:p>
    <w:p>
      <w:pPr>
        <w:spacing w:after="0" w:line="187"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“Mainstreaming” convenient nutrition is fueling growth in the category across all forms, with total U.S. household penetration reaching 55% for the 52 week period ended July 27, 2019 (an increase from 52% for the 52 week period ended July 1, 2017) according to Nielsen household panel data for all outlets. Nutritional drinks, including protein shakes, are increasingly being used as convenient and nutritious meal replacements, as illustrated by a 2016 Mintel report revealing that 39% of consumers use nutritional and performance drinks as a substitute for breakfast. In addition, according to the same report, three in five consumers use nutritional and performance drinks as a meal replacement, and 48% of consumers consume them as part of a meal, up from just 20% in 2012. Protein powders are gaining more shelf space in traditional retail channels such as grocery and convenience based on Nielsen data for Total US xAOC including Convenience for the 52 week period ended August 10, 2019. Management believes there is a significant growth opportunity in liquids and powders as household penetration for the 52 week period ended July 27, 2019 according to Nielsen household panel data for all outlets was only 24% for liquids and 11% for powders, compared to 43% for bars.</w:t>
      </w:r>
    </w:p>
    <w:p>
      <w:pPr>
        <w:spacing w:after="0" w:line="16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U.S. market is the largest and most developed market in the convenient nutrition category. However, we believe the international market remains a sizeable and underdeveloped opportunity where our Company is positioned for success. The $15.6 billion international convenient nutrition category based on Euromonitor data for 2018 consists of developed established markets such as Western Europe, the U.K., Japan and Australia and large emerging markets such as China, India and Brazil.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believe the following strengths enabled us to develop a competitive advantage and maintain a leading market position and are critical to our continued success.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Well-Positioned in Growing and On-trend Category Driven by Positive Consumer Trends</w:t>
      </w:r>
    </w:p>
    <w:p>
      <w:pPr>
        <w:spacing w:after="0" w:line="117"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We operate in the $32.7 billion global convenient nutrition category according to Euromonitor data for 2018, a rapidly-growing and on-trend category within food and beverage. Based on Euromonitor data, at $17.1 billion for 2018, the U.S. market is the largest and most developed market in the world and grew at a CAGR of 9% between 2014 and 2018, and is expected to grow to $21.2 billion by 2021.</w:t>
      </w:r>
    </w:p>
    <w:p>
      <w:pPr>
        <w:spacing w:after="0" w:line="166"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We believe growth in the category is driven by consumers’ increased desire and dedication to pursue active lifestyles and growing interest in high quality nutrition and health and wellness. In addition, consumers have become more aware of the numerous benefits of protein consumption, including sustained energy, muscle recovery and satiety. This awareness is evidenced by a Nielsen 2018 Consumer Insights article showing U.S. consumers have a growing appetite for protein with 55% of U.S. households indicating that protein is now an important attribute to consider when buying food for their households. Nevertheless, research published in 2018 found that roughly 40% of participants still did not meet current daily protein recommendations according to U.S. News &amp; World Report. Furthermore, approximately one in three U.S. adults are obese and more than 100 million Americans have diabetes or are pre-diabetic according to the Center for Disease Control and Prevention, and 90% of Americans eat more sodium than is recommended according to the American Heart Association, Inc. Additionally, as the IRI 2019 State of the Snack Food Industry report highlights, consumers are increasingly eating more frequently throughout the day, with 47% of consumers snacking more than three times a day. In fact, according to Mintel’s 2019 report, Snacking Motivations and Attitudes, 95% of U.S. adults snack daily. These statistics reflect the broader trend that mainstream consumers, not just fitness enthusiasts, are looking for convenient, protein-enriched food and beverage products that can be consumed on-the-go as nutritious snacks or as meal replacements. New consumer consumption and increasing consumption from existing consumers are fueling growth in the category. Household penetration for liquids and powders are at only 24% and 11%, respectively, versus 43% for bars for the 52 week period ended July 27, 2019 according to Nielsen household</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308" w:lineRule="auto"/>
        <w:rPr>
          <w:sz w:val="20"/>
          <w:szCs w:val="20"/>
          <w:color w:val="auto"/>
        </w:rPr>
      </w:pPr>
      <w:r>
        <w:rPr>
          <w:rFonts w:ascii="Arial" w:cs="Arial" w:eastAsia="Arial" w:hAnsi="Arial"/>
          <w:sz w:val="17"/>
          <w:szCs w:val="17"/>
          <w:color w:val="auto"/>
        </w:rPr>
        <w:t>panel data for all outlets. These statistics, together with a modest household penetration of just 5% for our RTD protein shakes for the 52 week period ended July 27, 2019 according to Nielsen household panel data for all outlets, demonstrate our significant room for further growth.</w:t>
      </w:r>
    </w:p>
    <w:p>
      <w:pPr>
        <w:spacing w:after="0" w:line="14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Our product portfolio is designed to appeal to these consumer preferences for great-tasting, nutritious and convenient products. The majority of our products that we sell are high in protein, meaning that at least 20% of the recommended amount of protein per day (Recommended Daily Value) comes from the product, while maintaining a superior taste profile. We believe this category will continue to be propelled by positive consumer trends and offer attractive growth opportunities for our Company.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Flagship Brand Supported by Other Well-Recognized Brands with Growth Potential</w:t>
      </w:r>
    </w:p>
    <w:p>
      <w:pPr>
        <w:spacing w:after="0" w:line="117"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is our flagship brand and is supported by a portfolio of other well-recognized brands with growth potential.</w:t>
      </w:r>
      <w:r>
        <w:rPr>
          <w:rFonts w:ascii="Arial" w:cs="Arial" w:eastAsia="Arial" w:hAnsi="Arial"/>
          <w:sz w:val="17"/>
          <w:szCs w:val="17"/>
          <w:i w:val="1"/>
          <w:iCs w:val="1"/>
          <w:color w:val="auto"/>
        </w:rPr>
        <w:t xml:space="preserve"> Premier Protein </w:t>
      </w:r>
      <w:r>
        <w:rPr>
          <w:rFonts w:ascii="Arial" w:cs="Arial" w:eastAsia="Arial" w:hAnsi="Arial"/>
          <w:sz w:val="17"/>
          <w:szCs w:val="17"/>
          <w:color w:val="auto"/>
        </w:rPr>
        <w:t>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positioned to appeal to mainstream consumers seeking convenient, delicious protein products they can enjoy throughout the day. Our 11 ounce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Protein </w:t>
      </w:r>
      <w:r>
        <w:rPr>
          <w:rFonts w:ascii="Arial" w:cs="Arial" w:eastAsia="Arial" w:hAnsi="Arial"/>
          <w:sz w:val="17"/>
          <w:szCs w:val="17"/>
          <w:color w:val="auto"/>
        </w:rPr>
        <w:t>RTD shake epitomizes this brand commitment, providing a great-tasting, on-the-go beverage with 30 grams of protein and only one gram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sugar. The combination of taste, leading nutritionals and portability makes drinking shakes an everyday occurrence for many of our consumers. Our brands have strong loyalty because our products help our consumers achieve their desired results, which vary by consumer but include satiety, sustained energy or muscle recovery. We believe the combination of leading nutritionals, superior taste and highly effective results creates strong bonds between our consumers and our brands which will continue to fuel our growth. Our consumer advocates are the cornerstone of our marketing efforts, and we believe no other brand in the category inspires brand love similar to that of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The brand has achieved category-leading share requirements and repeat purchase frequencies for liquid brands with sales greater than $2.0 million based on Nielsen household panel data for all outlets for the 52 week period ended July 27, 2019. In addition, we believe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has some of the highest product velocity rates in the convenient nutrition RTD category in the FDM channel based on Nielsen tracked channels data for the 52 week period ended August 3, 2019.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holds the #1 share in the convenient nutrition category and the convenient nutrition RTD category based on Nielsen household panel data for all outlets for the 52 week period ended July 27, 2019.</w:t>
      </w:r>
    </w:p>
    <w:p>
      <w:pPr>
        <w:spacing w:after="0" w:line="18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i w:val="1"/>
          <w:iCs w:val="1"/>
          <w:color w:val="auto"/>
        </w:rPr>
        <w:t xml:space="preserve">Dymatize </w:t>
      </w:r>
      <w:r>
        <w:rPr>
          <w:rFonts w:ascii="Arial" w:cs="Arial" w:eastAsia="Arial" w:hAnsi="Arial"/>
          <w:sz w:val="18"/>
          <w:szCs w:val="18"/>
          <w:color w:val="auto"/>
        </w:rPr>
        <w:t>is a high-quality sports nutrition brand that targets fitness enthusiasts, who trust the brand for its science-based product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athletic performance focus and third party validation that its products are free of banned substances.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award-winning product portfolio spans protein powders, protein bars and nutritional supplements. We believe our </w:t>
      </w:r>
      <w:r>
        <w:rPr>
          <w:rFonts w:ascii="Arial" w:cs="Arial" w:eastAsia="Arial" w:hAnsi="Arial"/>
          <w:sz w:val="18"/>
          <w:szCs w:val="18"/>
          <w:i w:val="1"/>
          <w:iCs w:val="1"/>
          <w:color w:val="auto"/>
        </w:rPr>
        <w:t>ISO100</w:t>
      </w:r>
      <w:r>
        <w:rPr>
          <w:rFonts w:ascii="Arial" w:cs="Arial" w:eastAsia="Arial" w:hAnsi="Arial"/>
          <w:sz w:val="18"/>
          <w:szCs w:val="18"/>
          <w:color w:val="auto"/>
        </w:rPr>
        <w:t xml:space="preserve"> product is the best-selling hydrolyzed 100% whey protein isolate in the specialty channel and is known for its superior quality and exceptional taste. The brand has a loyal following among consumers who use sports nutrition to support athletic training regimens and has a strong presence in the domestic specialty and eCommerce channels, as well as internationally. Recently, the brand has demonstrated its ability to expand into new channels through its entry into club and mass, which remain large growth opportunities.</w:t>
      </w:r>
    </w:p>
    <w:p>
      <w:pPr>
        <w:spacing w:after="0" w:line="189"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i w:val="1"/>
          <w:iCs w:val="1"/>
          <w:color w:val="auto"/>
        </w:rPr>
        <w:t xml:space="preserve">PowerBar </w:t>
      </w:r>
      <w:r>
        <w:rPr>
          <w:rFonts w:ascii="Arial" w:cs="Arial" w:eastAsia="Arial" w:hAnsi="Arial"/>
          <w:sz w:val="17"/>
          <w:szCs w:val="17"/>
          <w:color w:val="auto"/>
        </w:rPr>
        <w:t>is one of the most well-known brands in the convenient nutrition category based on a survey powered by Qualtrics performed in June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2019. The brand aims to deliver nutrient dense products to fuel consumers with ambitious, athletic lifestyles. Its product portfolio ranges from great-tasting protein and energy snacks for lifestyle athletes to highly functional and technical energy products for competitive athletes’ in-game usage. </w:t>
      </w:r>
      <w:r>
        <w:rPr>
          <w:rFonts w:ascii="Arial" w:cs="Arial" w:eastAsia="Arial" w:hAnsi="Arial"/>
          <w:sz w:val="17"/>
          <w:szCs w:val="17"/>
          <w:i w:val="1"/>
          <w:iCs w:val="1"/>
          <w:color w:val="auto"/>
        </w:rPr>
        <w:t xml:space="preserve">PowerBar </w:t>
      </w:r>
      <w:r>
        <w:rPr>
          <w:rFonts w:ascii="Arial" w:cs="Arial" w:eastAsia="Arial" w:hAnsi="Arial"/>
          <w:sz w:val="17"/>
          <w:szCs w:val="17"/>
          <w:color w:val="auto"/>
        </w:rPr>
        <w:t>is positioned as a high-quality brand both in the U.S. and internationally and has a notable presence in Western Europe.</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Superior Products with Leading Nutritional Attributes and Taste</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delivers products with high protein and superior taste. The brand’s RTD protein shakes are formulated to deliver leading levels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protein while maintaining one of the leanest nutritional profiles (as measured by sugar and calorie content) in the convenient nutrition category. Our RTD protein shakes are gluten- and soy-free, low fat and fortified with 24 vitamins and minerals while maintaining a superior taste profile and certain of our RTD protein shake flavors were awarded the American Masters of Taste Gold Medal for 2015, 2016, 2017, 2018 and 2019. We recently have accelerated our efforts to expand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portfolio to include new flavors, powders and nutrition bars.</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24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auto"/>
        </w:rPr>
        <w:t xml:space="preserve">Dymatize </w:t>
      </w:r>
      <w:r>
        <w:rPr>
          <w:rFonts w:ascii="Arial" w:cs="Arial" w:eastAsia="Arial" w:hAnsi="Arial"/>
          <w:sz w:val="17"/>
          <w:szCs w:val="17"/>
          <w:color w:val="auto"/>
        </w:rPr>
        <w:t>is built on a foundation of science-based product development and athletic performance focus.</w:t>
      </w:r>
      <w:r>
        <w:rPr>
          <w:rFonts w:ascii="Arial" w:cs="Arial" w:eastAsia="Arial" w:hAnsi="Arial"/>
          <w:sz w:val="17"/>
          <w:szCs w:val="17"/>
          <w:i w:val="1"/>
          <w:iCs w:val="1"/>
          <w:color w:val="auto"/>
        </w:rPr>
        <w:t xml:space="preserve"> Dymatize </w:t>
      </w:r>
      <w:r>
        <w:rPr>
          <w:rFonts w:ascii="Arial" w:cs="Arial" w:eastAsia="Arial" w:hAnsi="Arial"/>
          <w:sz w:val="17"/>
          <w:szCs w:val="17"/>
          <w:color w:val="auto"/>
        </w:rPr>
        <w:t>products are formulated based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on the latest scientific research and are rigorously tested in university studies and at elite professional training facilities. The brand’s flagship product, </w:t>
      </w:r>
      <w:r>
        <w:rPr>
          <w:rFonts w:ascii="Arial" w:cs="Arial" w:eastAsia="Arial" w:hAnsi="Arial"/>
          <w:sz w:val="17"/>
          <w:szCs w:val="17"/>
          <w:i w:val="1"/>
          <w:iCs w:val="1"/>
          <w:color w:val="auto"/>
        </w:rPr>
        <w:t>ISO100</w:t>
      </w:r>
      <w:r>
        <w:rPr>
          <w:rFonts w:ascii="Arial" w:cs="Arial" w:eastAsia="Arial" w:hAnsi="Arial"/>
          <w:sz w:val="17"/>
          <w:szCs w:val="17"/>
          <w:color w:val="auto"/>
        </w:rPr>
        <w:t>, is a fast absorbing, easily digestible and easily soluble powder.</w:t>
      </w:r>
      <w:r>
        <w:rPr>
          <w:rFonts w:ascii="Arial" w:cs="Arial" w:eastAsia="Arial" w:hAnsi="Arial"/>
          <w:sz w:val="17"/>
          <w:szCs w:val="17"/>
          <w:i w:val="1"/>
          <w:iCs w:val="1"/>
          <w:color w:val="auto"/>
        </w:rPr>
        <w:t xml:space="preserve"> ISO100 </w:t>
      </w:r>
      <w:r>
        <w:rPr>
          <w:rFonts w:ascii="Arial" w:cs="Arial" w:eastAsia="Arial" w:hAnsi="Arial"/>
          <w:sz w:val="17"/>
          <w:szCs w:val="17"/>
          <w:color w:val="auto"/>
        </w:rPr>
        <w:t>won the “Isolate Protein of the Year” award for 2013 through 2017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 of the annual Bodybuilding.com Supplement Awards. It also is known for its exceptional taste which, combined with its leading nutritional attributes, has allowed the brand to develop a large and loyal consumer following. As of July 2019,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has more than one million followers across Facebook and Instagram, growing more than 30% over the last twelve months.</w:t>
      </w:r>
    </w:p>
    <w:p>
      <w:pPr>
        <w:spacing w:after="0" w:line="178"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i w:val="1"/>
          <w:iCs w:val="1"/>
          <w:color w:val="auto"/>
        </w:rPr>
        <w:t xml:space="preserve">PowerBar </w:t>
      </w:r>
      <w:r>
        <w:rPr>
          <w:rFonts w:ascii="Arial" w:cs="Arial" w:eastAsia="Arial" w:hAnsi="Arial"/>
          <w:sz w:val="16"/>
          <w:szCs w:val="16"/>
          <w:color w:val="auto"/>
        </w:rPr>
        <w:t>products deliver concentrated energy and protein in convenient formats that can be consumed by competitive athletes and fitness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enthusiasts to help reach peak performance. The brand’s performance and endurance products, targeted at endurance athletes, delivers carbohydrates in different product forms such as nutrition bars, gels, chews and powders for in-game usage. To adapt to evolving consumer trends,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has expanded its product portfolio to include a natural vegan protein bar and protein bars fortified with calcium and magnesium.</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Proven Track Record Across Channels Based on Strong Customer Relationships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 xml:space="preserve">Our products are sold across a variety of channels in the U.S. and internationally. Our largest brand,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originated in the club channel and we have deep, long-standing relationships with our club customers. We have organically grown our sales in the club channel, and we have progressively introduced new flavors and product extensions with great success. Our sales in the club channel grew at a 31% CAGR from fiscal 2016 to fiscal 2018. We also have effectively leveraged our strong customer relationships to cross-sell our brands within different channels. For example, we recently secured national distribution of several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with our club, mass and drug customers as well as several regional grocery customers.</w:t>
      </w:r>
    </w:p>
    <w:p>
      <w:pPr>
        <w:spacing w:after="0" w:line="19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have demonstrated an ability to organically grow in other distribution channels, including expanding our presence in FDM with significant growth across key national retail partners. Our sales in the FDM channel grew at a 38% CAGR from fiscal 2016 to fiscal 2018. Further, we have experienced sizeable organic growth in the eCommerce channel, where our strong brand recognition drives high conversion rates among consumers who view our products online. Our sales in the eCommerce channel grew at a 52% CAGR from fiscal 2016 to fiscal 2018. In convenience and dollar, we recently gained distribution for additional products. Expansion in FDM and eCommerce increases consumer exposure to and trial of our products, which we believe will drive repeat purchases and further our growth across all channels.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Asset-Light Platform</w:t>
      </w:r>
    </w:p>
    <w:p>
      <w:pPr>
        <w:spacing w:after="0" w:line="117" w:lineRule="exact"/>
        <w:rPr>
          <w:sz w:val="20"/>
          <w:szCs w:val="20"/>
          <w:color w:val="auto"/>
        </w:rPr>
      </w:pPr>
    </w:p>
    <w:p>
      <w:pPr>
        <w:ind w:left="200" w:right="540" w:firstLine="441"/>
        <w:spacing w:after="0" w:line="286" w:lineRule="auto"/>
        <w:rPr>
          <w:sz w:val="20"/>
          <w:szCs w:val="20"/>
          <w:color w:val="auto"/>
        </w:rPr>
      </w:pPr>
      <w:r>
        <w:rPr>
          <w:rFonts w:ascii="Arial" w:cs="Arial" w:eastAsia="Arial" w:hAnsi="Arial"/>
          <w:sz w:val="17"/>
          <w:szCs w:val="17"/>
          <w:color w:val="auto"/>
        </w:rPr>
        <w:t>We utilize a largely outsourced manufacturing network consisting of co-manufacturers and third party logistics providers. Partnering with a diversified group of co-manufacturers enables our Company to focus on our core in-house capabilities, including sales and marketing, brand management, customer service and research and development, allowing management to drive profitable growth.</w:t>
      </w:r>
    </w:p>
    <w:p>
      <w:pPr>
        <w:spacing w:after="0" w:line="166"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Utilizing our four research and development facilities, we also have built a highly dynamic research and development platform that leverages input from our customers and sales force to enhance our speed-to-market with new products and flavors.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Attractive Organic Growth and Financial Profile</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We have an attractive financial profile with a track record of significant organic growth. Net sales have grown organically from $574.7 million in fiscal 2016 to $827.5 million in fiscal 2018, representing a CAGR of 20%. Similarly, net income grew from $19.9 million in fiscal 2016 to $96.1 million in fiscal 2018, representing a CAGR of 120%, Adjusted net earnings grew from $29.3 million in fiscal 2016 to $93.3 million in fiscal 2018,</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2" w:lineRule="auto"/>
        <w:rPr>
          <w:sz w:val="20"/>
          <w:szCs w:val="20"/>
          <w:color w:val="auto"/>
        </w:rPr>
      </w:pPr>
      <w:r>
        <w:rPr>
          <w:rFonts w:ascii="Arial" w:cs="Arial" w:eastAsia="Arial" w:hAnsi="Arial"/>
          <w:sz w:val="17"/>
          <w:szCs w:val="17"/>
          <w:color w:val="auto"/>
        </w:rPr>
        <w:t>representing a CAGR of 78% and Adjusted EBITDA grew from $72.0 million in fiscal 2016 to $156.5 million in fiscal 2018, representing a CAGR of 47%. See “Explanation and Reconciliation of Non-GAAP Measures” for a reconciliation of Adjusted net earnings and Adjusted EBITDA, each a non-GAAP measure, to the most directly comparable GAAP measure. In addition, our operating margin profile benefits from the quality of our brand portfolio and our lean organization structure. Our asset-light business model requires modest capital expenditures, with annual capital expenditures averaging less than 1% of net sales over the last three years. Our margin profile, along with our capital expenditure-light model and limited working capital requirements, drive consistently high cash flow generation, providing significant financial flexibility to continue to reinvest in our business and pursue value enhancing acquisition opportunities as they arise.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Experienced and Talented Management Team</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assembled an experienced and talented management team led by our President and Chief Executive Officer, Darcy Horn Davenport, who has over twenty years of experience in the consumer packaged goods industry, including nearly ten years with Premier Nutrition and predecessor companies. Our talented management team has an average of eighteen years of experience in the consumer packaged goods industry. This team has demonstrated its ability to enhance the business through active portfolio management, including focused innovation, marketing, expansion of customer relationships and entering new sales channels. Our management team has presided over significant organic growth in the business and has successfully integrated multiple acquisitions.</w:t>
      </w:r>
    </w:p>
    <w:p>
      <w:pPr>
        <w:spacing w:after="0" w:line="193"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The strength of our management team is further enhanced by the significant industry experience of the leadership team at our parent company, Post. In particular, Robert V. Vitale, our Executive Chairman and the President and Chief Executive Officer of Post, brings more than thirty years of financial and consumer packaged goods experience to our team.</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80"/>
          </w:cols>
          <w:pgMar w:left="24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believe our presence across consumer segments, channels, product forms and geographies is unmatched by any of our competitors. This presence provides us with multiple avenues to drive continued growth in our business at a rate that outpaces the rapidly expanding convenient nutrition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141605</wp:posOffset>
            </wp:positionV>
            <wp:extent cx="4853940" cy="38931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853940" cy="389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addition, as a publicly traded and separately capitalized company, we will be better positioned to reach our full potential, with greater financial and managerial flexibility to pursue our distinct operational priorities.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Drive Increased Household Penetration and Love for Our Brands</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i w:val="1"/>
          <w:iCs w:val="1"/>
          <w:color w:val="auto"/>
        </w:rPr>
        <w:t>Premier Protein</w:t>
      </w:r>
      <w:r>
        <w:rPr>
          <w:rFonts w:ascii="Arial" w:cs="Arial" w:eastAsia="Arial" w:hAnsi="Arial"/>
          <w:sz w:val="16"/>
          <w:szCs w:val="16"/>
          <w:color w:val="auto"/>
        </w:rPr>
        <w:t>, our largest brand, holds the #1 share position in the convenient nutrition category and RTD protein shakes as measured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Nielsen household panel data for all outlets for the 52 week period ended July 27, 2019. However, household penetration for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is 5% (compared to 24% for liquids in the convenient nutrition category) for the 52 week period ended July 27, 2019 according to Nielsen household panel data for all outlets, which we believe provides significant opportunity for further expansion. We believe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well-positioned to increase household penetration given its mainstream relevance and approachable positioning with the everyday consumer; it has demonstrated this ability by contributing to the overall growth of the category. Based on data from Nielsen for Total US xAOC including Convenience for the 52 week period ended January 26, 2019, 53% of the convenient nutrition RTD category’s growth was driven by the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brand through new category buyers and incremental consumption by existing buyers. We believe we can continue to increase household penetration and bring in new category buyers by increasing consumer awareness of the role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can play in healthy and active lifestyles. We plan to continue</w:t>
      </w:r>
    </w:p>
    <w:p>
      <w:pPr>
        <w:spacing w:after="0" w:line="9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240" w:top="459" w:right="5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93" w:lineRule="auto"/>
        <w:rPr>
          <w:sz w:val="20"/>
          <w:szCs w:val="20"/>
          <w:color w:val="auto"/>
        </w:rPr>
      </w:pPr>
      <w:r>
        <w:rPr>
          <w:rFonts w:ascii="Arial" w:cs="Arial" w:eastAsia="Arial" w:hAnsi="Arial"/>
          <w:sz w:val="16"/>
          <w:szCs w:val="16"/>
          <w:color w:val="auto"/>
        </w:rPr>
        <w:t xml:space="preserve">investing in comprehensive marketing plans that include national advertising, social media, sampling and grassroots efforts to introduce consumers to the superior taste and nutritional benefits of our products. We will leverage our fans’ enthusiasm for the brand to spread the word about the exceptional taste and benefits of our products. The strategic theme of our marketing for the last several years has been “Showcasing Our Fan Love,” which is centered around letting fans tell others about our differentiated portfolio. We believe this marketing approach increases relevance, credibility and memorability among our consumers, positioning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as a leading brand that delivers a differentiated offering of nutritional products. We believe these efforts drive new household participation as well as deeper loyalty and consumer love for the brand.</w:t>
      </w:r>
    </w:p>
    <w:p>
      <w:pPr>
        <w:spacing w:after="0" w:line="165"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 xml:space="preserve">Historically,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has been sold predominantly in the specialty channel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internationally in the sports specialty channel. As both brands continue to expand in channels, such as eCommerce and FDM, in the U.S. for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in Europe for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we believe household penetration also will increase through incremental brand exposure. We also plan to deepen consumer love of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brands among fitness enthusiasts via our global network of athlete brand ambassadors, along with increased advertising to enhance consumer connection via digital channels and our social media outlets.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Deepen Existing Customer Relationships and Continue To Expand Across Channels</w:t>
      </w:r>
    </w:p>
    <w:p>
      <w:pPr>
        <w:spacing w:after="0" w:line="117"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 xml:space="preserve">We believe there are significant growth opportunities in our existing club, FDM, eCommerce and convenience channels across our brand portfolio. We have proven our ability to generate leading velocity rates, even in channels where we currently have a small presence. For example, based on Nielsen tracked channels data for the 52 week period ended August 3, 2019,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maintains only a 4% share of shelf space within the convenient nutrition RTD category in the FDM channel, but is generating 9% of the sales and, we believe, has some of the highest product velocity rates in the category in the FDM channel. We believe </w:t>
      </w:r>
      <w:r>
        <w:rPr>
          <w:rFonts w:ascii="Arial" w:cs="Arial" w:eastAsia="Arial" w:hAnsi="Arial"/>
          <w:sz w:val="16"/>
          <w:szCs w:val="16"/>
          <w:i w:val="1"/>
          <w:iCs w:val="1"/>
          <w:color w:val="auto"/>
        </w:rPr>
        <w:t>Dymatize</w:t>
      </w:r>
      <w:r>
        <w:rPr>
          <w:rFonts w:ascii="Arial" w:cs="Arial" w:eastAsia="Arial" w:hAnsi="Arial"/>
          <w:sz w:val="16"/>
          <w:szCs w:val="16"/>
          <w:color w:val="auto"/>
        </w:rPr>
        <w:t>, which recently entered into the club and mass channels, also is already experiencing strong initial dollar velocities versus its competitors based on data from Nielsen for Total US xAOC including Convenience for the 13 week period ended July 27, 2019. Given this strong performance, we are excited about the opportunity to introduce additional product forms. We plan to work in partnership with our key customers to introduce incremental product forms and flavor extensions to establish a larger share of shelf and to leverage our relationships to cross-sell all of our brands. We also believe there is a growth opportunity by migrating our products to the center-of-store where there is more foot traffic. We intend to test center-of-store placements in partnerships with our key customers.</w:t>
      </w:r>
    </w:p>
    <w:p>
      <w:pPr>
        <w:spacing w:after="0" w:line="169"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eCommerce remains a large opportunity for us across all of our brands. Our net sales have grown 52% annually in this channel from fiscal 2016 to fiscal 2018. We already have established a dedicated team to drive sales and deepen our customer relationships in this channel. In the long term, we also believe the foodservice and dollar channels are attractive markets where our brands are positioned for success.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Rapidly Innovate Across Brands to Meet Evolving Consumer Needs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Innovating to deliver delicious tasting products with quality nutrition is a key growth driver of our brands. We are an insights-driven organization and our innovation pipeline is guided by meeting unmet or underserved consumer needs. We employ a dual path innovation strategy with line extensions combined with category disrupting innovation.</w:t>
      </w:r>
    </w:p>
    <w:p>
      <w:pPr>
        <w:spacing w:after="0" w:line="18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 xml:space="preserve">For our line extension strategy, we expanded our 30 gram RTD protein shake business from three flavors in 2015 to seven flavors in 2018. The additional flavors contributed 38% of the net sales increase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since the end of fiscal 2015 and accounted for 25% of fiscal 2018 net sales of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We expect to introduce two additional flavors in the fall of 2019. We also have improved the taste of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powder and nutrition bar formulations to ensure we continue to delight consumers. We believe our new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powder offering has achieved top 10% category velocities in FDM since its launch in December 2017 based on Nielsen tracked channels data for the 52 week period ended</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 xml:space="preserve">August 3, 2019.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nutrition bars have achieved the first, second and third highest velocities for branded sports protein bars according to German Nielsen MarketTrack data for the grocery and drug channels for June 2019 and, we believe, continue to have strong growth in Germany. We also have experienced success with our category disrupting innovation strategy. As a recent example, we believe our clear RTD protein beverages have one of the broadest distribution levels for products of this type based on Nielsen data for Total US xAOC including Convenience for the four week period ended August 10, 2019. We launched this platform across both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The </w:t>
      </w:r>
      <w:r>
        <w:rPr>
          <w:rFonts w:ascii="Arial" w:cs="Arial" w:eastAsia="Arial" w:hAnsi="Arial"/>
          <w:sz w:val="18"/>
          <w:szCs w:val="18"/>
          <w:i w:val="1"/>
          <w:iCs w:val="1"/>
          <w:color w:val="auto"/>
        </w:rPr>
        <w:t>Premier Protein Clear</w:t>
      </w:r>
      <w:r>
        <w:rPr>
          <w:rFonts w:ascii="Arial" w:cs="Arial" w:eastAsia="Arial" w:hAnsi="Arial"/>
          <w:sz w:val="18"/>
          <w:szCs w:val="18"/>
          <w:color w:val="auto"/>
        </w:rPr>
        <w:t xml:space="preserve"> RTD product is now distributed nationwide in Costco and other key retailers.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continues to be a leader in disruptive product innovation with several leading products for its core enthusiasts, the most recent being </w:t>
      </w:r>
      <w:r>
        <w:rPr>
          <w:rFonts w:ascii="Arial" w:cs="Arial" w:eastAsia="Arial" w:hAnsi="Arial"/>
          <w:sz w:val="18"/>
          <w:szCs w:val="18"/>
          <w:i w:val="1"/>
          <w:iCs w:val="1"/>
          <w:color w:val="auto"/>
        </w:rPr>
        <w:t>All9 Amino</w:t>
      </w:r>
      <w:r>
        <w:rPr>
          <w:rFonts w:ascii="Arial" w:cs="Arial" w:eastAsia="Arial" w:hAnsi="Arial"/>
          <w:sz w:val="18"/>
          <w:szCs w:val="18"/>
          <w:color w:val="auto"/>
        </w:rPr>
        <w:t>, a supplement that provides the nine essential amino acids for optimal muscle protein synthesis.</w:t>
      </w:r>
    </w:p>
    <w:p>
      <w:pPr>
        <w:spacing w:after="0" w:line="192" w:lineRule="exact"/>
        <w:rPr>
          <w:sz w:val="20"/>
          <w:szCs w:val="20"/>
          <w:color w:val="auto"/>
        </w:rPr>
      </w:pPr>
    </w:p>
    <w:p>
      <w:pPr>
        <w:ind w:left="200" w:right="280" w:firstLine="441"/>
        <w:spacing w:after="0" w:line="257" w:lineRule="auto"/>
        <w:rPr>
          <w:sz w:val="20"/>
          <w:szCs w:val="20"/>
          <w:color w:val="auto"/>
        </w:rPr>
      </w:pPr>
      <w:r>
        <w:rPr>
          <w:rFonts w:ascii="Arial" w:cs="Arial" w:eastAsia="Arial" w:hAnsi="Arial"/>
          <w:sz w:val="18"/>
          <w:szCs w:val="18"/>
          <w:color w:val="auto"/>
        </w:rPr>
        <w:t>We maintain a robust three-year insight-driven pipeline that is tailored to a broad range of consumers covering a variety of need states and consumption occasions. We intend to continue to improve and expand our product offerings with new flavors and forms, innovative ingredients and unique packaging options, while maintaining our commitment to delivering the nutrition and taste profiles demanded by our consumers. Our commitment to this objective is demonstrated by our investment in four research and development facilities in Emeryville, California; Dallas, Texas; Boise, Idaho and Voerde, Germany.</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Expand Our Presence in International Markets</w:t>
      </w:r>
    </w:p>
    <w:p>
      <w:pPr>
        <w:spacing w:after="0" w:line="11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While the U.S. convenient nutrition market accounts for the largest portion of our business, we are uniquely positioned to take advantage of the rapidly growing international market. Based on Euromonitor data, the international convenient nutrition category is expected to grow from sales of $15.6 billion in 2018 to sales of $21.1 billion in 2021, representing a CAGR of 11%.</w:t>
      </w:r>
    </w:p>
    <w:p>
      <w:pPr>
        <w:spacing w:after="0" w:line="18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 xml:space="preserve">We have an established and growing international business for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in several attractive markets, including Western Europe, South America and the Middle East, and for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in Canada. From fiscal 2016 to fiscal 2018, net sales in our international business grew at a CAGR of 9%. In the short-term, we plan to leverage our existing country presence and strong distributor partnerships to rapidly expand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continue distribution momentum for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We are seeking to expand our wholesale and direct-to-consumer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business with specific emphasis on growing sales of our </w:t>
      </w:r>
      <w:r>
        <w:rPr>
          <w:rFonts w:ascii="Arial" w:cs="Arial" w:eastAsia="Arial" w:hAnsi="Arial"/>
          <w:sz w:val="17"/>
          <w:szCs w:val="17"/>
          <w:i w:val="1"/>
          <w:iCs w:val="1"/>
          <w:color w:val="auto"/>
        </w:rPr>
        <w:t>ISO100</w:t>
      </w:r>
      <w:r>
        <w:rPr>
          <w:rFonts w:ascii="Arial" w:cs="Arial" w:eastAsia="Arial" w:hAnsi="Arial"/>
          <w:sz w:val="17"/>
          <w:szCs w:val="17"/>
          <w:color w:val="auto"/>
        </w:rPr>
        <w:t xml:space="preserve"> product. We are focused on leveraging recent marketing investments to accelerate FDM expansion of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in Western Europe, while continuing to maintain a strong presence in the specialty channel, which drives brand awareness. In addition, we intend to drive the expansion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brand by offering a wider range of products in the FDM channel and investing behind our existing eCommerce platform.</w:t>
      </w:r>
    </w:p>
    <w:p>
      <w:pPr>
        <w:spacing w:after="0" w:line="17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We have near and longer-term aspirations to grow our brands through further international expansion in the largest opportunity international markets. We believe our brands have significant growth potential in both large emerging markets such as China and India and established markets such as the U.K., Japan and Australia.</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Pursue Value-Accretive Acquisitions</w:t>
      </w:r>
    </w:p>
    <w:p>
      <w:pPr>
        <w:spacing w:after="0" w:line="11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Food and beverage is a highly fragmented industry with many opportunities to pursue value-enhancing acquisitions. We intend to pursue acquisition opportunities that would yield synergistic, accretive and profitable long-term growth. We plan to use our platform to consider all attractive acquisition opportunities within the convenient nutrition category, as well as the food and beverage industry more broadly. Our management depth and integration expertise can be leveraged, along with our access to capital and Post’s expertise, to make value-accretive acquisitions. The combination of consolidating selling, general and administrative functions, leveraging our scale and optimizing our supply chain will enable us to drive acquisition synergies in future transactions we may pursue.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00"/>
          </w:cols>
          <w:pgMar w:left="24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Brand Overview</w:t>
      </w:r>
    </w:p>
    <w:p>
      <w:pPr>
        <w:spacing w:after="0" w:line="121"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 xml:space="preserve">Our portfolio consists of our primary brands,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and two secondary brands, </w:t>
      </w:r>
      <w:r>
        <w:rPr>
          <w:rFonts w:ascii="Arial" w:cs="Arial" w:eastAsia="Arial" w:hAnsi="Arial"/>
          <w:sz w:val="16"/>
          <w:szCs w:val="16"/>
          <w:i w:val="1"/>
          <w:iCs w:val="1"/>
          <w:color w:val="auto"/>
        </w:rPr>
        <w:t>Joint Juice</w:t>
      </w:r>
      <w:r>
        <w:rPr>
          <w:rFonts w:ascii="Arial" w:cs="Arial" w:eastAsia="Arial" w:hAnsi="Arial"/>
          <w:sz w:val="16"/>
          <w:szCs w:val="16"/>
          <w:color w:val="auto"/>
        </w:rPr>
        <w:t xml:space="preserve"> and </w:t>
      </w:r>
      <w:r>
        <w:rPr>
          <w:rFonts w:ascii="Arial" w:cs="Arial" w:eastAsia="Arial" w:hAnsi="Arial"/>
          <w:sz w:val="16"/>
          <w:szCs w:val="16"/>
          <w:i w:val="1"/>
          <w:iCs w:val="1"/>
          <w:color w:val="auto"/>
        </w:rPr>
        <w:t>Supreme</w:t>
      </w:r>
      <w:r>
        <w:rPr>
          <w:rFonts w:ascii="Arial" w:cs="Arial" w:eastAsia="Arial" w:hAnsi="Arial"/>
          <w:sz w:val="16"/>
          <w:szCs w:val="16"/>
          <w:color w:val="auto"/>
        </w:rPr>
        <w:t xml:space="preserve"> </w:t>
      </w:r>
      <w:r>
        <w:rPr>
          <w:rFonts w:ascii="Arial" w:cs="Arial" w:eastAsia="Arial" w:hAnsi="Arial"/>
          <w:sz w:val="16"/>
          <w:szCs w:val="16"/>
          <w:i w:val="1"/>
          <w:iCs w:val="1"/>
          <w:color w:val="auto"/>
        </w:rPr>
        <w:t>Protein</w:t>
      </w:r>
      <w:r>
        <w:rPr>
          <w:rFonts w:ascii="Arial" w:cs="Arial" w:eastAsia="Arial" w:hAnsi="Arial"/>
          <w:sz w:val="16"/>
          <w:szCs w:val="16"/>
          <w:color w:val="auto"/>
        </w:rPr>
        <w:t>. Together our brands cover the major product forms in the convenient nutrition category and appeal to a broad range of consumer need states.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Premier Protein</w:t>
      </w:r>
    </w:p>
    <w:p>
      <w:pPr>
        <w:spacing w:after="0" w:line="117" w:lineRule="exact"/>
        <w:rPr>
          <w:sz w:val="20"/>
          <w:szCs w:val="20"/>
          <w:color w:val="auto"/>
        </w:rPr>
      </w:pPr>
    </w:p>
    <w:p>
      <w:pPr>
        <w:ind w:left="200" w:right="360" w:firstLine="441"/>
        <w:spacing w:after="0" w:line="308" w:lineRule="auto"/>
        <w:rPr>
          <w:sz w:val="20"/>
          <w:szCs w:val="20"/>
          <w:color w:val="auto"/>
        </w:rPr>
      </w:pP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is a leading mainstream, lifestyle brand, holding the #1 share position in the convenient nutrition category and the convenient</w:t>
      </w:r>
      <w:r>
        <w:rPr>
          <w:rFonts w:ascii="Arial" w:cs="Arial" w:eastAsia="Arial" w:hAnsi="Arial"/>
          <w:sz w:val="17"/>
          <w:szCs w:val="17"/>
          <w:i w:val="1"/>
          <w:iCs w:val="1"/>
          <w:color w:val="auto"/>
        </w:rPr>
        <w:t xml:space="preserve"> </w:t>
      </w:r>
      <w:r>
        <w:rPr>
          <w:rFonts w:ascii="Arial" w:cs="Arial" w:eastAsia="Arial" w:hAnsi="Arial"/>
          <w:sz w:val="17"/>
          <w:szCs w:val="17"/>
          <w:color w:val="auto"/>
        </w:rPr>
        <w:t>nutrition RTD category as measured by Nielsen household panel data for all outlets for the 52 week period ended July 27, 2019.</w:t>
      </w:r>
    </w:p>
    <w:p>
      <w:pPr>
        <w:spacing w:after="0" w:line="14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 xml:space="preserve">We believe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has a unique appeal to mainstream consumers looking for convenient, nutritious and great-tasting products they can incorporate into their daily routines. The brand is committed to delivering high protein and superior tasting products that consumers can enjoy on-the-go. </w:t>
      </w:r>
      <w:r>
        <w:rPr>
          <w:rFonts w:ascii="Arial" w:cs="Arial" w:eastAsia="Arial" w:hAnsi="Arial"/>
          <w:sz w:val="17"/>
          <w:szCs w:val="17"/>
          <w:i w:val="1"/>
          <w:iCs w:val="1"/>
          <w:color w:val="auto"/>
        </w:rPr>
        <w:t>Premier Protein</w:t>
      </w:r>
      <w:r>
        <w:rPr>
          <w:rFonts w:ascii="Arial" w:cs="Arial" w:eastAsia="Arial" w:hAnsi="Arial"/>
          <w:sz w:val="17"/>
          <w:szCs w:val="17"/>
          <w:color w:val="auto"/>
        </w:rPr>
        <w:t>’s mainstream relevance and approachable positioning allow the brand to capture multiple consumption occasions (breakfast, snack, meal replacement and treat) and appeal to a broad range of consumer need states. As a result, we believe it has been one of the few brands in the category that has successfully expanded across consumer types as well as product forms.</w:t>
      </w:r>
    </w:p>
    <w:p>
      <w:pPr>
        <w:spacing w:after="0" w:line="17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 xml:space="preserve">We believe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one of the top growth brands in the U.S. convenient nutrition category based on Nielsen data for Total US xAOC including Convenience the 52 week period ended August 3, 2019. In Nielsen tracked channels, our RTD protein shake sales have organically grown at a 56% CAGR from 2015 to 2019 based on Nielsen data for Total US xAOC including Convenience for the 52 week period ended August 15, 2015 and the comparable period in 2019, considerably outpacing the broader category.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’s growth has expanded the broader convenient nutrition category. For example,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drove 53% of convenient nutrition RTD category growth according to Nielsen data for Total US xAOC including Convenience for the 52 week period ended January 26, 2019. </w:t>
      </w:r>
      <w:r>
        <w:rPr>
          <w:rFonts w:ascii="Arial" w:cs="Arial" w:eastAsia="Arial" w:hAnsi="Arial"/>
          <w:sz w:val="16"/>
          <w:szCs w:val="16"/>
          <w:i w:val="1"/>
          <w:iCs w:val="1"/>
          <w:color w:val="auto"/>
        </w:rPr>
        <w:t>Premier Protein</w:t>
      </w:r>
      <w:r>
        <w:rPr>
          <w:rFonts w:ascii="Arial" w:cs="Arial" w:eastAsia="Arial" w:hAnsi="Arial"/>
          <w:sz w:val="16"/>
          <w:szCs w:val="16"/>
          <w:color w:val="auto"/>
        </w:rPr>
        <w:t>’s organic growth is fueled by our consumers’ loyalty to and love for the brand and its products, as new users are often introduced by their friends, families or health care providers.</w:t>
      </w:r>
    </w:p>
    <w:p>
      <w:pPr>
        <w:spacing w:after="0" w:line="16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i w:val="1"/>
          <w:iCs w:val="1"/>
          <w:color w:val="auto"/>
        </w:rPr>
        <w:t>Premier Protein</w:t>
      </w:r>
      <w:r>
        <w:rPr>
          <w:rFonts w:ascii="Arial" w:cs="Arial" w:eastAsia="Arial" w:hAnsi="Arial"/>
          <w:sz w:val="17"/>
          <w:szCs w:val="17"/>
          <w:color w:val="auto"/>
        </w:rPr>
        <w:t>’s product characteristics and category-leading consumer loyalty differentiate the brand from its RTD competitors.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Nielsen consumer metrics, we believe the brand’s RTD protein shakes outpace its competition in buy rate, purchase size, repeat rate and share of requirements. In addition, based on sales volumes from the last twelve months ended June 30, 2019, management estimates that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sold 17 RTD shakes per second. Despite these metrics, according to Nielsen household panel data for all outlets for the 52 week period ended July 27, 2019, the U.S. household penetration rate for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of 5% remains well below the household penetration rate for liquids in the convenient nutrition category of 24%, which we believe underscores the brand’s significant runway for growth.</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8820" w:type="dxa"/>
            <w:vAlign w:val="bottom"/>
            <w:gridSpan w:val="3"/>
          </w:tcPr>
          <w:p>
            <w:pPr>
              <w:spacing w:after="0"/>
              <w:rPr>
                <w:sz w:val="20"/>
                <w:szCs w:val="20"/>
                <w:color w:val="auto"/>
              </w:rPr>
            </w:pPr>
            <w:r>
              <w:rPr>
                <w:rFonts w:ascii="Arial" w:cs="Arial" w:eastAsia="Arial" w:hAnsi="Arial"/>
                <w:sz w:val="14"/>
                <w:szCs w:val="14"/>
                <w:b w:val="1"/>
                <w:bCs w:val="1"/>
                <w:color w:val="auto"/>
              </w:rPr>
              <w:t>Key Metric: Nielsen Household Panel, All Outlets, 52 week period ended 7/27/19</w:t>
            </w:r>
          </w:p>
        </w:tc>
        <w:tc>
          <w:tcPr>
            <w:tcW w:w="2220" w:type="dxa"/>
            <w:vAlign w:val="bottom"/>
          </w:tcPr>
          <w:p>
            <w:pPr>
              <w:jc w:val="right"/>
              <w:ind w:right="133"/>
              <w:spacing w:after="0"/>
              <w:rPr>
                <w:sz w:val="20"/>
                <w:szCs w:val="20"/>
                <w:color w:val="auto"/>
              </w:rPr>
            </w:pPr>
            <w:r>
              <w:rPr>
                <w:rFonts w:ascii="Arial" w:cs="Arial" w:eastAsia="Arial" w:hAnsi="Arial"/>
                <w:sz w:val="14"/>
                <w:szCs w:val="14"/>
                <w:b w:val="1"/>
                <w:bCs w:val="1"/>
                <w:color w:val="auto"/>
              </w:rPr>
              <w:t>Premier Protein RTD Shakes</w:t>
            </w:r>
          </w:p>
        </w:tc>
      </w:tr>
      <w:tr>
        <w:trPr>
          <w:trHeight w:val="210"/>
        </w:trPr>
        <w:tc>
          <w:tcPr>
            <w:tcW w:w="20" w:type="dxa"/>
            <w:vAlign w:val="bottom"/>
          </w:tcPr>
          <w:p>
            <w:pPr>
              <w:spacing w:after="0"/>
              <w:rPr>
                <w:sz w:val="18"/>
                <w:szCs w:val="18"/>
                <w:color w:val="auto"/>
              </w:rPr>
            </w:pPr>
          </w:p>
        </w:tc>
        <w:tc>
          <w:tcPr>
            <w:tcW w:w="7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Buy Rate</w:t>
            </w:r>
          </w:p>
        </w:tc>
        <w:tc>
          <w:tcPr>
            <w:tcW w:w="146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rPr>
              <w:t>$ 67.2</w:t>
            </w: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Purchase Size</w:t>
            </w:r>
          </w:p>
        </w:tc>
        <w:tc>
          <w:tcPr>
            <w:tcW w:w="2220" w:type="dxa"/>
            <w:vAlign w:val="bottom"/>
          </w:tcPr>
          <w:p>
            <w:pPr>
              <w:jc w:val="right"/>
              <w:ind w:right="813"/>
              <w:spacing w:after="0"/>
              <w:rPr>
                <w:sz w:val="20"/>
                <w:szCs w:val="20"/>
                <w:color w:val="auto"/>
              </w:rPr>
            </w:pPr>
            <w:r>
              <w:rPr>
                <w:rFonts w:ascii="Arial" w:cs="Arial" w:eastAsia="Arial" w:hAnsi="Arial"/>
                <w:sz w:val="18"/>
                <w:szCs w:val="18"/>
                <w:color w:val="auto"/>
              </w:rPr>
              <w:t>$ 23.2</w:t>
            </w: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Repeat Rate</w:t>
            </w:r>
          </w:p>
        </w:tc>
        <w:tc>
          <w:tcPr>
            <w:tcW w:w="22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Share of Requirements (Loyalty)</w:t>
            </w:r>
          </w:p>
        </w:tc>
        <w:tc>
          <w:tcPr>
            <w:tcW w:w="2220" w:type="dxa"/>
            <w:vAlign w:val="bottom"/>
          </w:tcPr>
          <w:p>
            <w:pPr>
              <w:jc w:val="right"/>
              <w:ind w:right="813"/>
              <w:spacing w:after="0"/>
              <w:rPr>
                <w:sz w:val="20"/>
                <w:szCs w:val="20"/>
                <w:color w:val="auto"/>
              </w:rPr>
            </w:pPr>
            <w:r>
              <w:rPr>
                <w:rFonts w:ascii="Arial" w:cs="Arial" w:eastAsia="Arial" w:hAnsi="Arial"/>
                <w:sz w:val="18"/>
                <w:szCs w:val="18"/>
                <w:color w:val="auto"/>
              </w:rPr>
              <w:t>68%</w:t>
            </w: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Household Penetration</w:t>
            </w:r>
          </w:p>
        </w:tc>
        <w:tc>
          <w:tcPr>
            <w:tcW w:w="22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i w:val="1"/>
          <w:iCs w:val="1"/>
          <w:color w:val="auto"/>
        </w:rPr>
        <w:t>Premier Protein</w:t>
      </w:r>
      <w:r>
        <w:rPr>
          <w:rFonts w:ascii="Arial" w:cs="Arial" w:eastAsia="Arial" w:hAnsi="Arial"/>
          <w:sz w:val="18"/>
          <w:szCs w:val="18"/>
          <w:color w:val="auto"/>
        </w:rPr>
        <w:t>’s product portfolio consists of RTD protein shakes, refreshing protein beverages, nutrition bars and protein powders.</w:t>
      </w:r>
      <w:r>
        <w:rPr>
          <w:rFonts w:ascii="Arial" w:cs="Arial" w:eastAsia="Arial" w:hAnsi="Arial"/>
          <w:sz w:val="18"/>
          <w:szCs w:val="18"/>
          <w:i w:val="1"/>
          <w:iCs w:val="1"/>
          <w:color w:val="auto"/>
        </w:rPr>
        <w:t xml:space="preserve"> Premier Protein</w:t>
      </w:r>
      <w:r>
        <w:rPr>
          <w:rFonts w:ascii="Arial" w:cs="Arial" w:eastAsia="Arial" w:hAnsi="Arial"/>
          <w:sz w:val="18"/>
          <w:szCs w:val="18"/>
          <w:color w:val="auto"/>
        </w:rPr>
        <w:t>’s flagship 11 ounce RTD protein shakes contain 30 grams of protein with only one gram of sugar and 160 calories. They are gluten-and soy-free,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low fat and fortified with 24 vitamins and minerals. Our RTD protein shakes are formulated to deliver great-tasting, leading protein levels while maintaining one of the leanest nutritional profiles in the category (as measured by sugar and calorie content). The product profile appeals to consumers across age ranges in all four need states. </w:t>
      </w:r>
      <w:r>
        <w:rPr>
          <w:rFonts w:ascii="Arial" w:cs="Arial" w:eastAsia="Arial" w:hAnsi="Arial"/>
          <w:sz w:val="18"/>
          <w:szCs w:val="18"/>
          <w:i w:val="1"/>
          <w:iCs w:val="1"/>
          <w:color w:val="auto"/>
        </w:rPr>
        <w:t>Premier Protein</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240" w:top="459" w:right="4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RTD shakes are available in a variety of flavors including chocolate, vanilla, cookies &amp; cream, caramel, bananas &amp; cream, strawberries &amp; cream and peaches &amp; cream. Two additional flavors will be introduced in the fall of 2019.</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i w:val="1"/>
          <w:iCs w:val="1"/>
          <w:color w:val="auto"/>
        </w:rPr>
        <w:t xml:space="preserve">Premier Protein </w:t>
      </w:r>
      <w:r>
        <w:rPr>
          <w:rFonts w:ascii="Arial" w:cs="Arial" w:eastAsia="Arial" w:hAnsi="Arial"/>
          <w:sz w:val="18"/>
          <w:szCs w:val="18"/>
          <w:color w:val="auto"/>
        </w:rPr>
        <w:t>has accelerated efforts to expand its portfolio of high protein products across new product forms. The brand recently entered into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protein powders and refreshing protein beverages and launched a new nutrition bar line in fiscal 2019.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’s powder portfolio consists of 100% whey protein products that contain 30 grams of protein and three grams of sugar and are available in vanilla and chocolate flavors. In refreshing protein beverages,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launched a delicious Clear 20 gram protein drink with 90 calories and 0 grams of sugar. The Clear protein drink is available in multiple flavors, including tropical punch, raspberry and orange mango. Our </w:t>
      </w:r>
      <w:r>
        <w:rPr>
          <w:rFonts w:ascii="Arial" w:cs="Arial" w:eastAsia="Arial" w:hAnsi="Arial"/>
          <w:sz w:val="18"/>
          <w:szCs w:val="18"/>
          <w:i w:val="1"/>
          <w:iCs w:val="1"/>
          <w:color w:val="auto"/>
        </w:rPr>
        <w:t>Premier Protein Clear</w:t>
      </w:r>
      <w:r>
        <w:rPr>
          <w:rFonts w:ascii="Arial" w:cs="Arial" w:eastAsia="Arial" w:hAnsi="Arial"/>
          <w:sz w:val="18"/>
          <w:szCs w:val="18"/>
          <w:color w:val="auto"/>
        </w:rPr>
        <w:t xml:space="preserve"> beverages are positioned as thirst quenching, functional products that deliver to consumers refreshing protein beverages with no sugar. Refreshing protein beverages is an emerging space in the convenient nutrition category.</w:t>
      </w:r>
    </w:p>
    <w:p>
      <w:pPr>
        <w:spacing w:after="0" w:line="18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 xml:space="preserve">Today, </w:t>
      </w:r>
      <w:r>
        <w:rPr>
          <w:rFonts w:ascii="Arial" w:cs="Arial" w:eastAsia="Arial" w:hAnsi="Arial"/>
          <w:sz w:val="18"/>
          <w:szCs w:val="18"/>
          <w:i w:val="1"/>
          <w:iCs w:val="1"/>
          <w:color w:val="auto"/>
        </w:rPr>
        <w:t>Premier Protein</w:t>
      </w:r>
      <w:r>
        <w:rPr>
          <w:rFonts w:ascii="Arial" w:cs="Arial" w:eastAsia="Arial" w:hAnsi="Arial"/>
          <w:sz w:val="18"/>
          <w:szCs w:val="18"/>
          <w:color w:val="auto"/>
        </w:rPr>
        <w:t>’s portfolio includes a nutrition bar offering 30 grams of protein and three grams of fiber with no artificial sweeteners. The nutrition bars are gluten-free, are a good source of calcium and iron and come in a variety of flavors. The nutrition bars deliver high protein, great-tasting portable nutrition. We also expanded the portfolio in fiscal 2019 to deliver a new indulgent 20 gram nutrition bar with superior taste and texture to appeal to more mainstream consumers.</w:t>
      </w:r>
    </w:p>
    <w:p>
      <w:pPr>
        <w:spacing w:after="0" w:line="18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 xml:space="preserve">Internationally,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can be found in major Canadian retailers and recently has expanded its high protein offerings into Europe with five nutrition bars and two protein powders.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nutrition bars have achieved the first, second and third highest velocities for branded sports protein bars according to German Nielsen MarketTrack data for the grocery and drug channels for June 2019 and, we believe, continue to have strong growth in Germany.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also is sold in the club channel in Mexico, Japan and Korea.</w:t>
      </w:r>
    </w:p>
    <w:p>
      <w:pPr>
        <w:spacing w:after="0" w:line="18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 xml:space="preserve">We believe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is still in the early stages of its expansion. We expect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to continue to grow and reach new consumers as category growth is further driven by health and wellness macro tailwinds. We also expect the brand to gain additional traction across channels, expanding its share of shelf and increasing exposure points both domestically and abroad. Based on Nielsen data for Total US x AOC including Convenience for the 52 week period ended August 10, 2019,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maintain only a 5% share of shelf space within the convenient nutrition RTD category, but generate 16% of the sales. We believe these statistics demonstrate the opportunity for growth. We intend to innovate across the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portfolio, bringing new flavors and products to our loyal consumer base.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Dymatize</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 xml:space="preserve">We believe our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sets the standard for athletic nutrition. It is a market leader targeting fitness enthusiasts, who value the brand for its science-based product development and athletic performance focus. The brand’s portfolio includes an assortment of sports nutrition products, including primarily protein powders as well as protein bars and nutritional supplements (such as pre-workout and amino acids).</w:t>
      </w:r>
    </w:p>
    <w:p>
      <w:pPr>
        <w:spacing w:after="0" w:line="166"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 xml:space="preserve">The majority of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sales are generated through protein powders. Our protein powder portfolio consists of three primary products: </w:t>
      </w:r>
      <w:r>
        <w:rPr>
          <w:rFonts w:ascii="Arial" w:cs="Arial" w:eastAsia="Arial" w:hAnsi="Arial"/>
          <w:sz w:val="18"/>
          <w:szCs w:val="18"/>
          <w:i w:val="1"/>
          <w:iCs w:val="1"/>
          <w:color w:val="auto"/>
        </w:rPr>
        <w:t>ISO100</w:t>
      </w:r>
      <w:r>
        <w:rPr>
          <w:rFonts w:ascii="Arial" w:cs="Arial" w:eastAsia="Arial" w:hAnsi="Arial"/>
          <w:sz w:val="18"/>
          <w:szCs w:val="18"/>
          <w:color w:val="auto"/>
        </w:rPr>
        <w:t xml:space="preserve"> made with hydrolyzed 100% Whey Protein Isolate (“WPI”), </w:t>
      </w:r>
      <w:r>
        <w:rPr>
          <w:rFonts w:ascii="Arial" w:cs="Arial" w:eastAsia="Arial" w:hAnsi="Arial"/>
          <w:sz w:val="18"/>
          <w:szCs w:val="18"/>
          <w:i w:val="1"/>
          <w:iCs w:val="1"/>
          <w:color w:val="auto"/>
        </w:rPr>
        <w:t>Elite 100% Whey</w:t>
      </w:r>
      <w:r>
        <w:rPr>
          <w:rFonts w:ascii="Arial" w:cs="Arial" w:eastAsia="Arial" w:hAnsi="Arial"/>
          <w:sz w:val="18"/>
          <w:szCs w:val="18"/>
          <w:color w:val="auto"/>
        </w:rPr>
        <w:t xml:space="preserve"> Protein and </w:t>
      </w:r>
      <w:r>
        <w:rPr>
          <w:rFonts w:ascii="Arial" w:cs="Arial" w:eastAsia="Arial" w:hAnsi="Arial"/>
          <w:sz w:val="18"/>
          <w:szCs w:val="18"/>
          <w:i w:val="1"/>
          <w:iCs w:val="1"/>
          <w:color w:val="auto"/>
        </w:rPr>
        <w:t>Super Mass Gainer</w:t>
      </w:r>
      <w:r>
        <w:rPr>
          <w:rFonts w:ascii="Arial" w:cs="Arial" w:eastAsia="Arial" w:hAnsi="Arial"/>
          <w:sz w:val="18"/>
          <w:szCs w:val="18"/>
          <w:color w:val="auto"/>
        </w:rPr>
        <w:t xml:space="preserve">. </w:t>
      </w:r>
      <w:r>
        <w:rPr>
          <w:rFonts w:ascii="Arial" w:cs="Arial" w:eastAsia="Arial" w:hAnsi="Arial"/>
          <w:sz w:val="18"/>
          <w:szCs w:val="18"/>
          <w:i w:val="1"/>
          <w:iCs w:val="1"/>
          <w:color w:val="auto"/>
        </w:rPr>
        <w:t>ISO100</w:t>
      </w:r>
      <w:r>
        <w:rPr>
          <w:rFonts w:ascii="Arial" w:cs="Arial" w:eastAsia="Arial" w:hAnsi="Arial"/>
          <w:sz w:val="18"/>
          <w:szCs w:val="18"/>
          <w:color w:val="auto"/>
        </w:rPr>
        <w:t>, the brand’s flagship product, has a global reach with sales in more than 50 countries. We believe it is the #1 selling hydrolyzed 100% WPI powder in the global convenient nutrition category. This product is well-known for its great taste and for delivering product attributes that athletes demand, including microfiltered hydrolized WPI with great absorption that is easily digestible and easily soluble.</w:t>
      </w:r>
    </w:p>
    <w:p>
      <w:pPr>
        <w:spacing w:after="0" w:line="188"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 xml:space="preserve">In addition to powders,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offers a suite of products to meet the needs of athletes—including pre-workout and post-workout recovery products. In late fiscal 2018,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launched a line of value-priced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products formulated for the mainstream athlete to be sold in FDM channels.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is an industry-leading brand, winning a number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Bodybuilding.com Awards, including:</w:t>
      </w:r>
    </w:p>
    <w:p>
      <w:pPr>
        <w:spacing w:after="0" w:line="116" w:lineRule="exact"/>
        <w:rPr>
          <w:sz w:val="20"/>
          <w:szCs w:val="20"/>
          <w:color w:val="auto"/>
        </w:rPr>
      </w:pPr>
    </w:p>
    <w:p>
      <w:pPr>
        <w:ind w:left="1180" w:hanging="544"/>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Best Isolate Protein of the Year (</w:t>
      </w:r>
      <w:r>
        <w:rPr>
          <w:rFonts w:ascii="Arial" w:cs="Arial" w:eastAsia="Arial" w:hAnsi="Arial"/>
          <w:sz w:val="18"/>
          <w:szCs w:val="18"/>
          <w:i w:val="1"/>
          <w:iCs w:val="1"/>
          <w:color w:val="auto"/>
        </w:rPr>
        <w:t>ISO100</w:t>
      </w:r>
      <w:r>
        <w:rPr>
          <w:rFonts w:ascii="Arial" w:cs="Arial" w:eastAsia="Arial" w:hAnsi="Arial"/>
          <w:sz w:val="18"/>
          <w:szCs w:val="18"/>
          <w:color w:val="auto"/>
        </w:rPr>
        <w:t>) (2013—2017)</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Best Women’s Product of the Year (</w:t>
      </w:r>
      <w:r>
        <w:rPr>
          <w:rFonts w:ascii="Arial" w:cs="Arial" w:eastAsia="Arial" w:hAnsi="Arial"/>
          <w:sz w:val="18"/>
          <w:szCs w:val="18"/>
          <w:i w:val="1"/>
          <w:iCs w:val="1"/>
          <w:color w:val="auto"/>
        </w:rPr>
        <w:t>ISO100</w:t>
      </w:r>
      <w:r>
        <w:rPr>
          <w:rFonts w:ascii="Arial" w:cs="Arial" w:eastAsia="Arial" w:hAnsi="Arial"/>
          <w:sz w:val="18"/>
          <w:szCs w:val="18"/>
          <w:color w:val="auto"/>
        </w:rPr>
        <w:t>) (2017)</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Best Gainer of the Year (Super Mass Gainer) (2017)</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Breakout Product of the Year (</w:t>
      </w:r>
      <w:r>
        <w:rPr>
          <w:rFonts w:ascii="Arial" w:cs="Arial" w:eastAsia="Arial" w:hAnsi="Arial"/>
          <w:sz w:val="18"/>
          <w:szCs w:val="18"/>
          <w:i w:val="1"/>
          <w:iCs w:val="1"/>
          <w:color w:val="auto"/>
        </w:rPr>
        <w:t>PREW.O.</w:t>
      </w:r>
      <w:r>
        <w:rPr>
          <w:rFonts w:ascii="Arial" w:cs="Arial" w:eastAsia="Arial" w:hAnsi="Arial"/>
          <w:sz w:val="18"/>
          <w:szCs w:val="18"/>
          <w:color w:val="auto"/>
        </w:rPr>
        <w:t>) (2018)</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PowerBar</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 xml:space="preserve">PowerBar </w:t>
      </w:r>
      <w:r>
        <w:rPr>
          <w:rFonts w:ascii="Arial" w:cs="Arial" w:eastAsia="Arial" w:hAnsi="Arial"/>
          <w:sz w:val="18"/>
          <w:szCs w:val="18"/>
          <w:color w:val="auto"/>
        </w:rPr>
        <w:t>is one of the most well-known brands in the convenient nutrition category based on a survey powered by Qualtrics performed in June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2019. The brand delivers nutrient dense products to fuel consumers with ambitious, athletic lifestyles.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is positioned as a high-quality brand internationally and has a notable presence in Western Europe. The brand also has recently expanded into eCommerce as well as the FDM channels to drive incremental scale. According to German Nielsen MarketTrack data for the grocery and drug channels,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is #2 in the sports nutrition category as measured by unit sales and is the #2 energy bar brand in revenue for July 2018 to June 2019, organically growing at a CAGR of 9% from July 2017 to June 2019.</w:t>
      </w:r>
    </w:p>
    <w:p>
      <w:pPr>
        <w:spacing w:after="0" w:line="193"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 xml:space="preserve">Due to its high brand awareness and leading sports brand equity, we believe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has opportunities for further expansion through broadening FDM distribution within Western Europe, gaining incremental distribution in the Middle East, Africa and the Asia Pacific region and leveraging the brand for future innovation.</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i w:val="1"/>
          <w:iCs w:val="1"/>
          <w:color w:val="auto"/>
        </w:rPr>
        <w:t>PowerBar</w:t>
      </w:r>
      <w:r>
        <w:rPr>
          <w:rFonts w:ascii="Arial" w:cs="Arial" w:eastAsia="Arial" w:hAnsi="Arial"/>
          <w:sz w:val="18"/>
          <w:szCs w:val="18"/>
          <w:color w:val="auto"/>
        </w:rPr>
        <w:t>’s product portfolio ranges from great-tasting protein and energy snacks for fitness enthusiasts to highly functional and technical energy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products for competitive athletes’ in-game usage. In North America,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product portfolio has been optimized to focus on its most successful product offering, the </w:t>
      </w:r>
      <w:r>
        <w:rPr>
          <w:rFonts w:ascii="Arial" w:cs="Arial" w:eastAsia="Arial" w:hAnsi="Arial"/>
          <w:sz w:val="18"/>
          <w:szCs w:val="18"/>
          <w:i w:val="1"/>
          <w:iCs w:val="1"/>
          <w:color w:val="auto"/>
        </w:rPr>
        <w:t>PowerBar Protein Plus</w:t>
      </w:r>
      <w:r>
        <w:rPr>
          <w:rFonts w:ascii="Arial" w:cs="Arial" w:eastAsia="Arial" w:hAnsi="Arial"/>
          <w:sz w:val="18"/>
          <w:szCs w:val="18"/>
          <w:color w:val="auto"/>
        </w:rPr>
        <w:t xml:space="preserve"> 20 gram protein bar that is gluten-free and a good source of fiber. The </w:t>
      </w:r>
      <w:r>
        <w:rPr>
          <w:rFonts w:ascii="Arial" w:cs="Arial" w:eastAsia="Arial" w:hAnsi="Arial"/>
          <w:sz w:val="18"/>
          <w:szCs w:val="18"/>
          <w:i w:val="1"/>
          <w:iCs w:val="1"/>
          <w:color w:val="auto"/>
        </w:rPr>
        <w:t>PowerBar Protein Plus</w:t>
      </w:r>
      <w:r>
        <w:rPr>
          <w:rFonts w:ascii="Arial" w:cs="Arial" w:eastAsia="Arial" w:hAnsi="Arial"/>
          <w:sz w:val="18"/>
          <w:szCs w:val="18"/>
          <w:color w:val="auto"/>
        </w:rPr>
        <w:t xml:space="preserve"> line can be found in food, drug and convenience stores.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PowerBar</w:t>
      </w:r>
      <w:r>
        <w:rPr>
          <w:rFonts w:ascii="Arial" w:cs="Arial" w:eastAsia="Arial" w:hAnsi="Arial"/>
          <w:sz w:val="18"/>
          <w:szCs w:val="18"/>
          <w:color w:val="auto"/>
        </w:rPr>
        <w:t>’s portfolio includes a suite of product offerings including:</w:t>
      </w:r>
    </w:p>
    <w:p>
      <w:pPr>
        <w:spacing w:after="0" w:line="127" w:lineRule="exact"/>
        <w:rPr>
          <w:sz w:val="20"/>
          <w:szCs w:val="20"/>
          <w:color w:val="auto"/>
        </w:rPr>
      </w:pPr>
    </w:p>
    <w:p>
      <w:pPr>
        <w:ind w:left="1180" w:right="260" w:hanging="544"/>
        <w:spacing w:after="0" w:line="282" w:lineRule="auto"/>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Performance Energy</w:t>
      </w:r>
      <w:r>
        <w:rPr>
          <w:rFonts w:ascii="Arial" w:cs="Arial" w:eastAsia="Arial" w:hAnsi="Arial"/>
          <w:sz w:val="18"/>
          <w:szCs w:val="18"/>
          <w:color w:val="auto"/>
        </w:rPr>
        <w:t>: Technical bars, gels, powders and supplements made with high quality ingredients that deliver functional energy</w:t>
      </w:r>
      <w:r>
        <w:rPr>
          <w:rFonts w:ascii="Arial" w:cs="Arial" w:eastAsia="Arial" w:hAnsi="Arial"/>
          <w:sz w:val="18"/>
          <w:szCs w:val="18"/>
          <w:b w:val="1"/>
          <w:bCs w:val="1"/>
          <w:color w:val="auto"/>
        </w:rPr>
        <w:t xml:space="preserve"> </w:t>
      </w:r>
      <w:r>
        <w:rPr>
          <w:rFonts w:ascii="Arial" w:cs="Arial" w:eastAsia="Arial" w:hAnsi="Arial"/>
          <w:sz w:val="18"/>
          <w:szCs w:val="18"/>
          <w:color w:val="auto"/>
        </w:rPr>
        <w:t>and are designed for specific usage occasions for committed athletes;</w:t>
      </w:r>
    </w:p>
    <w:p>
      <w:pPr>
        <w:spacing w:after="0" w:line="67" w:lineRule="exact"/>
        <w:rPr>
          <w:rFonts w:ascii="Arial" w:cs="Arial" w:eastAsia="Arial" w:hAnsi="Arial"/>
          <w:sz w:val="18"/>
          <w:szCs w:val="18"/>
          <w:color w:val="auto"/>
        </w:rPr>
      </w:pPr>
    </w:p>
    <w:p>
      <w:pPr>
        <w:ind w:left="1180" w:hanging="544"/>
        <w:spacing w:after="0"/>
        <w:tabs>
          <w:tab w:leader="none" w:pos="1180"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t>Muscle and Shape</w:t>
      </w:r>
      <w:r>
        <w:rPr>
          <w:rFonts w:ascii="Arial" w:cs="Arial" w:eastAsia="Arial" w:hAnsi="Arial"/>
          <w:sz w:val="17"/>
          <w:szCs w:val="17"/>
          <w:color w:val="auto"/>
        </w:rPr>
        <w:t>: High protein bars, powders and RTD protein shakes designed for muscle building and post-sports recovery; and</w:t>
      </w:r>
    </w:p>
    <w:p>
      <w:pPr>
        <w:spacing w:after="0" w:line="142" w:lineRule="exact"/>
        <w:rPr>
          <w:rFonts w:ascii="Arial" w:cs="Arial" w:eastAsia="Arial" w:hAnsi="Arial"/>
          <w:sz w:val="17"/>
          <w:szCs w:val="17"/>
          <w:color w:val="auto"/>
        </w:rPr>
      </w:pPr>
    </w:p>
    <w:p>
      <w:pPr>
        <w:ind w:left="1180" w:right="380" w:hanging="544"/>
        <w:spacing w:after="0" w:line="282" w:lineRule="auto"/>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Natural and Indulgence</w:t>
      </w:r>
      <w:r>
        <w:rPr>
          <w:rFonts w:ascii="Arial" w:cs="Arial" w:eastAsia="Arial" w:hAnsi="Arial"/>
          <w:sz w:val="18"/>
          <w:szCs w:val="18"/>
          <w:color w:val="auto"/>
        </w:rPr>
        <w:t>: Bars and drinks that offer more wholesome ingredients and provide balanced protein and energy to broaden</w:t>
      </w:r>
      <w:r>
        <w:rPr>
          <w:rFonts w:ascii="Arial" w:cs="Arial" w:eastAsia="Arial" w:hAnsi="Arial"/>
          <w:sz w:val="18"/>
          <w:szCs w:val="18"/>
          <w:b w:val="1"/>
          <w:bCs w:val="1"/>
          <w:color w:val="auto"/>
        </w:rPr>
        <w:t xml:space="preserve"> </w:t>
      </w:r>
      <w:r>
        <w:rPr>
          <w:rFonts w:ascii="Arial" w:cs="Arial" w:eastAsia="Arial" w:hAnsi="Arial"/>
          <w:sz w:val="18"/>
          <w:szCs w:val="18"/>
          <w:color w:val="auto"/>
        </w:rPr>
        <w:t>appeal to everyday active consumers.</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Other Brands</w:t>
      </w:r>
    </w:p>
    <w:p>
      <w:pPr>
        <w:spacing w:after="0" w:line="121"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 xml:space="preserve">In addition to our primary brands, our portfolio includes the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and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brands.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is a line of great-tasting joint health liquid supplements for baby boomers with active lifestyles.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is a line of multi-layered, indulgent protein bars targeted towards consumers seeking a nutritious, protein-enriched snack.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sell our products domestically and in more than fifty countries globally. We believe the strength of our on-trend product portfolio makes us the partner of choice for our customers, who benefit from our strong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312" w:lineRule="auto"/>
        <w:rPr>
          <w:sz w:val="20"/>
          <w:szCs w:val="20"/>
          <w:color w:val="auto"/>
        </w:rPr>
      </w:pPr>
      <w:r>
        <w:rPr>
          <w:rFonts w:ascii="Arial" w:cs="Arial" w:eastAsia="Arial" w:hAnsi="Arial"/>
          <w:sz w:val="16"/>
          <w:szCs w:val="16"/>
          <w:color w:val="auto"/>
        </w:rPr>
        <w:t>velocities, consumer insights and proven ability to grow their sales in the convenient nutrition category. In the U.S., which represented 85% of our net sales in fiscal 2018, we utilize a direct sales force in multiple channels, including club, FDM, convenience, specialty and eCommerce. We also sell through a broker network for customers in the convenience, grocery and mass channels, and through distributors for the specialty channel.</w:t>
      </w:r>
    </w:p>
    <w:p>
      <w:pPr>
        <w:spacing w:after="0" w:line="147"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In international markets, which represented 15% of our net sales in fiscal 2018, we sell our products through a combination of direct sales to retailers and to third party distributors. We utilize a direct sales force in key markets in the E.U. and the U.K. for multiple channels, including FDM, convenience, specialty and eCommerce. We also sell through distributors in the specialty channel.</w:t>
      </w:r>
    </w:p>
    <w:p>
      <w:pPr>
        <w:spacing w:after="0" w:line="18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Our largest customers, Costco and Walmart and its affiliates (which includes Sam’s Club), accounted for approximately 71% of our net sales in fiscal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multi-faceted, consumer-driven marketing strategy has been instrumental in driving sales and building our brands. We maintain a dedicated marketing strategy for each of our primary brands, tailoring initiatives to each brand’s target audience.</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b w:val="1"/>
          <w:bCs w:val="1"/>
          <w:i w:val="1"/>
          <w:iCs w:val="1"/>
          <w:color w:val="auto"/>
        </w:rPr>
        <w:t>Premier Protein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Premier Protein’</w:t>
      </w:r>
      <w:r>
        <w:rPr>
          <w:rFonts w:ascii="Arial" w:cs="Arial" w:eastAsia="Arial" w:hAnsi="Arial"/>
          <w:sz w:val="18"/>
          <w:szCs w:val="18"/>
          <w:color w:val="auto"/>
        </w:rPr>
        <w:t>s marketing strategy is aimed at accelerating the brand’s positioning as a lifestyle brand for mainstream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We target everyday consumers who are looking for a simple, approachable way to lead a healthier lifestyle. Our marketing initiatives for the brand are focused on increasing awareness to drive product trial and adoption as well as expanding household penetration among this group of consumers.</w:t>
      </w:r>
    </w:p>
    <w:p>
      <w:pPr>
        <w:spacing w:after="0" w:line="187"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leads the RTD category in consumer loyalty and repeat purchases (among RTD brands with sales greater than $2.0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has enthusiastic fans who grow the brand through word-of-mouth. As part of our marketing strategy, we leverage our fans’ enthusiasm for the brand to spread the word about the exceptional taste and benefits of our products. The strategic theme of our marketing for the last several years has been “Showcasing Our Fan Love,” which is centered around letting fans tell others about our leading nutritional profile and superior taste. We believe this marketing approach increases relevance, credibility and memorability among our core consumers, positioning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as a leading brand that we believe delivers a differentiated offering of nutritional products.</w:t>
      </w:r>
    </w:p>
    <w:p>
      <w:pPr>
        <w:spacing w:after="0" w:line="17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We are a digital-first brand and maintain a dedicated internal digital marketing team. In addition to paid digital media, we leverage the following outlets, which we own and operate:</w:t>
      </w:r>
    </w:p>
    <w:p>
      <w:pPr>
        <w:spacing w:after="0" w:line="72" w:lineRule="exact"/>
        <w:rPr>
          <w:sz w:val="20"/>
          <w:szCs w:val="20"/>
          <w:color w:val="auto"/>
        </w:rPr>
      </w:pPr>
    </w:p>
    <w:p>
      <w:pPr>
        <w:jc w:val="both"/>
        <w:ind w:left="1180" w:right="180" w:hanging="544"/>
        <w:spacing w:after="0" w:line="266"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Website: </w:t>
      </w:r>
      <w:r>
        <w:rPr>
          <w:rFonts w:ascii="Arial" w:cs="Arial" w:eastAsia="Arial" w:hAnsi="Arial"/>
          <w:sz w:val="18"/>
          <w:szCs w:val="18"/>
          <w:color w:val="auto"/>
        </w:rPr>
        <w:t>Our brand websites serve as the primary source of information on our products, a source of recipes and health inspiration and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launch point to purchase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products. From July 2018 to August 2019, www.premierprotein.com had more than 1.4 million visitors according to Google Analytics.</w:t>
      </w:r>
    </w:p>
    <w:p>
      <w:pPr>
        <w:spacing w:after="0" w:line="81" w:lineRule="exact"/>
        <w:rPr>
          <w:rFonts w:ascii="Arial" w:cs="Arial" w:eastAsia="Arial" w:hAnsi="Arial"/>
          <w:sz w:val="18"/>
          <w:szCs w:val="18"/>
          <w:color w:val="auto"/>
        </w:rPr>
      </w:pPr>
    </w:p>
    <w:p>
      <w:pPr>
        <w:ind w:left="1180" w:right="120" w:hanging="544"/>
        <w:spacing w:after="0" w:line="282"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Instagram: </w:t>
      </w:r>
      <w:r>
        <w:rPr>
          <w:rFonts w:ascii="Arial" w:cs="Arial" w:eastAsia="Arial" w:hAnsi="Arial"/>
          <w:sz w:val="18"/>
          <w:szCs w:val="18"/>
          <w:color w:val="auto"/>
        </w:rPr>
        <w:t>Instagram is our fastest growing social media channel. We leverage Instagram to connect with our fans and influencers, share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news and offer giveaways.</w:t>
      </w:r>
    </w:p>
    <w:p>
      <w:pPr>
        <w:spacing w:after="0" w:line="67" w:lineRule="exact"/>
        <w:rPr>
          <w:rFonts w:ascii="Arial" w:cs="Arial" w:eastAsia="Arial" w:hAnsi="Arial"/>
          <w:sz w:val="18"/>
          <w:szCs w:val="18"/>
          <w:color w:val="auto"/>
        </w:rPr>
      </w:pPr>
    </w:p>
    <w:p>
      <w:pPr>
        <w:jc w:val="both"/>
        <w:ind w:left="1180" w:hanging="544"/>
        <w:spacing w:after="0" w:line="314" w:lineRule="auto"/>
        <w:tabs>
          <w:tab w:leader="none" w:pos="1180"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Facebook: </w:t>
      </w:r>
      <w:r>
        <w:rPr>
          <w:rFonts w:ascii="Arial" w:cs="Arial" w:eastAsia="Arial" w:hAnsi="Arial"/>
          <w:sz w:val="16"/>
          <w:szCs w:val="16"/>
          <w:color w:val="auto"/>
        </w:rPr>
        <w:t>Facebook is our highest reach social platform with approximately one million likes as of July 2019, which is the second highest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category. We also maintain a product rating of 4.6/5 stars, according to over 2,800 reviewers. Facebook is our primary social channel for sharing product news, posting motivational stories to accompany our fans on their fitness journey and answering consumer questions.</w:t>
      </w:r>
    </w:p>
    <w:p>
      <w:pPr>
        <w:spacing w:after="0" w:line="47" w:lineRule="exact"/>
        <w:rPr>
          <w:rFonts w:ascii="Arial" w:cs="Arial" w:eastAsia="Arial" w:hAnsi="Arial"/>
          <w:sz w:val="16"/>
          <w:szCs w:val="16"/>
          <w:color w:val="auto"/>
        </w:rPr>
      </w:pPr>
    </w:p>
    <w:p>
      <w:pPr>
        <w:ind w:left="1180" w:hanging="544"/>
        <w:spacing w:after="0"/>
        <w:tabs>
          <w:tab w:leader="none" w:pos="118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Email: </w:t>
      </w:r>
      <w:r>
        <w:rPr>
          <w:rFonts w:ascii="Arial" w:cs="Arial" w:eastAsia="Arial" w:hAnsi="Arial"/>
          <w:sz w:val="17"/>
          <w:szCs w:val="17"/>
          <w:color w:val="auto"/>
        </w:rPr>
        <w:t>We maintain an active email program, which we leverage to deliver information on new product launches and promotions.</w:t>
      </w:r>
    </w:p>
    <w:p>
      <w:pPr>
        <w:spacing w:after="0" w:line="1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180" w:right="440" w:hanging="544"/>
        <w:spacing w:after="0" w:line="282"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Pinterest: </w:t>
      </w:r>
      <w:r>
        <w:rPr>
          <w:rFonts w:ascii="Arial" w:cs="Arial" w:eastAsia="Arial" w:hAnsi="Arial"/>
          <w:sz w:val="18"/>
          <w:szCs w:val="18"/>
          <w:color w:val="auto"/>
        </w:rPr>
        <w:t>Pinterest is a key social platform that continues to grow in followers. Our fans crave variety and often look for quick, easy</w:t>
      </w:r>
      <w:r>
        <w:rPr>
          <w:rFonts w:ascii="Arial" w:cs="Arial" w:eastAsia="Arial" w:hAnsi="Arial"/>
          <w:sz w:val="18"/>
          <w:szCs w:val="18"/>
          <w:b w:val="1"/>
          <w:bCs w:val="1"/>
          <w:color w:val="auto"/>
        </w:rPr>
        <w:t xml:space="preserve"> </w:t>
      </w:r>
      <w:r>
        <w:rPr>
          <w:rFonts w:ascii="Arial" w:cs="Arial" w:eastAsia="Arial" w:hAnsi="Arial"/>
          <w:sz w:val="18"/>
          <w:szCs w:val="18"/>
          <w:color w:val="auto"/>
        </w:rPr>
        <w:t>recipes on our Pinterest board to help incorporate protein into their diets.</w:t>
      </w:r>
    </w:p>
    <w:p>
      <w:pPr>
        <w:spacing w:after="0" w:line="67" w:lineRule="exact"/>
        <w:rPr>
          <w:rFonts w:ascii="Arial" w:cs="Arial" w:eastAsia="Arial" w:hAnsi="Arial"/>
          <w:sz w:val="18"/>
          <w:szCs w:val="18"/>
          <w:color w:val="auto"/>
        </w:rPr>
      </w:pPr>
    </w:p>
    <w:p>
      <w:pPr>
        <w:ind w:left="1180" w:hanging="544"/>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Twitter: </w:t>
      </w:r>
      <w:r>
        <w:rPr>
          <w:rFonts w:ascii="Arial" w:cs="Arial" w:eastAsia="Arial" w:hAnsi="Arial"/>
          <w:sz w:val="18"/>
          <w:szCs w:val="18"/>
          <w:color w:val="auto"/>
        </w:rPr>
        <w:t>We leverage Twitter as a customer service tool to answer questions or share product updates with our consumers.</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 xml:space="preserve">Stemming from our consumer-first approach to marketing, we have designed an influencer marketing program called “Premier Shakers” that leverages micro-influencers, content creators and top-tier influencers to generate further awareness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Our influencers are highly vetted and selected based on brand fit, content quality, organic product usage and engagement rates. Consistent with the brand’s strategy, we work with real life, approachable fans with whom our consumers can relate. For fiscal 2019, we estimate that our influencers’ social media channels delivered over 4.5 million impressions for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w:t>
      </w:r>
    </w:p>
    <w:p>
      <w:pPr>
        <w:spacing w:after="0" w:line="18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b w:val="1"/>
          <w:bCs w:val="1"/>
          <w:i w:val="1"/>
          <w:iCs w:val="1"/>
          <w:color w:val="auto"/>
        </w:rPr>
        <w:t>Dymatize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’s marketing strategy is focused on retailer-specific programs, online and specialty print media and social media. Social media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is a high-touch medium that resonates with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core fitness-focused consumers.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maintains a presence across all major social media platforms, which drives an estimated 43 million impressions per month. As of July 2019, </w:t>
      </w:r>
      <w:r>
        <w:rPr>
          <w:rFonts w:ascii="Arial" w:cs="Arial" w:eastAsia="Arial" w:hAnsi="Arial"/>
          <w:sz w:val="18"/>
          <w:szCs w:val="18"/>
          <w:i w:val="1"/>
          <w:iCs w:val="1"/>
          <w:color w:val="auto"/>
        </w:rPr>
        <w:t>Dymatize</w:t>
      </w:r>
      <w:r>
        <w:rPr>
          <w:rFonts w:ascii="Arial" w:cs="Arial" w:eastAsia="Arial" w:hAnsi="Arial"/>
          <w:sz w:val="18"/>
          <w:szCs w:val="18"/>
          <w:color w:val="auto"/>
        </w:rPr>
        <w:t>’s top two social media platforms, Facebook and Instagram, had over one million followers combined and experienced greater than 30% growth in their number of followers relative to the previous year. The brand also utilizes a social media influencer model, “Team Dymatize,” engaging with approximately forty athletes. This team promotes product usage via personal social media channels to drive awareness for the brand among its target demographic. We leverage the following outlets, which we own and operate:</w:t>
      </w:r>
    </w:p>
    <w:p>
      <w:pPr>
        <w:spacing w:after="0" w:line="91" w:lineRule="exact"/>
        <w:rPr>
          <w:sz w:val="20"/>
          <w:szCs w:val="20"/>
          <w:color w:val="auto"/>
        </w:rPr>
      </w:pPr>
    </w:p>
    <w:p>
      <w:pPr>
        <w:ind w:left="1180" w:right="780" w:hanging="544"/>
        <w:spacing w:after="0" w:line="313" w:lineRule="auto"/>
        <w:tabs>
          <w:tab w:leader="none" w:pos="118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 xml:space="preserve">Website: </w:t>
      </w:r>
      <w:r>
        <w:rPr>
          <w:rFonts w:ascii="Arial" w:cs="Arial" w:eastAsia="Arial" w:hAnsi="Arial"/>
          <w:sz w:val="17"/>
          <w:szCs w:val="17"/>
          <w:color w:val="auto"/>
        </w:rPr>
        <w:t>Our brand websites serve as a place for consumers to learn about our brand, become inspired by our “Team Dymatize”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ambassadors, discover new recipes and get connected with retailers to purchase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products.</w:t>
      </w:r>
    </w:p>
    <w:p>
      <w:pPr>
        <w:spacing w:after="0" w:line="43" w:lineRule="exact"/>
        <w:rPr>
          <w:rFonts w:ascii="Arial" w:cs="Arial" w:eastAsia="Arial" w:hAnsi="Arial"/>
          <w:sz w:val="17"/>
          <w:szCs w:val="17"/>
          <w:color w:val="auto"/>
        </w:rPr>
      </w:pPr>
    </w:p>
    <w:p>
      <w:pPr>
        <w:ind w:left="1180" w:right="180" w:hanging="544"/>
        <w:spacing w:after="0" w:line="266"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Instagram: </w:t>
      </w:r>
      <w:r>
        <w:rPr>
          <w:rFonts w:ascii="Arial" w:cs="Arial" w:eastAsia="Arial" w:hAnsi="Arial"/>
          <w:sz w:val="18"/>
          <w:szCs w:val="18"/>
          <w:color w:val="auto"/>
        </w:rPr>
        <w:t>Our primary social media platform is Instagram where we use a combination of product features, athletes, education, retailer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promotions and recipes to attract followers. We also host giveaways to promote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brand. As of July 2019, we had more than 200,000 Instagram followers, growing 35% over the prior year.</w:t>
      </w:r>
    </w:p>
    <w:p>
      <w:pPr>
        <w:spacing w:after="0" w:line="81" w:lineRule="exact"/>
        <w:rPr>
          <w:rFonts w:ascii="Arial" w:cs="Arial" w:eastAsia="Arial" w:hAnsi="Arial"/>
          <w:sz w:val="18"/>
          <w:szCs w:val="18"/>
          <w:color w:val="auto"/>
        </w:rPr>
      </w:pPr>
    </w:p>
    <w:p>
      <w:pPr>
        <w:ind w:left="1180" w:right="160" w:hanging="544"/>
        <w:spacing w:after="0" w:line="347" w:lineRule="auto"/>
        <w:tabs>
          <w:tab w:leader="none" w:pos="118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Facebook: </w:t>
      </w:r>
      <w:r>
        <w:rPr>
          <w:rFonts w:ascii="Arial" w:cs="Arial" w:eastAsia="Arial" w:hAnsi="Arial"/>
          <w:sz w:val="16"/>
          <w:szCs w:val="16"/>
          <w:color w:val="auto"/>
        </w:rPr>
        <w:t>We primarily use Facebook to relay content and share retailer promotions. The international platform also allows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b w:val="1"/>
          <w:bCs w:val="1"/>
          <w:color w:val="auto"/>
        </w:rPr>
        <w:t xml:space="preserve"> </w:t>
      </w:r>
      <w:r>
        <w:rPr>
          <w:rFonts w:ascii="Arial" w:cs="Arial" w:eastAsia="Arial" w:hAnsi="Arial"/>
          <w:sz w:val="16"/>
          <w:szCs w:val="16"/>
          <w:color w:val="auto"/>
        </w:rPr>
        <w:t>to</w:t>
      </w:r>
      <w:r>
        <w:rPr>
          <w:rFonts w:ascii="Arial" w:cs="Arial" w:eastAsia="Arial" w:hAnsi="Arial"/>
          <w:sz w:val="16"/>
          <w:szCs w:val="16"/>
          <w:b w:val="1"/>
          <w:bCs w:val="1"/>
          <w:color w:val="auto"/>
        </w:rPr>
        <w:t xml:space="preserve"> </w:t>
      </w:r>
      <w:r>
        <w:rPr>
          <w:rFonts w:ascii="Arial" w:cs="Arial" w:eastAsia="Arial" w:hAnsi="Arial"/>
          <w:sz w:val="16"/>
          <w:szCs w:val="16"/>
          <w:color w:val="auto"/>
        </w:rPr>
        <w:t>reach the brand’s global consumers. As of July 2019, we had more than 900,000 Facebook followers, growing 33% over the prior year.</w:t>
      </w:r>
    </w:p>
    <w:p>
      <w:pPr>
        <w:spacing w:after="0" w:line="21" w:lineRule="exact"/>
        <w:rPr>
          <w:rFonts w:ascii="Arial" w:cs="Arial" w:eastAsia="Arial" w:hAnsi="Arial"/>
          <w:sz w:val="16"/>
          <w:szCs w:val="16"/>
          <w:color w:val="auto"/>
        </w:rPr>
      </w:pPr>
    </w:p>
    <w:p>
      <w:pPr>
        <w:ind w:left="1180" w:hanging="544"/>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Twitter: </w:t>
      </w:r>
      <w:r>
        <w:rPr>
          <w:rFonts w:ascii="Arial" w:cs="Arial" w:eastAsia="Arial" w:hAnsi="Arial"/>
          <w:sz w:val="18"/>
          <w:szCs w:val="18"/>
          <w:color w:val="auto"/>
        </w:rPr>
        <w:t>Our Twitter account attracts consumers looking to follow and learn more about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b w:val="1"/>
          <w:bCs w:val="1"/>
          <w:color w:val="auto"/>
        </w:rPr>
        <w:t xml:space="preserve"> </w:t>
      </w:r>
      <w:r>
        <w:rPr>
          <w:rFonts w:ascii="Arial" w:cs="Arial" w:eastAsia="Arial" w:hAnsi="Arial"/>
          <w:sz w:val="18"/>
          <w:szCs w:val="18"/>
          <w:color w:val="auto"/>
        </w:rPr>
        <w:t>brand.</w:t>
      </w:r>
    </w:p>
    <w:p>
      <w:pPr>
        <w:spacing w:after="0" w:line="229"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b w:val="1"/>
          <w:bCs w:val="1"/>
          <w:i w:val="1"/>
          <w:iCs w:val="1"/>
          <w:color w:val="auto"/>
        </w:rPr>
        <w:t>PowerBar</w:t>
      </w:r>
      <w:r>
        <w:rPr>
          <w:rFonts w:ascii="Arial" w:cs="Arial" w:eastAsia="Arial" w:hAnsi="Arial"/>
          <w:sz w:val="16"/>
          <w:szCs w:val="16"/>
          <w:color w:val="auto"/>
        </w:rPr>
        <w:t>. Similar to</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PowerBar</w:t>
      </w:r>
      <w:r>
        <w:rPr>
          <w:rFonts w:ascii="Arial" w:cs="Arial" w:eastAsia="Arial" w:hAnsi="Arial"/>
          <w:sz w:val="16"/>
          <w:szCs w:val="16"/>
          <w:color w:val="auto"/>
        </w:rPr>
        <w:t>’s marketing efforts include retailer programs, online and specialty print media and social media as well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traditional sports marketing through events and activations to reach not only its core sports enthusiast consumers but also active lifestyle consumers. The brand’s social media content strategy is supported by seasonal cross-channel marketing and influencer campaigns, delivering approximately</w:t>
      </w:r>
    </w:p>
    <w:p>
      <w:pPr>
        <w:ind w:left="200" w:right="260"/>
        <w:spacing w:after="0" w:line="255" w:lineRule="auto"/>
        <w:rPr>
          <w:sz w:val="20"/>
          <w:szCs w:val="20"/>
          <w:color w:val="auto"/>
        </w:rPr>
      </w:pPr>
      <w:r>
        <w:rPr>
          <w:rFonts w:ascii="Arial" w:cs="Arial" w:eastAsia="Arial" w:hAnsi="Arial"/>
          <w:sz w:val="18"/>
          <w:szCs w:val="18"/>
          <w:color w:val="auto"/>
        </w:rPr>
        <w:t xml:space="preserve">25 million annual impressions. Sponsorships of sports events drive product trial with approximately 65,000 participants and a reach of approximately 1.6 million media impressions. </w:t>
      </w:r>
      <w:r>
        <w:rPr>
          <w:rFonts w:ascii="Arial" w:cs="Arial" w:eastAsia="Arial" w:hAnsi="Arial"/>
          <w:sz w:val="18"/>
          <w:szCs w:val="18"/>
          <w:i w:val="1"/>
          <w:iCs w:val="1"/>
          <w:color w:val="auto"/>
        </w:rPr>
        <w:t>PowerBar</w:t>
      </w:r>
      <w:r>
        <w:rPr>
          <w:rFonts w:ascii="Arial" w:cs="Arial" w:eastAsia="Arial" w:hAnsi="Arial"/>
          <w:sz w:val="18"/>
          <w:szCs w:val="18"/>
          <w:color w:val="auto"/>
        </w:rPr>
        <w:t>’s key initiatives are focused on the European market, showcasing its range of offerings. We leverage the following outlets, which we own and operate:</w:t>
      </w:r>
    </w:p>
    <w:p>
      <w:pPr>
        <w:spacing w:after="0" w:line="92" w:lineRule="exact"/>
        <w:rPr>
          <w:sz w:val="20"/>
          <w:szCs w:val="20"/>
          <w:color w:val="auto"/>
        </w:rPr>
      </w:pPr>
    </w:p>
    <w:p>
      <w:pPr>
        <w:ind w:left="1180" w:right="20" w:hanging="544"/>
        <w:spacing w:after="0" w:line="266"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Website: </w:t>
      </w:r>
      <w:r>
        <w:rPr>
          <w:rFonts w:ascii="Arial" w:cs="Arial" w:eastAsia="Arial" w:hAnsi="Arial"/>
          <w:sz w:val="18"/>
          <w:szCs w:val="18"/>
          <w:color w:val="auto"/>
        </w:rPr>
        <w:t>Our brand websites serve as the primary source of information for our products, as a source of athlete and nutrition inspiration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as a point of purchase for all existing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products. In 2018, www.powerbar.eu had more than 400,000 unique visitors according to Google Analytics.</w:t>
      </w:r>
    </w:p>
    <w:p>
      <w:pPr>
        <w:spacing w:after="0" w:line="81" w:lineRule="exact"/>
        <w:rPr>
          <w:rFonts w:ascii="Arial" w:cs="Arial" w:eastAsia="Arial" w:hAnsi="Arial"/>
          <w:sz w:val="18"/>
          <w:szCs w:val="18"/>
          <w:color w:val="auto"/>
        </w:rPr>
      </w:pPr>
    </w:p>
    <w:p>
      <w:pPr>
        <w:ind w:left="1180" w:right="60" w:hanging="544"/>
        <w:spacing w:after="0" w:line="266"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Instagram: </w:t>
      </w:r>
      <w:r>
        <w:rPr>
          <w:rFonts w:ascii="Arial" w:cs="Arial" w:eastAsia="Arial" w:hAnsi="Arial"/>
          <w:sz w:val="18"/>
          <w:szCs w:val="18"/>
          <w:color w:val="auto"/>
        </w:rPr>
        <w:t>For fiscal 2018, Instagram was our highest engagement and fastest-growing social media channel. We leverage Instagram to</w:t>
      </w:r>
      <w:r>
        <w:rPr>
          <w:rFonts w:ascii="Arial" w:cs="Arial" w:eastAsia="Arial" w:hAnsi="Arial"/>
          <w:sz w:val="18"/>
          <w:szCs w:val="18"/>
          <w:b w:val="1"/>
          <w:bCs w:val="1"/>
          <w:color w:val="auto"/>
        </w:rPr>
        <w:t xml:space="preserve"> </w:t>
      </w:r>
      <w:r>
        <w:rPr>
          <w:rFonts w:ascii="Arial" w:cs="Arial" w:eastAsia="Arial" w:hAnsi="Arial"/>
          <w:sz w:val="18"/>
          <w:szCs w:val="18"/>
          <w:color w:val="auto"/>
        </w:rPr>
        <w:t>connect with our fans, athletes and influencers. We also use Instagram to share product news and event stories as well as to conduct raffles and lotteries to drive community engagement.</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180" w:right="220" w:hanging="544"/>
        <w:spacing w:after="0" w:line="282" w:lineRule="auto"/>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Facebook: </w:t>
      </w:r>
      <w:r>
        <w:rPr>
          <w:rFonts w:ascii="Arial" w:cs="Arial" w:eastAsia="Arial" w:hAnsi="Arial"/>
          <w:sz w:val="18"/>
          <w:szCs w:val="18"/>
          <w:color w:val="auto"/>
        </w:rPr>
        <w:t>Facebook is our primary social media channel for sharing product news, posting motivational stories to engage with our fans</w:t>
      </w:r>
      <w:r>
        <w:rPr>
          <w:rFonts w:ascii="Arial" w:cs="Arial" w:eastAsia="Arial" w:hAnsi="Arial"/>
          <w:sz w:val="18"/>
          <w:szCs w:val="18"/>
          <w:b w:val="1"/>
          <w:bCs w:val="1"/>
          <w:color w:val="auto"/>
        </w:rPr>
        <w:t xml:space="preserve"> </w:t>
      </w:r>
      <w:r>
        <w:rPr>
          <w:rFonts w:ascii="Arial" w:cs="Arial" w:eastAsia="Arial" w:hAnsi="Arial"/>
          <w:sz w:val="18"/>
          <w:szCs w:val="18"/>
          <w:color w:val="auto"/>
        </w:rPr>
        <w:t>and answering consumer queries.</w:t>
      </w:r>
    </w:p>
    <w:p>
      <w:pPr>
        <w:spacing w:after="0" w:line="67" w:lineRule="exact"/>
        <w:rPr>
          <w:rFonts w:ascii="Arial" w:cs="Arial" w:eastAsia="Arial" w:hAnsi="Arial"/>
          <w:sz w:val="18"/>
          <w:szCs w:val="18"/>
          <w:color w:val="auto"/>
        </w:rPr>
      </w:pPr>
    </w:p>
    <w:p>
      <w:pPr>
        <w:ind w:left="1180" w:hanging="544"/>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In 2018,</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PowerBar</w:t>
      </w:r>
      <w:r>
        <w:rPr>
          <w:rFonts w:ascii="Arial" w:cs="Arial" w:eastAsia="Arial" w:hAnsi="Arial"/>
          <w:sz w:val="18"/>
          <w:szCs w:val="18"/>
          <w:b w:val="1"/>
          <w:bCs w:val="1"/>
          <w:color w:val="auto"/>
        </w:rPr>
        <w:t xml:space="preserve"> </w:t>
      </w:r>
      <w:r>
        <w:rPr>
          <w:rFonts w:ascii="Arial" w:cs="Arial" w:eastAsia="Arial" w:hAnsi="Arial"/>
          <w:sz w:val="18"/>
          <w:szCs w:val="18"/>
          <w:color w:val="auto"/>
        </w:rPr>
        <w:t>initiated a newsletter program to deliver information on new product launches and promotions.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described above, we use digital marketing, including our brand websites and social media sites, to communicate news about our brands directly to consumers who access our websites and social media sites and to address questions, comments or concerns about our products. Also, social media monitoring allows us to better understand industry and competitive trends. Although we do not view metrics such as brand website visits or social media followers as precise measures of the performance of products or promotions or the impact of news about our products, the metrics are useful to our management team in assessing how products, promotions or product news resonate with our fan base. These metrics contain certain limitations, as discussed under “Industry and Market Data.”</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Innovation</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Product innovation and renovation are critical components of our business. We have a proven track record of launching successful new products and innovating across our portfolio both domestically and abroad. We employ digital tools such as artificial intelligence and social listening to rapidly identify consumer insights and trending topics. These tools allow for the analysis of large volumes of data spread over various consumer digital platforms. We leverage the information obtained from these digital tools along with other extensive research to understand consumer trends and work in partnership with our customers to remain at the forefront of innovation.</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We continue to improve and expand our product offerings with new flavors, innovative ingredients and unique packaging options, while maintaining our commitment to delivering the nutrition and taste profiles demanded by our consumers. Currently,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are available in seven flavors, up from three flavors at the end of fiscal 2015. Sales from the additional flavors accounted for 38% of the increase in net sales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since the end of fiscal 2015 and 25% of net sales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in fiscal 2018. Our commitment to this objective is demonstrated by our dedicated innovation team of over thirty people that includes scientists, consumer insights professionals, innovation managers and project managers. We also recently invested in a new product development lab based in Emeryville, California. This facility will allow our in-house research team to enhance the development of new products internally and bring them to market quickly through our contract manufacturing network without compromising our high standards of taste, quality, safety and nutritional content. This new facility complements our other research and development centers in Dallas, Texas; Boise, Idaho and Voerde, Germany.</w:t>
      </w:r>
    </w:p>
    <w:p>
      <w:pPr>
        <w:spacing w:after="0" w:line="182"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supplement our internal expertise with internationally recognized design firms, leading product development companies, third party flavor houses and innovation consultants.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primarily engage contract manufacturers and third party logistics firms to manufacture and distribute our products. Our largely outsourced model enhances production flexibility and capacity and enables us to focus on our core in-house capabilities, including sales and marketing, brand management, customer service and research and development, allowing management to drive profitable growth. We own a manufacturing operation in Voerde, Germany that supplies nutrition bars and gels primarily for the E.U. and the U.K.</w:t>
      </w:r>
    </w:p>
    <w:p>
      <w:pPr>
        <w:spacing w:after="0" w:line="183" w:lineRule="exact"/>
        <w:rPr>
          <w:sz w:val="20"/>
          <w:szCs w:val="20"/>
          <w:color w:val="auto"/>
        </w:rPr>
      </w:pPr>
    </w:p>
    <w:p>
      <w:pPr>
        <w:ind w:left="200" w:right="360" w:firstLine="441"/>
        <w:spacing w:after="0" w:line="314" w:lineRule="auto"/>
        <w:rPr>
          <w:sz w:val="20"/>
          <w:szCs w:val="20"/>
          <w:color w:val="auto"/>
        </w:rPr>
      </w:pPr>
      <w:r>
        <w:rPr>
          <w:rFonts w:ascii="Arial" w:cs="Arial" w:eastAsia="Arial" w:hAnsi="Arial"/>
          <w:sz w:val="16"/>
          <w:szCs w:val="16"/>
          <w:b w:val="1"/>
          <w:bCs w:val="1"/>
          <w:i w:val="1"/>
          <w:iCs w:val="1"/>
          <w:color w:val="auto"/>
        </w:rPr>
        <w:t>Sourcing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Raw materials used in our business consist of ingredients and packaging materials purchased from local, regional and international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suppliers. Our principal ingredients include milk-based, whey-based and soy-based proteins and protein blends. Our primary packaging materials include aseptic foil and plastic lined cardboard cartons, aseptic plastic bottles, plastic jars and lids, flexible film, cartons and corrugate. We purchase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our ingredients in accordance with rigorous standards to assure food quality and safety. These ingredients are generally available in adequate quantities from multiple suppliers. We actively manage the cost and quality of key ingredients by visiting with major suppliers to negotiate contract commitments and assure quality processes and standards during production.</w:t>
      </w:r>
    </w:p>
    <w:p>
      <w:pPr>
        <w:spacing w:after="0" w:line="177" w:lineRule="exact"/>
        <w:rPr>
          <w:sz w:val="20"/>
          <w:szCs w:val="20"/>
          <w:color w:val="auto"/>
        </w:rPr>
      </w:pPr>
    </w:p>
    <w:p>
      <w:pPr>
        <w:ind w:left="200" w:firstLine="441"/>
        <w:spacing w:after="0" w:line="261" w:lineRule="auto"/>
        <w:rPr>
          <w:sz w:val="20"/>
          <w:szCs w:val="20"/>
          <w:color w:val="auto"/>
        </w:rPr>
      </w:pPr>
      <w:r>
        <w:rPr>
          <w:rFonts w:ascii="Arial" w:cs="Arial" w:eastAsia="Arial" w:hAnsi="Arial"/>
          <w:sz w:val="18"/>
          <w:szCs w:val="18"/>
          <w:b w:val="1"/>
          <w:bCs w:val="1"/>
          <w:i w:val="1"/>
          <w:iCs w:val="1"/>
          <w:color w:val="auto"/>
        </w:rPr>
        <w:t>Manufacturing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primarily engage third party contract manufacturers in North America and the E.U. to produce our finished goods. We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products from our contract manufacturers, which include all packaging and ingredients used, for an agreed-upon tolling charge for each item produced as well other minor costs. We also own a nutrition bar and gel-filling line plant in Voerde, Germany that supplies some of the products for our </w:t>
      </w:r>
      <w:r>
        <w:rPr>
          <w:rFonts w:ascii="Arial" w:cs="Arial" w:eastAsia="Arial" w:hAnsi="Arial"/>
          <w:sz w:val="18"/>
          <w:szCs w:val="18"/>
          <w:i w:val="1"/>
          <w:iCs w:val="1"/>
          <w:color w:val="auto"/>
        </w:rPr>
        <w:t>PowerBar</w:t>
      </w:r>
      <w:r>
        <w:rPr>
          <w:rFonts w:ascii="Arial" w:cs="Arial" w:eastAsia="Arial" w:hAnsi="Arial"/>
          <w:sz w:val="18"/>
          <w:szCs w:val="18"/>
          <w:color w:val="auto"/>
        </w:rPr>
        <w:t>,</w:t>
      </w:r>
      <w:r>
        <w:rPr>
          <w:rFonts w:ascii="Arial" w:cs="Arial" w:eastAsia="Arial" w:hAnsi="Arial"/>
          <w:sz w:val="18"/>
          <w:szCs w:val="18"/>
          <w:i w:val="1"/>
          <w:iCs w:val="1"/>
          <w:color w:val="auto"/>
        </w:rPr>
        <w:t xml:space="preserve"> Premier Protein </w:t>
      </w:r>
      <w:r>
        <w:rPr>
          <w:rFonts w:ascii="Arial" w:cs="Arial" w:eastAsia="Arial" w:hAnsi="Arial"/>
          <w:sz w:val="18"/>
          <w:szCs w:val="18"/>
          <w:color w:val="auto"/>
        </w:rPr>
        <w:t>and</w:t>
      </w:r>
      <w:r>
        <w:rPr>
          <w:rFonts w:ascii="Arial" w:cs="Arial" w:eastAsia="Arial" w:hAnsi="Arial"/>
          <w:sz w:val="18"/>
          <w:szCs w:val="18"/>
          <w:i w:val="1"/>
          <w:iCs w:val="1"/>
          <w:color w:val="auto"/>
        </w:rPr>
        <w:t xml:space="preserve"> Dymatize </w:t>
      </w:r>
      <w:r>
        <w:rPr>
          <w:rFonts w:ascii="Arial" w:cs="Arial" w:eastAsia="Arial" w:hAnsi="Arial"/>
          <w:sz w:val="18"/>
          <w:szCs w:val="18"/>
          <w:color w:val="auto"/>
        </w:rPr>
        <w:t>brands.</w:t>
      </w:r>
    </w:p>
    <w:p>
      <w:pPr>
        <w:spacing w:after="0" w:line="184"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 xml:space="preserve">Our largest contract manufacturer, Stremick’s Heritage Foods, LLC (“Stremick’s”), from three separate and geographically diverse manufacturing locations, provided approximately 84%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 supply for the last twelve months ended June 30, 2019. Stremick’s and its affiliates have been the primary contract manufacturer for Premier Nutrition since 2010, and Stremick’s and Premier Nutrition currently operate under a manufacturing agreement dated July 1, 2017, as subsequently amended. Stremick’s manufactures and packages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Under the terms of the manufacturing agreement, Premier Nutrition is required to purchase a minimum annual order volume of RTD protein shakes and has the right (but not the obligation) to order quantities in excess of a monthly minimum amount (which is the minimum annual order volume divided by 12), provided Stremick’s has the capacity and the ability to produce such additional quantities. We have consistently exceeded our monthly minimum order amount under the manufacturing agreement. In addition, under the terms of the manufacturing agreement, Stremick’s has committed to produce an annual minimum volume of RTD protein shakes. The manufacturing agreement also contains detailed provisions regarding the product specifications and quality standards for the products to be manufactured and packaged by Stremick’s, the tolling charges for each item produced (and certain other costs) to be paid by Premier Nutrition (and related payment terms), shipping and storage obligations, the rights of a party in the event the other party does not comply with its obligations under the manufacturing agreement and other customary contractual terms and conditions. The manufacturing agreement expires on December 31, 2022. This description is qualified by reference in its entirety to the full text of the manufacturing agreement, which we have filed as an exhibit to the registration statement of which this prospectus is a part.</w:t>
      </w:r>
    </w:p>
    <w:p>
      <w:pPr>
        <w:spacing w:after="0" w:line="172"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We regularly monitor the capacity and performance of our contract manufacturing partners and qualify new suppliers as needed. In order to secure supply of most of our RTD protein shakes, our relationships with these third parties are subject to minimum volume commitments, whereby these third party contract manufacturers have committed to produce, and we have committed to purchase, a minimum quantity of product. Given the growth profile of our primary products, we continuously plan for incremental capacity and review additional strategic alternatives to support our business.</w:t>
      </w:r>
    </w:p>
    <w:p>
      <w:pPr>
        <w:spacing w:after="0" w:line="154"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RTD protein shake production is complex and requires significant technical expertise. We regularly evaluate our contract manufacturing arrangements to ensure the cost-effective manufacturing of our products. We select our manufacturing partners based on expertise, quality, cost and location. Our quality assurance team frequently monitors manufacturing partners to ensure our partners meet our rigorous processing and quality standards, detailed in our Quality Expectations Manual, including requirements for third party certification of Good Manufacturing Practices. Our owned production plant in Voerde, Germany is additionally certified to one of the international Food Safety Standards (ISO/FSSC 22.000, IFS or BRC), and OHSAS 18001 (Health and Safety).</w:t>
      </w:r>
    </w:p>
    <w:p>
      <w:pPr>
        <w:spacing w:after="0" w:line="193"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All testing results are reviewed by internal personnel prior to releasing products from third party manufacturing facilities. Critical data also is tracked with the plants to assure that adequate controls are in place and product is consistently produced to specifications. All domestic sites maintain Global Food Safety Initiative certifications or equivalents thereof, and the food safety plans for each site are reviewed annually. Ingredients and packaging used by the brands go through a robust review and approval process. Consumer complaints are also carefully monitored and analyzed to provide feedback to the plants on performance.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40" w:firstLine="441"/>
        <w:spacing w:after="0" w:line="289" w:lineRule="auto"/>
        <w:rPr>
          <w:sz w:val="20"/>
          <w:szCs w:val="20"/>
          <w:color w:val="auto"/>
        </w:rPr>
      </w:pPr>
      <w:r>
        <w:rPr>
          <w:rFonts w:ascii="Arial" w:cs="Arial" w:eastAsia="Arial" w:hAnsi="Arial"/>
          <w:sz w:val="17"/>
          <w:szCs w:val="17"/>
          <w:b w:val="1"/>
          <w:bCs w:val="1"/>
          <w:i w:val="1"/>
          <w:iCs w:val="1"/>
          <w:color w:val="auto"/>
        </w:rPr>
        <w:t>Distribution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North America, our products typically are shipped directly from our contract manufacturing partners to a network of third party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warehouses. Products are distributed from third party warehouses to customer distribution centers or retail stores or are exported to international customers. Occasionally, we ship products directly from our contract manufacturers to our customers’ distribution centers.</w:t>
      </w:r>
    </w:p>
    <w:p>
      <w:pPr>
        <w:spacing w:after="0" w:line="162"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We maintain two third party warehouse locations in Germany, both of which receive products from our production facility located in Voerde, Germany or directly from our contract manufacturers. Our branded products are distributed from the main third party warehouses to customer distribution centers or retail stores or are exported to international customers.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compete with other brands in the convenient nutrition category and with many nutritional food and beverage players. We have numerous competitors of varying sizes, including manufacturers of other branded food and beverage products, as well as manufacturers of private label products. Competition in our industry is based on product quality, taste, functional benefits, convenience, brand loyalty and positioning, product variety, product packaging, shelf space, price, promotional efforts and ingredients. We expect the industry to remain competitive in the future and believe that we are well-positioned to compete effectively with respect to each of these factors.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We have experienced in the past, and expect to continue to experience, seasonal fluctuations in our sales and EBIT margins because of consumer spending patterns and timing of promotional activity. Historically, our first quarter of the fiscal year is seasonally low for net sales for all brands driven by a slowdown for our products during the holiday season and for colder weather which impacts outdoor activities. However, sales typically increase throughout the remainder of the fiscal year as a result of promotional activity at key retailers as well as organic growth of the business.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Post will provide us space for our principal executive offices in St. Louis, Missouri pursuant to the master services agreement. Our other administrative offices, as well as the warehousing, distribution and research and development facilities of our principal operations, are described below. While our products are primarily manufactured by third party manufacturers, we also own one manufacturing facility. For additional information regarding our third party manufacturing network, see “Supply Chain.”</w:t>
      </w:r>
    </w:p>
    <w:p>
      <w:pPr>
        <w:spacing w:after="0" w:line="18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lease research and development facilities and administrative offices in Emeryville, California and Dallas, Texas. We lease an additional research and development facility in Boise, Idaho. We also lease administrative offices in Munich, Germany; Worb, Switzerland and Manchester, England. We lease warehouse space in Tagelswangen, Switzerland, a distribution center with warehouse space in Kleve, Germany and, through a third party logistics firm, warehouse space in Farmers Branch, Texas. We also manufacture protein and energy bars and gels and conduct research and development through an owned facility in Voerde, Germany.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Working Capital</w:t>
      </w:r>
    </w:p>
    <w:p>
      <w:pPr>
        <w:spacing w:after="0" w:line="12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A description of our working capital practices is included in “Management’s Discussion and Analysis of Financial Condition and Results of Operations—Liquidity and Capital Resources.”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During fiscal 2018, our aggregate capital expenditures were $5.0 million. We have modest capital expenditures due to the asset-light nature of our business model.</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60"/>
          </w:cols>
          <w:pgMar w:left="240" w:top="459"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maintain general liability and product liability, property, worker’s compensation, business interruption, director and officer and other insurance in amounts and on terms that we believe are customary for companies similarly situated. In addition, we maintain excess insurance where we reasonably believe it is cost effective.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Trademarks and Intellectual Property</w:t>
      </w:r>
    </w:p>
    <w:p>
      <w:pPr>
        <w:spacing w:after="0" w:line="121" w:lineRule="exact"/>
        <w:rPr>
          <w:sz w:val="20"/>
          <w:szCs w:val="20"/>
          <w:color w:val="auto"/>
        </w:rPr>
      </w:pPr>
    </w:p>
    <w:p>
      <w:pPr>
        <w:ind w:left="200" w:right="400" w:firstLine="441"/>
        <w:spacing w:after="0" w:line="255" w:lineRule="auto"/>
        <w:rPr>
          <w:sz w:val="20"/>
          <w:szCs w:val="20"/>
          <w:color w:val="auto"/>
        </w:rPr>
      </w:pPr>
      <w:r>
        <w:rPr>
          <w:rFonts w:ascii="Arial" w:cs="Arial" w:eastAsia="Arial" w:hAnsi="Arial"/>
          <w:sz w:val="18"/>
          <w:szCs w:val="18"/>
          <w:color w:val="auto"/>
        </w:rPr>
        <w:t xml:space="preserve">We own a number of trademarks that are critical to the success of our business. Our key trademarks include </w:t>
      </w:r>
      <w:r>
        <w:rPr>
          <w:rFonts w:ascii="Arial" w:cs="Arial" w:eastAsia="Arial" w:hAnsi="Arial"/>
          <w:sz w:val="18"/>
          <w:szCs w:val="18"/>
          <w:i w:val="1"/>
          <w:iCs w:val="1"/>
          <w:color w:val="auto"/>
        </w:rPr>
        <w:t>Premier Protein</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PowerBar</w:t>
      </w:r>
      <w:r>
        <w:rPr>
          <w:rFonts w:ascii="Arial" w:cs="Arial" w:eastAsia="Arial" w:hAnsi="Arial"/>
          <w:sz w:val="15"/>
          <w:szCs w:val="15"/>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ISO.100</w:t>
      </w:r>
      <w:r>
        <w:rPr>
          <w:rFonts w:ascii="Arial" w:cs="Arial" w:eastAsia="Arial" w:hAnsi="Arial"/>
          <w:sz w:val="15"/>
          <w:szCs w:val="15"/>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Joint Juice</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Supreme Protein</w:t>
      </w:r>
      <w:r>
        <w:rPr>
          <w:rFonts w:ascii="Arial" w:cs="Arial" w:eastAsia="Arial" w:hAnsi="Arial"/>
          <w:sz w:val="15"/>
          <w:szCs w:val="15"/>
          <w:color w:val="auto"/>
        </w:rPr>
        <w:t>®</w:t>
      </w:r>
      <w:r>
        <w:rPr>
          <w:rFonts w:ascii="Arial" w:cs="Arial" w:eastAsia="Arial" w:hAnsi="Arial"/>
          <w:sz w:val="18"/>
          <w:szCs w:val="18"/>
          <w:color w:val="auto"/>
        </w:rPr>
        <w:t>. Our owned trademarks are, in most cases, protected through registration in the U.S. or</w:t>
      </w:r>
      <w:r>
        <w:rPr>
          <w:rFonts w:ascii="Arial" w:cs="Arial" w:eastAsia="Arial" w:hAnsi="Arial"/>
          <w:sz w:val="18"/>
          <w:szCs w:val="18"/>
          <w:i w:val="1"/>
          <w:iCs w:val="1"/>
          <w:color w:val="auto"/>
        </w:rPr>
        <w:t xml:space="preserve"> </w:t>
      </w:r>
      <w:r>
        <w:rPr>
          <w:rFonts w:ascii="Arial" w:cs="Arial" w:eastAsia="Arial" w:hAnsi="Arial"/>
          <w:sz w:val="18"/>
          <w:szCs w:val="18"/>
          <w:color w:val="auto"/>
        </w:rPr>
        <w:t>Germany, as well as in many other countries where the related brands or products are sold. We also own, or have applications pending, for several patents in the U.S. and other countries. While our patent portfolio as a whole is material to our business, no one patent or group of related patents is material to our business. In addition, we have copyrights, proprietary trade secrets, technology, know-how processes and other intellectual property rights that are not registered.</w:t>
      </w:r>
    </w:p>
    <w:p>
      <w:pPr>
        <w:spacing w:after="0" w:line="193" w:lineRule="exact"/>
        <w:rPr>
          <w:sz w:val="20"/>
          <w:szCs w:val="20"/>
          <w:color w:val="auto"/>
        </w:rPr>
      </w:pPr>
    </w:p>
    <w:p>
      <w:pPr>
        <w:ind w:left="200" w:right="700" w:firstLine="441"/>
        <w:spacing w:after="0" w:line="342" w:lineRule="auto"/>
        <w:rPr>
          <w:sz w:val="20"/>
          <w:szCs w:val="20"/>
          <w:color w:val="auto"/>
        </w:rPr>
      </w:pPr>
      <w:r>
        <w:rPr>
          <w:rFonts w:ascii="Arial" w:cs="Arial" w:eastAsia="Arial" w:hAnsi="Arial"/>
          <w:sz w:val="16"/>
          <w:szCs w:val="16"/>
          <w:color w:val="auto"/>
        </w:rPr>
        <w:t>We rely on a combination of trademark law, copyright law, trade secrets, non-disclosure and confidentiality agreements and provisions in agreements and other measures to establish and protect our proprietary rights to our products, packaging, processes and intellectual property.</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Governmental Regulation, Safety and Environmental Matters</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Along with our contract manufacturers, distributors and ingredient and packaging suppliers, we are subject to regulation by federal, state and local governmental entities and agencies in the U.S., as well as similar regulations in Canada, Mexico, Europe and other international locations, including food safety laws, labor and employment laws, laws governing advertising, privacy laws, consumer protection regulations, worker health and safety regulations, environmental laws and regulations and other laws and regulations.</w:t>
      </w:r>
    </w:p>
    <w:p>
      <w:pPr>
        <w:spacing w:after="0" w:line="187"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Our products are regulated in the U.S. either as food or dietary supplements, which internationally may be regulated as pharmaceuticals or other health food categories. As a producer and distributor of goods for human consumption, we must comply with stringent production, storage, recordkeeping, distribution, labeling and marketing standards established by the FDA, the USDA, the Federal Trade Commission and individual states within the U.S. We also must comply with standards established by similar regulatory agencies in Canada, Mexico, the E.U. and elsewhere. In addition, some of our products are produced and marketed under contract as part of special certification programs such as organic, kosher or non-GMO, and must comply with the strict standards of federal, state and third party certifying organizations. Products that do not meet regulatory or third party standards may be considered adulterated or misbranded and subject to withdrawal or recall. Additionally, following the recent adoption of the Food Safety Modernization Act, the FDA is implementing additional regulations focused on the prevention of food contamination, more frequent inspection of high-risk facilities, increased record-keeping and improved traceability of food.</w:t>
      </w:r>
    </w:p>
    <w:p>
      <w:pPr>
        <w:spacing w:after="0" w:line="182"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Our manufacturing facility in Germany is subject to certain safety regulations, including the German Occupational Safety and Health Regulation. These regulations require us to comply with certain manufacturing safety standards to protect our employees from accidents. Additionally, some of the food commodities on which our business relies are subject to governmental agricultural programs (e.g., subsidies and import/export regulations), which have substantial effects on the prices and supplies of these commodities. In addition, we are subject to various federal, state and foreign laws and regulations regarding data privacy, including the E.U.’s General Data Protection Regulation and Privacy Shield, which apply to certain aspects of our business and deal with the collection and use of personal information obtained from data subjects of the E.U. Our business also is subject to various federal, state and local laws and regulations with respect to environmental matters, including air quality, wastewater and storm water management, waste handling and disposal and other regulations intended to protect public health and the environment. In the U.S., the laws and regulations include the Clean Air Act, the</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12" w:lineRule="auto"/>
        <w:rPr>
          <w:sz w:val="20"/>
          <w:szCs w:val="20"/>
          <w:color w:val="auto"/>
        </w:rPr>
      </w:pPr>
      <w:r>
        <w:rPr>
          <w:rFonts w:ascii="Arial" w:cs="Arial" w:eastAsia="Arial" w:hAnsi="Arial"/>
          <w:sz w:val="16"/>
          <w:szCs w:val="16"/>
          <w:color w:val="auto"/>
        </w:rPr>
        <w:t>Clean Water Act, the Resource Conservation and Recovery Act and the California Safe Drinking Water and Toxic Enforcement Act (“Proposition 65”), among others. Internationally, our operations, including our manufacturing facility in Germany, are subject to local and national regulations similar to those applicable to us in the U.S. We have made, and will continue to make, expenditures to ensure compliance with environmental regulations.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have approximately 380 employees as of September 1, 2019. Of these employees, approximately 200 are in the U.S., approximately 170 are in Germany and approximately 10 are in other countries.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Joint Juice Litigation</w:t>
      </w:r>
    </w:p>
    <w:p>
      <w:pPr>
        <w:spacing w:after="0" w:line="11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7"/>
          <w:szCs w:val="17"/>
          <w:i w:val="1"/>
          <w:iCs w:val="1"/>
          <w:color w:val="auto"/>
        </w:rPr>
        <w:t>Joint Juice</w:t>
      </w:r>
      <w:r>
        <w:rPr>
          <w:rFonts w:ascii="Arial" w:cs="Arial" w:eastAsia="Arial" w:hAnsi="Arial"/>
          <w:sz w:val="17"/>
          <w:szCs w:val="17"/>
          <w:color w:val="auto"/>
        </w:rPr>
        <w:t xml:space="preserve"> line of glucosamine dietary supplements were false and misleading. In April 2016, the district court certified a California-only class of consumers in this lawsuit (this lawsuit is hereinafter referred to as the “California Class Lawsuit”).</w:t>
      </w:r>
    </w:p>
    <w:p>
      <w:pPr>
        <w:spacing w:after="0" w:line="17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2016 and 2017, the lead plaintiff’s counsel in the California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Class Lawsuit, also seeking monetary damages and injunctive relief.</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April 2018, the district court dismissed the California Class Lawsuit with prejudice. This dismissal was appealed and is pending before the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Court of Appeals for the Ninth Circuit. The other ten complaints remain pending in the district court.</w:t>
      </w:r>
    </w:p>
    <w:p>
      <w:pPr>
        <w:spacing w:after="0" w:line="21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January 2019, the same lead counsel filed a further class action complaint in Alameda County California Superior Court, alleging claims similar to the above actions and seeking monetary damages and injunctive relief on behalf of a putative class of California consumers. In February 2019, Premier Nutrition removed this action to the U.S. District Court for the Northern District of California.</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 xml:space="preserve">The Company intends to vigorously defend these cases. The Company does not believe that the resolution of these cases will have a material adverse effect on its combined financial condition, results of operations or cash flows. For additional information on the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litigation, see Note 11 of “Notes to Combined Financial Statements” for the years ended September 30, 2018, 2017 and 2016 and Note 9 of “Notes to Condensed Combined Financial Statements” for the nine months ended June 30, 2019 and 2018.</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combined financial position, results of operations or cash flows of the Company. In addition, although it is difficult to estimate the potential financial impact of actions regarding expenditures for compliance with regulatory matters, in the opinion of management,</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20"/>
        <w:spacing w:after="0" w:line="277" w:lineRule="auto"/>
        <w:rPr>
          <w:sz w:val="20"/>
          <w:szCs w:val="20"/>
          <w:color w:val="auto"/>
        </w:rPr>
      </w:pPr>
      <w:r>
        <w:rPr>
          <w:rFonts w:ascii="Arial" w:cs="Arial" w:eastAsia="Arial" w:hAnsi="Arial"/>
          <w:sz w:val="18"/>
          <w:szCs w:val="18"/>
          <w:color w:val="auto"/>
        </w:rPr>
        <w:t>based upon the information currently available, the ultimate liability arising from such compliance matters is not expected to be material to the combined financial position, results of operations or cash flows of the Company.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a company with less than $1.07 billion in gross revenue during our last fiscal year, we qualify as an “emerging growth company” as defined in the JOBS Act. We will continue to be an emerging growth company until the earliest to occur of:</w:t>
      </w:r>
    </w:p>
    <w:p>
      <w:pPr>
        <w:spacing w:after="0" w:line="76" w:lineRule="exact"/>
        <w:rPr>
          <w:sz w:val="20"/>
          <w:szCs w:val="20"/>
          <w:color w:val="auto"/>
        </w:rPr>
      </w:pPr>
    </w:p>
    <w:p>
      <w:pPr>
        <w:ind w:left="1180" w:hanging="544"/>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gross revenue;</w:t>
      </w:r>
    </w:p>
    <w:p>
      <w:pPr>
        <w:spacing w:after="0" w:line="130" w:lineRule="exact"/>
        <w:rPr>
          <w:rFonts w:ascii="Arial" w:cs="Arial" w:eastAsia="Arial" w:hAnsi="Arial"/>
          <w:sz w:val="18"/>
          <w:szCs w:val="18"/>
          <w:color w:val="auto"/>
        </w:rPr>
      </w:pPr>
    </w:p>
    <w:p>
      <w:pPr>
        <w:ind w:left="1180" w:right="100" w:hanging="544"/>
        <w:spacing w:after="0" w:line="264"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last day of the fiscal year in which we are deemed to be a “large accelerated filer” as defined in Rule 12b-2 under the Exchange Act, which would occur if the market value of our common stock that is held by non-affiliates exceeds $700.0 million as of the prior March 31 and we have been publicly reporting for at least 12 months; or</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of non-convertible debt during the prior three-year period.</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For so long as we remain an emerging growth company, we are permitted and currently intend to rely on various provisions of the JOBS Act that contain exceptions from disclosure and other requirements that otherwise are applicable to companies that conduct initial public offerings and file periodic reports with the SEC. These JOBS Act provisions:</w:t>
      </w:r>
    </w:p>
    <w:p>
      <w:pPr>
        <w:spacing w:after="0" w:line="87" w:lineRule="exact"/>
        <w:rPr>
          <w:sz w:val="20"/>
          <w:szCs w:val="20"/>
          <w:color w:val="auto"/>
        </w:rPr>
      </w:pPr>
    </w:p>
    <w:p>
      <w:pPr>
        <w:ind w:left="1180" w:hanging="544"/>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permit us to include less than five years of selected financial data in this prospectus;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permit us to include reduced disclosure regarding our executive compensation in this prospectus and our SEC filings as a public company;</w:t>
      </w:r>
    </w:p>
    <w:p>
      <w:pPr>
        <w:spacing w:after="0" w:line="153" w:lineRule="exact"/>
        <w:rPr>
          <w:rFonts w:ascii="Arial" w:cs="Arial" w:eastAsia="Arial" w:hAnsi="Arial"/>
          <w:sz w:val="16"/>
          <w:szCs w:val="16"/>
          <w:color w:val="auto"/>
        </w:rPr>
      </w:pPr>
    </w:p>
    <w:p>
      <w:pPr>
        <w:ind w:left="1180" w:right="560" w:hanging="544"/>
        <w:spacing w:after="0" w:line="277"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an exemption from the independent public accountant attestation requirement in the assessment of our internal control over financial reporting under the Sarbanes-Oxley Act;</w:t>
      </w:r>
    </w:p>
    <w:p>
      <w:pPr>
        <w:spacing w:after="0" w:line="75" w:lineRule="exact"/>
        <w:rPr>
          <w:rFonts w:ascii="Arial" w:cs="Arial" w:eastAsia="Arial" w:hAnsi="Arial"/>
          <w:sz w:val="18"/>
          <w:szCs w:val="18"/>
          <w:color w:val="auto"/>
        </w:rPr>
      </w:pPr>
    </w:p>
    <w:p>
      <w:pPr>
        <w:ind w:left="1180" w:right="180" w:hanging="544"/>
        <w:spacing w:after="0" w:line="264"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an exemption from compliance with any new requirements adopted by the PCAOB, requiring mandatory audit firm rotation or a supplement to our auditor’s report in which the auditor would be required to provide additional information about the audit and our financial statements; and</w:t>
      </w:r>
    </w:p>
    <w:p>
      <w:pPr>
        <w:spacing w:after="0" w:line="86" w:lineRule="exact"/>
        <w:rPr>
          <w:rFonts w:ascii="Arial" w:cs="Arial" w:eastAsia="Arial" w:hAnsi="Arial"/>
          <w:sz w:val="18"/>
          <w:szCs w:val="18"/>
          <w:color w:val="auto"/>
        </w:rPr>
      </w:pPr>
    </w:p>
    <w:p>
      <w:pPr>
        <w:ind w:left="1180" w:right="360" w:hanging="544"/>
        <w:spacing w:after="0" w:line="277"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an exemption from the requirement to hold non-binding stockholder advisory votes on executive compensation and on golden parachute arrangements not previously approved.</w:t>
      </w:r>
    </w:p>
    <w:p>
      <w:pPr>
        <w:spacing w:after="0" w:line="170"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color w:val="auto"/>
        </w:rPr>
        <w:t>We have elected to take advantage of certain of the reduced disclosure obligations in this prospectus and the registration statement of which this prospectus is a part, and we may elect to take advantage of other reduced reporting requirements in future filings. As a result, the information that we provide to our stockholders may be different than they might receive from other public reporting companies in which they hold equity interests.</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JOBS Act also permits an emerging growth company such as us to take advantage of an extended transition period to comply with new or revised financial accounting standards applicable to public companies. This provision of the JOBS Act allows an emerging growth company to delay the adoption of certain accounting standards until those standards would otherwise apply to private companies. We have elected to not take advantage of the extended transition period, which means that the financial statements included in this prospectus, as well as financial statements we file in the future, will be subject to all new or revised financial accounting standards generally applicable to public companies. Our election not to take advantage of the extended transition period is irrevocable.</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The following sets forth, as of the date of this prospectus, information regarding individuals who are expected to serve as our executive officers and our directors at the time of this offering. Our current directors are certain executive officers of Post who, other than Robert V. Vitale, will not serve as directors of BellRing Brands, Inc. after completion of the formation transactions and this offering.</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460" w:type="dxa"/>
            <w:vAlign w:val="bottom"/>
            <w:gridSpan w:val="2"/>
          </w:tcPr>
          <w:p>
            <w:pPr>
              <w:ind w:left="1200"/>
              <w:spacing w:after="0"/>
              <w:rPr>
                <w:sz w:val="20"/>
                <w:szCs w:val="20"/>
                <w:color w:val="auto"/>
              </w:rPr>
            </w:pPr>
            <w:r>
              <w:rPr>
                <w:rFonts w:ascii="Arial" w:cs="Arial" w:eastAsia="Arial" w:hAnsi="Arial"/>
                <w:sz w:val="14"/>
                <w:szCs w:val="14"/>
                <w:b w:val="1"/>
                <w:bCs w:val="1"/>
                <w:color w:val="auto"/>
                <w:w w:val="90"/>
              </w:rPr>
              <w:t>Age</w:t>
            </w:r>
          </w:p>
        </w:tc>
        <w:tc>
          <w:tcPr>
            <w:tcW w:w="6720" w:type="dxa"/>
            <w:vAlign w:val="bottom"/>
            <w:gridSpan w:val="3"/>
          </w:tcPr>
          <w:p>
            <w:pPr>
              <w:ind w:left="5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5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V. Vitale</w:t>
            </w:r>
          </w:p>
        </w:tc>
        <w:tc>
          <w:tcPr>
            <w:tcW w:w="14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53</w:t>
            </w:r>
          </w:p>
        </w:tc>
        <w:tc>
          <w:tcPr>
            <w:tcW w:w="67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Executive Chairman</w:t>
            </w:r>
          </w:p>
        </w:tc>
        <w:tc>
          <w:tcPr>
            <w:tcW w:w="0" w:type="dxa"/>
            <w:vAlign w:val="bottom"/>
          </w:tcPr>
          <w:p>
            <w:pPr>
              <w:spacing w:after="0"/>
              <w:rPr>
                <w:sz w:val="1"/>
                <w:szCs w:val="1"/>
                <w:color w:val="auto"/>
              </w:rPr>
            </w:pPr>
          </w:p>
        </w:tc>
      </w:tr>
      <w:tr>
        <w:trPr>
          <w:trHeight w:val="284"/>
        </w:trPr>
        <w:tc>
          <w:tcPr>
            <w:tcW w:w="2860" w:type="dxa"/>
            <w:vAlign w:val="bottom"/>
            <w:gridSpan w:val="3"/>
          </w:tcPr>
          <w:p>
            <w:pPr>
              <w:spacing w:after="0"/>
              <w:rPr>
                <w:sz w:val="20"/>
                <w:szCs w:val="20"/>
                <w:color w:val="auto"/>
              </w:rPr>
            </w:pPr>
            <w:r>
              <w:rPr>
                <w:rFonts w:ascii="Arial" w:cs="Arial" w:eastAsia="Arial" w:hAnsi="Arial"/>
                <w:sz w:val="18"/>
                <w:szCs w:val="18"/>
                <w:color w:val="auto"/>
              </w:rPr>
              <w:t>Darcy Horn Davenport</w:t>
            </w:r>
          </w:p>
        </w:tc>
        <w:tc>
          <w:tcPr>
            <w:tcW w:w="1460" w:type="dxa"/>
            <w:vAlign w:val="bottom"/>
            <w:gridSpan w:val="2"/>
          </w:tcPr>
          <w:p>
            <w:pPr>
              <w:ind w:left="1200"/>
              <w:spacing w:after="0"/>
              <w:rPr>
                <w:sz w:val="20"/>
                <w:szCs w:val="20"/>
                <w:color w:val="auto"/>
              </w:rPr>
            </w:pPr>
            <w:r>
              <w:rPr>
                <w:rFonts w:ascii="Arial" w:cs="Arial" w:eastAsia="Arial" w:hAnsi="Arial"/>
                <w:sz w:val="18"/>
                <w:szCs w:val="18"/>
                <w:color w:val="auto"/>
              </w:rPr>
              <w:t>46</w:t>
            </w:r>
          </w:p>
        </w:tc>
        <w:tc>
          <w:tcPr>
            <w:tcW w:w="6720" w:type="dxa"/>
            <w:vAlign w:val="bottom"/>
            <w:gridSpan w:val="3"/>
          </w:tcPr>
          <w:p>
            <w:pPr>
              <w:ind w:left="540"/>
              <w:spacing w:after="0"/>
              <w:rPr>
                <w:sz w:val="20"/>
                <w:szCs w:val="20"/>
                <w:color w:val="auto"/>
              </w:rPr>
            </w:pPr>
            <w:r>
              <w:rPr>
                <w:rFonts w:ascii="Arial" w:cs="Arial" w:eastAsia="Arial" w:hAnsi="Arial"/>
                <w:sz w:val="18"/>
                <w:szCs w:val="18"/>
                <w:color w:val="auto"/>
              </w:rPr>
              <w:t>President and Chief Executive Officer, Director Nominee</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J. Cornille</w:t>
            </w:r>
          </w:p>
        </w:tc>
        <w:tc>
          <w:tcPr>
            <w:tcW w:w="14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47</w:t>
            </w:r>
          </w:p>
        </w:tc>
        <w:tc>
          <w:tcPr>
            <w:tcW w:w="67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Senior Vice President, Marketing of Premier Nutrition</w:t>
            </w:r>
          </w:p>
        </w:tc>
        <w:tc>
          <w:tcPr>
            <w:tcW w:w="0" w:type="dxa"/>
            <w:vAlign w:val="bottom"/>
          </w:tcPr>
          <w:p>
            <w:pPr>
              <w:spacing w:after="0"/>
              <w:rPr>
                <w:sz w:val="1"/>
                <w:szCs w:val="1"/>
                <w:color w:val="auto"/>
              </w:rPr>
            </w:pPr>
          </w:p>
        </w:tc>
      </w:tr>
      <w:tr>
        <w:trPr>
          <w:trHeight w:val="284"/>
        </w:trPr>
        <w:tc>
          <w:tcPr>
            <w:tcW w:w="2860" w:type="dxa"/>
            <w:vAlign w:val="bottom"/>
            <w:gridSpan w:val="3"/>
          </w:tcPr>
          <w:p>
            <w:pPr>
              <w:spacing w:after="0"/>
              <w:rPr>
                <w:sz w:val="20"/>
                <w:szCs w:val="20"/>
                <w:color w:val="auto"/>
              </w:rPr>
            </w:pPr>
            <w:r>
              <w:rPr>
                <w:rFonts w:ascii="Arial" w:cs="Arial" w:eastAsia="Arial" w:hAnsi="Arial"/>
                <w:sz w:val="18"/>
                <w:szCs w:val="18"/>
                <w:color w:val="auto"/>
              </w:rPr>
              <w:t>R. Lee Partin</w:t>
            </w:r>
          </w:p>
        </w:tc>
        <w:tc>
          <w:tcPr>
            <w:tcW w:w="1460" w:type="dxa"/>
            <w:vAlign w:val="bottom"/>
            <w:gridSpan w:val="2"/>
          </w:tcPr>
          <w:p>
            <w:pPr>
              <w:ind w:left="1200"/>
              <w:spacing w:after="0"/>
              <w:rPr>
                <w:sz w:val="20"/>
                <w:szCs w:val="20"/>
                <w:color w:val="auto"/>
              </w:rPr>
            </w:pPr>
            <w:r>
              <w:rPr>
                <w:rFonts w:ascii="Arial" w:cs="Arial" w:eastAsia="Arial" w:hAnsi="Arial"/>
                <w:sz w:val="18"/>
                <w:szCs w:val="18"/>
                <w:color w:val="auto"/>
              </w:rPr>
              <w:t>65</w:t>
            </w:r>
          </w:p>
        </w:tc>
        <w:tc>
          <w:tcPr>
            <w:tcW w:w="6720" w:type="dxa"/>
            <w:vAlign w:val="bottom"/>
            <w:gridSpan w:val="3"/>
          </w:tcPr>
          <w:p>
            <w:pPr>
              <w:ind w:left="540"/>
              <w:spacing w:after="0"/>
              <w:rPr>
                <w:sz w:val="20"/>
                <w:szCs w:val="20"/>
                <w:color w:val="auto"/>
              </w:rPr>
            </w:pPr>
            <w:r>
              <w:rPr>
                <w:rFonts w:ascii="Arial" w:cs="Arial" w:eastAsia="Arial" w:hAnsi="Arial"/>
                <w:sz w:val="18"/>
                <w:szCs w:val="18"/>
                <w:color w:val="auto"/>
              </w:rPr>
              <w:t>Senior Vice President, Sales of Premier Nutrition</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A. Rode</w:t>
            </w:r>
          </w:p>
        </w:tc>
        <w:tc>
          <w:tcPr>
            <w:tcW w:w="14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49</w:t>
            </w:r>
          </w:p>
        </w:tc>
        <w:tc>
          <w:tcPr>
            <w:tcW w:w="67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84"/>
        </w:trPr>
        <w:tc>
          <w:tcPr>
            <w:tcW w:w="2860" w:type="dxa"/>
            <w:vAlign w:val="bottom"/>
            <w:gridSpan w:val="3"/>
          </w:tcPr>
          <w:p>
            <w:pPr>
              <w:spacing w:after="0"/>
              <w:rPr>
                <w:sz w:val="20"/>
                <w:szCs w:val="20"/>
                <w:color w:val="auto"/>
              </w:rPr>
            </w:pPr>
            <w:r>
              <w:rPr>
                <w:rFonts w:ascii="Arial" w:cs="Arial" w:eastAsia="Arial" w:hAnsi="Arial"/>
                <w:sz w:val="18"/>
                <w:szCs w:val="18"/>
                <w:color w:val="auto"/>
              </w:rPr>
              <w:t>Craig L. Rosenthal</w:t>
            </w:r>
          </w:p>
        </w:tc>
        <w:tc>
          <w:tcPr>
            <w:tcW w:w="1460" w:type="dxa"/>
            <w:vAlign w:val="bottom"/>
            <w:gridSpan w:val="2"/>
          </w:tcPr>
          <w:p>
            <w:pPr>
              <w:ind w:left="1200"/>
              <w:spacing w:after="0"/>
              <w:rPr>
                <w:sz w:val="20"/>
                <w:szCs w:val="20"/>
                <w:color w:val="auto"/>
              </w:rPr>
            </w:pPr>
            <w:r>
              <w:rPr>
                <w:rFonts w:ascii="Arial" w:cs="Arial" w:eastAsia="Arial" w:hAnsi="Arial"/>
                <w:sz w:val="18"/>
                <w:szCs w:val="18"/>
                <w:color w:val="auto"/>
              </w:rPr>
              <w:t>48</w:t>
            </w:r>
          </w:p>
        </w:tc>
        <w:tc>
          <w:tcPr>
            <w:tcW w:w="6720" w:type="dxa"/>
            <w:vAlign w:val="bottom"/>
            <w:gridSpan w:val="3"/>
          </w:tcPr>
          <w:p>
            <w:pPr>
              <w:ind w:left="540"/>
              <w:spacing w:after="0"/>
              <w:rPr>
                <w:sz w:val="20"/>
                <w:szCs w:val="20"/>
                <w:color w:val="auto"/>
              </w:rPr>
            </w:pPr>
            <w:r>
              <w:rPr>
                <w:rFonts w:ascii="Arial" w:cs="Arial" w:eastAsia="Arial" w:hAnsi="Arial"/>
                <w:sz w:val="18"/>
                <w:szCs w:val="18"/>
                <w:color w:val="auto"/>
              </w:rPr>
              <w:t>Senior Vice President and General Counsel</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Robin Singh</w:t>
            </w:r>
          </w:p>
        </w:tc>
        <w:tc>
          <w:tcPr>
            <w:tcW w:w="14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50</w:t>
            </w:r>
          </w:p>
        </w:tc>
        <w:tc>
          <w:tcPr>
            <w:tcW w:w="67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Senior Vice President, Operations of Premier Nutrition</w:t>
            </w:r>
          </w:p>
        </w:tc>
        <w:tc>
          <w:tcPr>
            <w:tcW w:w="0" w:type="dxa"/>
            <w:vAlign w:val="bottom"/>
          </w:tcPr>
          <w:p>
            <w:pPr>
              <w:spacing w:after="0"/>
              <w:rPr>
                <w:sz w:val="1"/>
                <w:szCs w:val="1"/>
                <w:color w:val="auto"/>
              </w:rPr>
            </w:pPr>
          </w:p>
        </w:tc>
      </w:tr>
      <w:tr>
        <w:trPr>
          <w:trHeight w:val="284"/>
        </w:trPr>
        <w:tc>
          <w:tcPr>
            <w:tcW w:w="2860" w:type="dxa"/>
            <w:vAlign w:val="bottom"/>
            <w:gridSpan w:val="3"/>
          </w:tcPr>
          <w:p>
            <w:pPr>
              <w:spacing w:after="0"/>
              <w:rPr>
                <w:sz w:val="20"/>
                <w:szCs w:val="20"/>
                <w:color w:val="auto"/>
              </w:rPr>
            </w:pPr>
            <w:r>
              <w:rPr>
                <w:rFonts w:ascii="Arial" w:cs="Arial" w:eastAsia="Arial" w:hAnsi="Arial"/>
                <w:sz w:val="18"/>
                <w:szCs w:val="18"/>
                <w:color w:val="auto"/>
              </w:rPr>
              <w:t>Thomas P. Erickson</w:t>
            </w:r>
          </w:p>
        </w:tc>
        <w:tc>
          <w:tcPr>
            <w:tcW w:w="1460" w:type="dxa"/>
            <w:vAlign w:val="bottom"/>
            <w:gridSpan w:val="2"/>
          </w:tcPr>
          <w:p>
            <w:pPr>
              <w:ind w:left="1200"/>
              <w:spacing w:after="0"/>
              <w:rPr>
                <w:sz w:val="20"/>
                <w:szCs w:val="20"/>
                <w:color w:val="auto"/>
              </w:rPr>
            </w:pPr>
            <w:r>
              <w:rPr>
                <w:rFonts w:ascii="Arial" w:cs="Arial" w:eastAsia="Arial" w:hAnsi="Arial"/>
                <w:sz w:val="18"/>
                <w:szCs w:val="18"/>
                <w:color w:val="auto"/>
              </w:rPr>
              <w:t>64</w:t>
            </w:r>
          </w:p>
        </w:tc>
        <w:tc>
          <w:tcPr>
            <w:tcW w:w="6720" w:type="dxa"/>
            <w:vAlign w:val="bottom"/>
            <w:gridSpan w:val="3"/>
          </w:tcPr>
          <w:p>
            <w:pPr>
              <w:ind w:left="54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Kuperman</w:t>
            </w:r>
          </w:p>
        </w:tc>
        <w:tc>
          <w:tcPr>
            <w:tcW w:w="14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46</w:t>
            </w:r>
          </w:p>
        </w:tc>
        <w:tc>
          <w:tcPr>
            <w:tcW w:w="67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284"/>
        </w:trPr>
        <w:tc>
          <w:tcPr>
            <w:tcW w:w="2860" w:type="dxa"/>
            <w:vAlign w:val="bottom"/>
            <w:gridSpan w:val="3"/>
          </w:tcPr>
          <w:p>
            <w:pPr>
              <w:spacing w:after="0"/>
              <w:rPr>
                <w:sz w:val="20"/>
                <w:szCs w:val="20"/>
                <w:color w:val="auto"/>
              </w:rPr>
            </w:pPr>
            <w:r>
              <w:rPr>
                <w:rFonts w:ascii="Arial" w:cs="Arial" w:eastAsia="Arial" w:hAnsi="Arial"/>
                <w:sz w:val="18"/>
                <w:szCs w:val="18"/>
                <w:color w:val="auto"/>
              </w:rPr>
              <w:t>Elliot H. Stein, Jr.</w:t>
            </w:r>
          </w:p>
        </w:tc>
        <w:tc>
          <w:tcPr>
            <w:tcW w:w="1460" w:type="dxa"/>
            <w:vAlign w:val="bottom"/>
            <w:gridSpan w:val="2"/>
          </w:tcPr>
          <w:p>
            <w:pPr>
              <w:ind w:left="1200"/>
              <w:spacing w:after="0"/>
              <w:rPr>
                <w:sz w:val="20"/>
                <w:szCs w:val="20"/>
                <w:color w:val="auto"/>
              </w:rPr>
            </w:pPr>
            <w:r>
              <w:rPr>
                <w:rFonts w:ascii="Arial" w:cs="Arial" w:eastAsia="Arial" w:hAnsi="Arial"/>
                <w:sz w:val="18"/>
                <w:szCs w:val="18"/>
                <w:color w:val="auto"/>
              </w:rPr>
              <w:t>70</w:t>
            </w:r>
          </w:p>
        </w:tc>
        <w:tc>
          <w:tcPr>
            <w:tcW w:w="6720" w:type="dxa"/>
            <w:vAlign w:val="bottom"/>
            <w:gridSpan w:val="3"/>
          </w:tcPr>
          <w:p>
            <w:pPr>
              <w:ind w:left="54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i w:val="1"/>
          <w:iCs w:val="1"/>
          <w:color w:val="auto"/>
        </w:rPr>
        <w:t xml:space="preserve">Robert V. Vitale </w:t>
      </w:r>
      <w:r>
        <w:rPr>
          <w:rFonts w:ascii="Arial" w:cs="Arial" w:eastAsia="Arial" w:hAnsi="Arial"/>
          <w:sz w:val="16"/>
          <w:szCs w:val="16"/>
          <w:color w:val="auto"/>
        </w:rPr>
        <w:t>has served as our Executive Chairman since September 2019. Mr. Vitale has been the President and Chief Executive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Post, and a member of Post’s board of directors, since November 2014. Previously, Mr. Vitale served as Chief Financial Officer of Post from October 2011 until November 2014. He served as President and Chief Executive Officer of AHM Financial Group, LLC, a diversified provider of insurance brokerage and wealth management services, from 2006 until 2011 and previously was a partner of Westgate Equity Partners, LLC, a consumer-oriented private equity firm. Mr. Vitale also has served on the board of directors of Energizer Holdings, Inc., a publicly traded manufacturer of primary batteries, lighting products and automotive, fragrance and appearance products, since August 2017. Mr. Vitale was selected to serve on our Board of Directors based on his experience in significant leadership positions, his understanding of finance and financial reporting processes, his extensive experience in leadership roles in industries relevant to our business, including consumer packaged goods, retail and consumer product manufacturing, his experience in mergers and acquisitions, his experience as an executive with direct operational responsibilities and his experience as an executive and as a director of other publicly traded companies. Mr. Vitale earned his undergraduate degree from St. Louis University and his MBA from Washington University.</w:t>
      </w:r>
    </w:p>
    <w:p>
      <w:pPr>
        <w:spacing w:after="0" w:line="169"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i w:val="1"/>
          <w:iCs w:val="1"/>
          <w:color w:val="auto"/>
        </w:rPr>
        <w:t xml:space="preserve">Darcy Horn Davenport </w:t>
      </w:r>
      <w:r>
        <w:rPr>
          <w:rFonts w:ascii="Arial" w:cs="Arial" w:eastAsia="Arial" w:hAnsi="Arial"/>
          <w:sz w:val="17"/>
          <w:szCs w:val="17"/>
          <w:color w:val="auto"/>
        </w:rPr>
        <w:t>has served as our President and Chief Executive Officer since September 2019 and will serve as a member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upon completion of this offering. Ms. Davenport has served as President of Post’s Active Nutrition business since October 2017 and as President of Premier Nutrition, which will be a subsidiary of BellRing Brands, Inc. upon completion of the offering, since November 2016.</w:t>
      </w:r>
    </w:p>
    <w:p>
      <w:pPr>
        <w:ind w:left="200" w:right="20"/>
        <w:spacing w:after="0" w:line="270" w:lineRule="auto"/>
        <w:rPr>
          <w:sz w:val="20"/>
          <w:szCs w:val="20"/>
          <w:color w:val="auto"/>
        </w:rPr>
      </w:pPr>
      <w:r>
        <w:rPr>
          <w:rFonts w:ascii="Arial" w:cs="Arial" w:eastAsia="Arial" w:hAnsi="Arial"/>
          <w:sz w:val="17"/>
          <w:szCs w:val="17"/>
          <w:color w:val="auto"/>
        </w:rPr>
        <w:t>Ms. Davenport previously served as General Manager of Premier Nutrition from October 2014 to November 2016 and Vice President of Marketing from October 2011 to October 2014. Prior to joining Premier Nutrition, Ms. Davenport served as Director of Brand Marketing at Joint Juice, Inc., a liquid dietary supplement manufacturer, from May 2009 to October 2011, when it combined with Premier Nutrition. Ms. Davenport has served as a member of the board of directors of Blentech Corporation, a company focusing on developing custom-made, food processing solutions including equipment, integrated systems and software, since January 2010. Ms. Davenport was selected to serve on our Board of Directors based on her experience in significant leadership positions, her extensive experience in leadership roles in industries relevant to our business, her</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240" w:top="459" w:right="4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264" w:lineRule="auto"/>
        <w:rPr>
          <w:sz w:val="20"/>
          <w:szCs w:val="20"/>
          <w:color w:val="auto"/>
        </w:rPr>
      </w:pPr>
      <w:r>
        <w:rPr>
          <w:rFonts w:ascii="Arial" w:cs="Arial" w:eastAsia="Arial" w:hAnsi="Arial"/>
          <w:sz w:val="18"/>
          <w:szCs w:val="18"/>
          <w:color w:val="auto"/>
        </w:rPr>
        <w:t>understanding of finance and financial reporting processes, her experience in marketing and sales and her experience as an executive with direct operational responsibilities. Ms. Davenport earned her undergraduate degree from Princeton University and her MBA from New York University’s Leonard N. Stern School of Business.</w:t>
      </w:r>
    </w:p>
    <w:p>
      <w:pPr>
        <w:spacing w:after="0" w:line="18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i w:val="1"/>
          <w:iCs w:val="1"/>
          <w:color w:val="auto"/>
        </w:rPr>
        <w:t xml:space="preserve">Douglas J. Cornille </w:t>
      </w:r>
      <w:r>
        <w:rPr>
          <w:rFonts w:ascii="Arial" w:cs="Arial" w:eastAsia="Arial" w:hAnsi="Arial"/>
          <w:sz w:val="16"/>
          <w:szCs w:val="16"/>
          <w:color w:val="auto"/>
        </w:rPr>
        <w:t>has served as Senior Vice President, Marketing of Premier Nutrition, which will be a subsidiary of BellRing Brands, Inc. upon</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the offering, since July 2015. Prior to joining Premier Nutrition, Mr. Cornille was Brand Director at Clif Bar &amp; Company, a manufacturer of various food products, from August 2011 to July 2015 and was Senior Brand Manager at Dreyer’s Grand Ice Cream Holdings, Inc., a manufacturer of ice cream and frozen yogurt, from September 2003 to August 2011. Mr. Cornille earned his undergraduate degree at Rhodes College and attended Oxford University, St. John’s College. Mr. Cornille earned his MBA from Duke University—The Fuqua School of Business.</w:t>
      </w:r>
    </w:p>
    <w:p>
      <w:pPr>
        <w:spacing w:after="0" w:line="15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 xml:space="preserve">R. Lee Partin </w:t>
      </w:r>
      <w:r>
        <w:rPr>
          <w:rFonts w:ascii="Arial" w:cs="Arial" w:eastAsia="Arial" w:hAnsi="Arial"/>
          <w:sz w:val="18"/>
          <w:szCs w:val="18"/>
          <w:color w:val="auto"/>
        </w:rPr>
        <w:t>has served as Senior Vice President, Sales of Premier Nutrition, which will be a subsidiary of BellRing Brands, Inc.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of the offering, since March 2012. Prior to joining Premier Nutrition, Mr. Partin was Director of Sales of Joint Juice, Inc., a liquid dietary supplement manufacturer that combined with Premier Nutrition in October 2011, from September 2008 to March 2012. Mr. Partin previously was a general manager of Dreyer’s Grand Ice Cream Holdings, Inc., a manufacturer of ice cream and frozen yogurt, from November 1982 to September 2008. Mr. Partin is a graduate of Virginia Commonwealth University—School of Business.</w:t>
      </w:r>
    </w:p>
    <w:p>
      <w:pPr>
        <w:spacing w:after="0" w:line="18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i w:val="1"/>
          <w:iCs w:val="1"/>
          <w:color w:val="auto"/>
        </w:rPr>
        <w:t xml:space="preserve">Paul A. Rode </w:t>
      </w:r>
      <w:r>
        <w:rPr>
          <w:rFonts w:ascii="Arial" w:cs="Arial" w:eastAsia="Arial" w:hAnsi="Arial"/>
          <w:sz w:val="16"/>
          <w:szCs w:val="16"/>
          <w:color w:val="auto"/>
        </w:rPr>
        <w:t>has served as our Chief Financial Officer since September 2019. Mr. Rode has served as Chief Financial Officer of Post’s Active</w:t>
      </w:r>
      <w:r>
        <w:rPr>
          <w:rFonts w:ascii="Arial" w:cs="Arial" w:eastAsia="Arial" w:hAnsi="Arial"/>
          <w:sz w:val="16"/>
          <w:szCs w:val="16"/>
          <w:i w:val="1"/>
          <w:iCs w:val="1"/>
          <w:color w:val="auto"/>
        </w:rPr>
        <w:t xml:space="preserve"> </w:t>
      </w:r>
      <w:r>
        <w:rPr>
          <w:rFonts w:ascii="Arial" w:cs="Arial" w:eastAsia="Arial" w:hAnsi="Arial"/>
          <w:sz w:val="16"/>
          <w:szCs w:val="16"/>
          <w:color w:val="auto"/>
        </w:rPr>
        <w:t>Nutrition business since May 2015 and as Chief Financial Officer of Consumer Brands, a prior reporting segment of Post, from November 2014 to May 2015. Mr. Rode previously served as Vice President, Finance of Post from January 2014 to November 2014 and Vice President, Corporate Development of Post from October 2013 to January 2014. Prior to joining Post, Mr. Rode served as Vice President, Corporate Controller of Ralcorp Holdings, Inc., which was a publicly traded consumer products company and the former parent company of Post, from February 2010 to September 2013. Mr. Rode earned his undergraduate degree from the University of Kentucky and his MBA from Northwestern University’s Kellogg School of Management.</w:t>
      </w:r>
    </w:p>
    <w:p>
      <w:pPr>
        <w:spacing w:after="0" w:line="16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i w:val="1"/>
          <w:iCs w:val="1"/>
          <w:color w:val="auto"/>
        </w:rPr>
        <w:t xml:space="preserve">Craig L. Rosenthal </w:t>
      </w:r>
      <w:r>
        <w:rPr>
          <w:rFonts w:ascii="Arial" w:cs="Arial" w:eastAsia="Arial" w:hAnsi="Arial"/>
          <w:sz w:val="17"/>
          <w:szCs w:val="17"/>
          <w:color w:val="auto"/>
        </w:rPr>
        <w:t>has served as our Senior Vice President and General Counsel since August 2019. Prior to joining BellRing Brands, Inc., Mr.</w:t>
      </w:r>
      <w:r>
        <w:rPr>
          <w:rFonts w:ascii="Arial" w:cs="Arial" w:eastAsia="Arial" w:hAnsi="Arial"/>
          <w:sz w:val="17"/>
          <w:szCs w:val="17"/>
          <w:i w:val="1"/>
          <w:iCs w:val="1"/>
          <w:color w:val="auto"/>
        </w:rPr>
        <w:t xml:space="preserve"> </w:t>
      </w:r>
      <w:r>
        <w:rPr>
          <w:rFonts w:ascii="Arial" w:cs="Arial" w:eastAsia="Arial" w:hAnsi="Arial"/>
          <w:sz w:val="17"/>
          <w:szCs w:val="17"/>
          <w:color w:val="auto"/>
        </w:rPr>
        <w:t>Rosenthal was an attorney at Husch Blackwell from May 2019 to August 2019. From January 2018 to May 2019, while complying with the terms of a non-competition agreement entered into with a previous employer that expired in March 2019, Mr. Rosenthal provided legal counsel regarding business transactions to small businesses and individuals. Mr. Rosenthal served as Senior Vice President—Law and Assistant Secretary at Altice USA, Inc., a publicly traded broadband communications and video services provider, from June 2016 to December 2017. Prior to that, Mr. Rosenthal was Senior Vice President, General Counsel and Secretary at Cequel Communications, LLC dba Suddenlink Communications, a telecommunications and technology company, from 2005 to June 2016, when it was acquired by Altice USA, Inc., and Director, Senior Counsel and Assistant Secretary at Cequel Communications, LLC dba Suddenlink Communications from 2003 to 2005. Previously, Mr. Rosenthal was an attorney at Husch &amp; Eppenberger LLC (now Husch Blackwell LLP) from 1997 to 2003. Mr. Rosenthal earned his undergraduate degree from the University of Missouri and juris doctorate from Washington University School of Law.</w:t>
      </w:r>
    </w:p>
    <w:p>
      <w:pPr>
        <w:spacing w:after="0" w:line="17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 xml:space="preserve">Robin Singh </w:t>
      </w:r>
      <w:r>
        <w:rPr>
          <w:rFonts w:ascii="Arial" w:cs="Arial" w:eastAsia="Arial" w:hAnsi="Arial"/>
          <w:sz w:val="18"/>
          <w:szCs w:val="18"/>
          <w:color w:val="auto"/>
        </w:rPr>
        <w:t>has served as Senior Vice President, Operations of Premier Nutrition, which will be a subsidiary of BellRing Brands, Inc.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of the offering, since March 2019. Prior to joining Premier Nutrition, Mr. Singh held various senior leadership positions at Mondelēz International, Inc., a publicly traded multinational snack food company, from 1996 until March 2019, including Vice President of Operations from July 2018 to March 2019, Director of Supply Chain Strategy and Supply Chain Reinvention North America from February 2016 to July 2018, and Director of Supply Planning North America from January 2014 to January 2016. Mr. Singh attended The University of Western Ontario—Richard Ivey School of Business and the University of Guelph, Ontario.</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i w:val="1"/>
          <w:iCs w:val="1"/>
          <w:color w:val="auto"/>
        </w:rPr>
        <w:t xml:space="preserve">Thomas P. Erickson </w:t>
      </w:r>
      <w:r>
        <w:rPr>
          <w:rFonts w:ascii="Arial" w:cs="Arial" w:eastAsia="Arial" w:hAnsi="Arial"/>
          <w:sz w:val="16"/>
          <w:szCs w:val="16"/>
          <w:color w:val="auto"/>
        </w:rPr>
        <w:t>will serve as a member of our Board of Directors upon completion of this offering. Mr. Erickson has been the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member of Thomas P. Erickson, CPA, LLC, a tax consulting firm, since May 2016 and is a retired tax partner from KPMG, where he worked from 1980 to September 2015. From September 2015 to May 2016, Mr. Erickson provided tax consulting services to various companies and individuals.</w:t>
      </w:r>
    </w:p>
    <w:p>
      <w:pPr>
        <w:ind w:left="200" w:right="40"/>
        <w:spacing w:after="0" w:line="254" w:lineRule="auto"/>
        <w:rPr>
          <w:sz w:val="20"/>
          <w:szCs w:val="20"/>
          <w:color w:val="auto"/>
        </w:rPr>
      </w:pPr>
      <w:r>
        <w:rPr>
          <w:rFonts w:ascii="Arial" w:cs="Arial" w:eastAsia="Arial" w:hAnsi="Arial"/>
          <w:sz w:val="18"/>
          <w:szCs w:val="18"/>
          <w:color w:val="auto"/>
        </w:rPr>
        <w:t>Mr. Erickson has over 40 years of public accounting experience and is an instructor of advanced partnership planning, taxable and nontaxable corporate transactions and formations and S corporation planning for KPMG. Mr. Erickson was selected to serve on our Board of Directors based on his expertise in tax matters and his understanding of finance and financial reporting processes. Mr. Erickson is a Certified Public Accountant and received his bachelor’s degree from the University of Missouri-St. Louis.</w:t>
      </w:r>
    </w:p>
    <w:p>
      <w:pPr>
        <w:spacing w:after="0" w:line="190"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i w:val="1"/>
          <w:iCs w:val="1"/>
          <w:color w:val="auto"/>
        </w:rPr>
        <w:t xml:space="preserve">Jennifer Kuperman </w:t>
      </w:r>
      <w:r>
        <w:rPr>
          <w:rFonts w:ascii="Arial" w:cs="Arial" w:eastAsia="Arial" w:hAnsi="Arial"/>
          <w:sz w:val="17"/>
          <w:szCs w:val="17"/>
          <w:color w:val="auto"/>
        </w:rPr>
        <w:t>will serve as a member of our Board of Directors upon completion of this offering. Ms. Kuperman has been head of</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corporate affairs at Alibaba Group Holding Limited, a multinational conglomerate holding company specializing in eCommerce, retail, internet and technology, since April 2016 and served as vice president, international corporate affairs at Alibaba Group Holding Limited from August 2014 to April 2016. Prior to joining Alibaba Group Holding Limited, Ms. Kuperman was senior vice president of corporate brand and reputation at Visa Inc., a global payments technology company, from April 2013 to August 2014 and chief of staff, office of the chairman and chief executive officer at Visa Inc. from August 2010 to April 2013. Ms. Kuperman also served as head of global corporate communications and citizenship at Visa Inc. from August 2008 to July 2010 and head of employee and client communication at Visa Inc. from August 2004 to June 2008. Ms. Kuperman also serves on the board of directors of CoachArt, a nonprofit organization that provides arts and recreational opportunities to youth with chronic and life-threatening illnesses. Ms. Kuperman was selected to serve on our Board of Directors based on her experience in significant leadership positions and her international experience. Ms. Kuperman received her undergraduate degree from Middlebury College and her master’s of arts degree in organizational psychology from Columbia University in the City of New York.</w:t>
      </w:r>
    </w:p>
    <w:p>
      <w:pPr>
        <w:spacing w:after="0" w:line="18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i w:val="1"/>
          <w:iCs w:val="1"/>
          <w:color w:val="auto"/>
        </w:rPr>
        <w:t xml:space="preserve">Elliot H. Stein, Jr. </w:t>
      </w:r>
      <w:r>
        <w:rPr>
          <w:rFonts w:ascii="Arial" w:cs="Arial" w:eastAsia="Arial" w:hAnsi="Arial"/>
          <w:sz w:val="16"/>
          <w:szCs w:val="16"/>
          <w:color w:val="auto"/>
        </w:rPr>
        <w:t>will serve as a member of our Board of Directors upon completion of this offering. Mr. Stein has been chairman of Acertas,</w:t>
      </w:r>
      <w:r>
        <w:rPr>
          <w:rFonts w:ascii="Arial" w:cs="Arial" w:eastAsia="Arial" w:hAnsi="Arial"/>
          <w:sz w:val="16"/>
          <w:szCs w:val="16"/>
          <w:i w:val="1"/>
          <w:iCs w:val="1"/>
          <w:color w:val="auto"/>
        </w:rPr>
        <w:t xml:space="preserve"> </w:t>
      </w:r>
      <w:r>
        <w:rPr>
          <w:rFonts w:ascii="Arial" w:cs="Arial" w:eastAsia="Arial" w:hAnsi="Arial"/>
          <w:sz w:val="16"/>
          <w:szCs w:val="16"/>
          <w:color w:val="auto"/>
        </w:rPr>
        <w:t>LLC and Senturion Forecasting, LLC, two privately owned data analytics firms, since 2013. In addition, Mr. Stein has been a director of Apollo Investment Corporation, a publicly traded closed-end, externally managed, non-diversified management investment company, since 2004, and a director of two publicly traded diversified, closed-end management investment companies: Apollo Senior Floating Rate Fund, Inc., since 2011, and Apollo Tactical Income Fund Inc., since 2013. Mr. Stein is also a board member of Multi-Pack Solutions, LLC, a privately owned manufacturing company, Caryn Health Solutions LLC, a privately owned health services provider, and Cohere Communications, LLC, a privately owned managed IT services and cybersecurity provider. Previously, Mr. Stein was a managing director of Commonwealth Capital Partners, L.P. He also previously served as a director of various private companies in the media, manufacturing, retail and finance industries. Mr. Stein was chairman of Caribbean International News Corporation when it filed a voluntary petition under the U.S. Bankruptcy Code in September 2013 and of News Distributors of Puerto Rico LLC when it filed a voluntary petition under the U.S. Bankruptcy Code in February 2014. Mr. Stein was selected to serve on our Board of Directors based on his experience in significant leadership positions, his understanding of financial and financial reporting processes and his experience as a director of other publicly traded companies. Mr. Stein is a Trustee of Claremont Graduate University and The New School University. He is a member of the Council on Foreign Relations. Mr. Stein received his bachelor’s degree from Claremont McKenna College.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Controlled Company Exemptions</w:t>
      </w:r>
    </w:p>
    <w:p>
      <w:pPr>
        <w:spacing w:after="0" w:line="117"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We intend to apply to list our Class A common stock on the NYSE. Because Post will control a majority of the voting power of our outstanding voting stock upon completion of this offering, we will be a “controlled company” under the NYSE corporate governance standards. As a controlled company, we will be eligible to rely on exemptions from some of the NYSE corporate governance standards, including:</w:t>
      </w:r>
    </w:p>
    <w:p>
      <w:pPr>
        <w:spacing w:after="0" w:line="71" w:lineRule="exact"/>
        <w:rPr>
          <w:sz w:val="20"/>
          <w:szCs w:val="20"/>
          <w:color w:val="auto"/>
        </w:rPr>
      </w:pPr>
    </w:p>
    <w:p>
      <w:pPr>
        <w:ind w:left="5580" w:right="3200" w:hanging="4944"/>
        <w:spacing w:after="0" w:line="449" w:lineRule="auto"/>
        <w:tabs>
          <w:tab w:leader="none" w:pos="117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and 125</w:t>
      </w:r>
    </w:p>
    <w:p>
      <w:pPr>
        <w:sectPr>
          <w:pgSz w:w="11900" w:h="16838" w:orient="portrait"/>
          <w:cols w:equalWidth="0" w:num="1">
            <w:col w:w="11180"/>
          </w:cols>
          <w:pgMar w:left="24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580" w:hanging="544"/>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requirement that we have compensation and nominating/corporate governance committee(s) comprised entirely of independent directors, each with a written charter addressing the committee’s purpose and responsibilities.</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do not currently expect to rely upon these exemptions; however, we may choose to change our Board of Directors or committee composition in the future to manage our corporate governance in accordance with these exemptions.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Structure of the Board of Directors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Upon the completion of this offering, our amended and restated certificate of incorporation and our amended and restated bylaws will provide for a board of directors that is divided into three classes as equal in size as possible. The classes will each have three-year terms, and the term of one class will expire each year in rotation at the year’s annual meeting of stockholders. The initial terms of Class I, Class II and Class III directors will expire in 2020, 2021 and 2022, respectively.</w:t>
      </w:r>
    </w:p>
    <w:p>
      <w:pPr>
        <w:spacing w:after="0" w:line="18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Ms. Davenport and Mr. Stein will serve as Class I directors, Mr. Erickson and Ms. Kuperman will serve as Class II directors and Mr. Vitale will serve as a Class III director. At each annual meeting of stockholders after the initial division of the Board of Directors into three classes, the successors to directors whose terms will expire on such date will serve from the time of their election and qualification until the third annual meeting following their election and until their successors are duly elected and qualified.</w:t>
      </w:r>
    </w:p>
    <w:p>
      <w:pPr>
        <w:spacing w:after="0" w:line="18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Upon the completion of this offering, our Board of Directors will be set at five members. The size of the Board of Directors can be changed by a vote of its members. Vacancies on the Board of Directors may be filled by a majority of the remaining directors. A director elected to fill a vacancy, or a new directorship created by an increase in the size of the Board of Directors, would serve for the remainder of the full term of the class of directors in which the vacancy or newly created directorship occurred. Any additional directorships resulting from an increase in the number of directors will be distributed among the three classes so as to ensure that the classes are as nearly equal in number as the then-authorized number of directors permits.</w:t>
      </w:r>
    </w:p>
    <w:p>
      <w:pPr>
        <w:spacing w:after="0" w:line="15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Post has designated Ms. Davenport, Mr. Erickson and Mr. Vitale as its nominees under the investor rights agreement that we will enter into with Post as part of the formation transactions and this offering, with Ms. Davenport to serve as a Class I director, Mr. Erickson to serve as a Class II director and Mr. Vitale to serve as a Class III director. If a vacancy is created on our Board of Directors as a result of the death, disability, retirement, resignation or removal of a director who is a Post nominee, Post will have the right to designate such person’s replacement. Please refer to “Certain Relationships and Related Party Transactions—Post-Offering Relationship with Post—Investor Rights Agreement.”</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expect our Board of Directors will consist of a majority of independent directors upon the completion of this offering. Upon the completion of this offering, we expect that three of the five members of our Board of Directors will qualify as “independent” under the NYSE corporate governance standards. Our Board of Directors has determined as of the date of this prospectus that each of Mr. Erickson, Ms. Kuperman and Mr. Stein is an independent director as defined under the NYSE corporate governance standards.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Board Committees</w:t>
      </w:r>
    </w:p>
    <w:p>
      <w:pPr>
        <w:spacing w:after="0" w:line="117"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Our Board of Directors will establish standing committees in connection with the discharge of its responsibilities. Upon the completion of this offering, these committees will include an Audit Committee, a Corporate Governance and Compensation Committee and an Executive Committee. Our Board of Directors also may establish such other committees as it deems appropriate, in accordance with applicable law and regulations</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60"/>
          </w:cols>
          <w:pgMar w:left="240" w:top="459" w:right="4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and our corporate governance documents. Under the investor rights agreement, Post has the right to designate the members of each committee until the votes that may be cast by Post under our amended and restated certificate of incorporation are less than 25% of the total voting power of all of our shares of common stock. Please refer to “Certain Relationships and Related Party Transactions—Post-Offering Relationship with Post—Investor Rights Agreement.”</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Audit Committee will function pursuant to a written charter adopted by our Board of Directors. Our Audit Committee’s primary responsibilities will include overseeing: (i) the quality and integrity of our financial statements and financial reporting, (ii) the independence and qualifications of our independent registered public accounting firm, (iii) the performance of our internal audit function and independent auditors, (iv) our systems of internal accounting, financial controls and disclosure controls, (v) compliance with legal and regulatory requirements, codes of conduct and ethics programs and (vi) the preparation of an annual report for inclusion in our proxy statement as the Audit Committee Report.</w:t>
      </w:r>
    </w:p>
    <w:p>
      <w:pPr>
        <w:spacing w:after="0" w:line="173"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Our Audit Committee will have a minimum of three members. All members of our Audit Committee will be “independent” as defined in the NYSE corporate governance standards and Rule 10A-3 of the Exchange Act. At least one member of our Audit Committee will, in the judgment of our Board of Directors, be financially literate and qualify as an “audit committee financial expert” as defined under the rules and regulations of the SEC.</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Corporate Governance and Compensation Committee</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Our Corporate Governance and Compensation Committee will function pursuant to a written charter adopted by our Board of Directors. Our Corporate Governance and Compensation Committee’s primary responsibilities will include: (i) evaluating and determining the compensation level of our executive officers and certain other executives, (ii) overseeing and making recommendations regarding compensation plans, benefit plans and programs and stock-based plans for our employees, (iii) reviewing and overseeing risks arising from or in connection with our compensation policies and programs for our employees, (iv) recommending plans and programs for director compensation and amounts of compensation to be paid to directors and administering director compensation, (v) developing, reviewing and making recommendations for, as necessary, our corporate governance guidelines, (vi) considering and evaluating transactions between us and any of our directors, officers or affiliates, (vii) identifying individuals qualified to become members of our Board of Directors and considering and selecting, or making recommendations to our Board of Directors on, director nominees and (viii) coordinating and overseeing the annual self-assessment of our Board of Directors and management. Under the investor rights agreement, Post will have certain rights to designate directors for the BellRing Brands, Inc. Board of Directors, subject to applicable corporate governance rules of the SEC and the NYSE (which may require Post to designate independent directors). See “Certain Relationships and Related Party Transactions—Post-Offering Relationship with Post—Investor Rights Agreement.”</w:t>
      </w:r>
    </w:p>
    <w:p>
      <w:pPr>
        <w:spacing w:after="0" w:line="180"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Upon the completion of this offering, we expect that all of the members of our Corporate Governance and Compensation Committee will be “independent” as defined under the NYSE corporate governance standards.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Executive Committee</w:t>
      </w:r>
    </w:p>
    <w:p>
      <w:pPr>
        <w:spacing w:after="0" w:line="117"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Our Executive Committee will function pursuant to a written charter adopted by our Board of Directors. Our Executive Committee will be able to exercise all authority of the Board of Directors in the intervals between meetings of the Board of Directors, to the extent such authority is in compliance with our corporate governance guidelines and does not infringe upon the duties and responsibilities of other Board of Directors committees.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Upon the completion of this offering, our Board of Directors will adopt a code of conduct that applies to all of our directors, officers and employees, including any persons serving as a principal executive officer, principal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financial officer, principal accounting officer and controller and persons performing similar functions. Upon completion of this offering, the full text of the code of conduct will be available on our website located at www.bellring.com. We intend to disclose any amendments to or waivers from a provision of our code of conduct that applies to our executive officers on our website.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currently operate as a wholly-owned subsidiary of Post. As a result, we did not have a compensation committee or any other committee serving a similar function when the compensation of our executive officers was established for fiscal 2018. Mr. Vitale is an executive officer of Post, and as such his compensation was reviewed and determined by Post’s corporate governance and compensation committee of its board of directors, with the advice of the compensation consultant engaged by Post’s corporate governance and compensation committee. Because our other executive officers were not executive officers of Post, their compensation was not reviewed and determined by Post’s corporate governance and compensation committee of its board of directors. Ms. Davenport’s compensation was determined by Mr. Vitale, and our other named executive officers’ compensation was determined by Ms. Davenport.</w:t>
      </w:r>
    </w:p>
    <w:p>
      <w:pPr>
        <w:spacing w:after="0" w:line="189"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Mr. Vitale serves on the board of directors of Post and as the President and Chief Executive Officer of Post, and he also will serve as our Executive Chairman. None of our executive officers has served as a member of a compensation committee of any other entity that has an executive officer that we expect to serve as a member of our Board of Directors.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None of our current directors has received compensation for his or her service as our director. After the completion of this offering, we expect that our Board of Directors will adopt a compensation program for our non-management directors with the following compensation elements.</w:t>
      </w:r>
    </w:p>
    <w:p>
      <w:pPr>
        <w:spacing w:after="0" w:line="12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All of our non-management directors will receive an annual cash retainer of $55,000. The chairperson of each of our Audit Committee and Corporate Governance and Compensation Committee will each receive an additional annual cash retainer of $10,000. The independent lead director of our Board will receive an additional annual retainer of $10,000.</w:t>
      </w:r>
    </w:p>
    <w:p>
      <w:pPr>
        <w:spacing w:after="0" w:line="181"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In addition to cash compensation, each non-management director also will receive an annual grant of restricted stock units (“RSUs”) valued at approximately $100,000 on the date of grant. These RSUs will fully vest on the first anniversary of the date of grant. In addition, all awards will fully vest at the director’s retirement, disability or death.</w:t>
      </w:r>
    </w:p>
    <w:p>
      <w:pPr>
        <w:spacing w:after="0" w:line="18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We also will pay the premium on directors’ and officers’ liability and travel accident insurance policies insuring directors. We will reimburse directors for all reasonable expenses incurred in connection with attending Board meetings.</w:t>
      </w:r>
    </w:p>
    <w:p>
      <w:pPr>
        <w:spacing w:after="0" w:line="17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6"/>
          <w:szCs w:val="16"/>
          <w:color w:val="auto"/>
        </w:rPr>
        <w:t>We expect that our Board of Directors will adopt a deferred compensation plan for our directors, pursuant to which any eligible director may elect to defer, with certain limitations, his or her retainer. Under the plan, we expect that deferred compensation could be notionally invested in BellRing Brands, Inc. Class A common stock equivalents or in a number of mutual funds operated by an investment manager and recordkeeper with a variety of investment strategies and objectives. Deferrals in BellRing Brands, Inc. Class A common stock equivalents would receive a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Company matching contribution, also credited in BellRing Brands, Inc. Class A common stock equivalents. Matching contributions would be 100% vested when made. Subject to stockholder approval, deferrals credited in Class A common stock equivalents and matching contributions generally would be paid in shares. Deferrals notionally invested in mutual funds would be paid in cash. Payments generally would be made</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when a person leaves the Board of Directors, in one of three ways: (1) lump sum payout; (2) five-year installments or (3) ten-year installments.</w:t>
      </w:r>
    </w:p>
    <w:p>
      <w:pPr>
        <w:spacing w:after="0" w:line="23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expect that directors who also are full-time officers or employees of BellRing Brands, Inc. or Post will receive no additional compensation for serving as directors.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60"/>
          </w:cols>
          <w:pgMar w:left="240" w:top="459"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following sections set forth certain information about compensation paid to our named executive officers or “NEOs.” Robert V. Vitale, our Executive Chairman, and Darcy Horn Davenport, our President and Chief Executive Officer, each served as principal executive officers of the Company in fiscal 2019 and fiscal 2018.</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references to stock-based and option awards, unless otherwise indicated, refer to awards in respect of Post common stock.</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following table sets forth information about the total compensation earned during fiscal 2019, fiscal 2018 and, where required, fiscal 2017 by our named executive officers: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Qualified</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Deferred</w:t>
            </w:r>
          </w:p>
        </w:tc>
        <w:tc>
          <w:tcPr>
            <w:tcW w:w="22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Salary</w:t>
            </w: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Bonus</w:t>
            </w:r>
          </w:p>
        </w:tc>
        <w:tc>
          <w:tcPr>
            <w:tcW w:w="84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20" w:type="dxa"/>
            <w:vAlign w:val="bottom"/>
            <w:gridSpan w:val="2"/>
          </w:tcPr>
          <w:p>
            <w:pPr>
              <w:jc w:val="center"/>
              <w:ind w:left="148"/>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520" w:type="dxa"/>
            <w:vAlign w:val="bottom"/>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13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3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52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ind w:right="49"/>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112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(4)</w:t>
            </w:r>
          </w:p>
        </w:tc>
        <w:tc>
          <w:tcPr>
            <w:tcW w:w="112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(5)</w:t>
            </w:r>
          </w:p>
        </w:tc>
        <w:tc>
          <w:tcPr>
            <w:tcW w:w="112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4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6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3"/>
                <w:szCs w:val="13"/>
                <w:color w:val="auto"/>
              </w:rPr>
              <w:t>Robert V. Vitale</w:t>
            </w:r>
            <w:r>
              <w:rPr>
                <w:rFonts w:ascii="Arial" w:cs="Arial" w:eastAsia="Arial" w:hAnsi="Arial"/>
                <w:sz w:val="11"/>
                <w:szCs w:val="11"/>
                <w:color w:val="auto"/>
              </w:rPr>
              <w:t>(1)</w:t>
            </w:r>
          </w:p>
        </w:tc>
        <w:tc>
          <w:tcPr>
            <w:tcW w:w="15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2019</w:t>
            </w:r>
          </w:p>
        </w:tc>
        <w:tc>
          <w:tcPr>
            <w:tcW w:w="2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i w:val="1"/>
                <w:iCs w:val="1"/>
                <w:color w:val="auto"/>
              </w:rPr>
              <w:t>Executive Chairman</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2018</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3300" w:type="dxa"/>
            <w:vAlign w:val="bottom"/>
            <w:gridSpan w:val="3"/>
          </w:tcPr>
          <w:p>
            <w:pPr>
              <w:spacing w:after="0"/>
              <w:rPr>
                <w:sz w:val="20"/>
                <w:szCs w:val="20"/>
                <w:color w:val="auto"/>
              </w:rPr>
            </w:pPr>
            <w:r>
              <w:rPr>
                <w:rFonts w:ascii="Arial" w:cs="Arial" w:eastAsia="Arial" w:hAnsi="Arial"/>
                <w:sz w:val="14"/>
                <w:szCs w:val="14"/>
                <w:color w:val="auto"/>
              </w:rPr>
              <w:t>Darcy Horn Davenport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517,500</w:t>
            </w:r>
          </w:p>
        </w:tc>
        <w:tc>
          <w:tcPr>
            <w:tcW w:w="24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1,732,163</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417,340</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37,156</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17,514</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2,721,673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80" w:type="dxa"/>
            <w:vAlign w:val="bottom"/>
            <w:gridSpan w:val="2"/>
          </w:tcPr>
          <w:p>
            <w:pPr>
              <w:ind w:left="120"/>
              <w:spacing w:after="0"/>
              <w:rPr>
                <w:sz w:val="20"/>
                <w:szCs w:val="20"/>
                <w:color w:val="auto"/>
              </w:rPr>
            </w:pPr>
            <w:r>
              <w:rPr>
                <w:rFonts w:ascii="Arial" w:cs="Arial" w:eastAsia="Arial" w:hAnsi="Arial"/>
                <w:sz w:val="14"/>
                <w:szCs w:val="14"/>
                <w:i w:val="1"/>
                <w:iCs w:val="1"/>
                <w:color w:val="auto"/>
              </w:rPr>
              <w:t>President and Chief Executive Officer</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477,292</w:t>
            </w:r>
          </w:p>
        </w:tc>
        <w:tc>
          <w:tcPr>
            <w:tcW w:w="24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296,371</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454,030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547,680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13,218</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65,378</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1,853,969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7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2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Douglas J. Cornille</w:t>
            </w:r>
          </w:p>
        </w:tc>
        <w:tc>
          <w:tcPr>
            <w:tcW w:w="5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2019</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8"/>
              </w:rPr>
              <w:t>288,923</w:t>
            </w:r>
          </w:p>
        </w:tc>
        <w:tc>
          <w:tcPr>
            <w:tcW w:w="2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700,897</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651</w:t>
            </w:r>
          </w:p>
        </w:tc>
        <w:tc>
          <w:tcPr>
            <w:tcW w:w="11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14,329</w:t>
            </w: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1,004,800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SVP, Marketing</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234,649</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142,631</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120,327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24,077</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522,132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00" w:type="dxa"/>
            <w:vAlign w:val="bottom"/>
            <w:gridSpan w:val="3"/>
          </w:tcPr>
          <w:p>
            <w:pPr>
              <w:spacing w:after="0"/>
              <w:rPr>
                <w:sz w:val="20"/>
                <w:szCs w:val="20"/>
                <w:color w:val="auto"/>
              </w:rPr>
            </w:pPr>
            <w:r>
              <w:rPr>
                <w:rFonts w:ascii="Arial" w:cs="Arial" w:eastAsia="Arial" w:hAnsi="Arial"/>
                <w:sz w:val="14"/>
                <w:szCs w:val="14"/>
                <w:color w:val="auto"/>
              </w:rPr>
              <w:t>Paul A. Rode</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314,561</w:t>
            </w:r>
          </w:p>
        </w:tc>
        <w:tc>
          <w:tcPr>
            <w:tcW w:w="24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803,920</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8,106</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15,231</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1,141,818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80" w:type="dxa"/>
            <w:vAlign w:val="bottom"/>
            <w:gridSpan w:val="2"/>
          </w:tcPr>
          <w:p>
            <w:pPr>
              <w:ind w:left="120"/>
              <w:spacing w:after="0"/>
              <w:rPr>
                <w:sz w:val="20"/>
                <w:szCs w:val="20"/>
                <w:color w:val="auto"/>
              </w:rPr>
            </w:pPr>
            <w:r>
              <w:rPr>
                <w:rFonts w:ascii="Arial" w:cs="Arial" w:eastAsia="Arial" w:hAnsi="Arial"/>
                <w:sz w:val="14"/>
                <w:szCs w:val="14"/>
                <w:i w:val="1"/>
                <w:iCs w:val="1"/>
                <w:color w:val="auto"/>
              </w:rPr>
              <w:t>Chief Financial Officer</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280,456</w:t>
            </w:r>
          </w:p>
        </w:tc>
        <w:tc>
          <w:tcPr>
            <w:tcW w:w="24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176,531</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160,390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5,376</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27,988</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650,741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7632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35" w:lineRule="exact"/>
        <w:rPr>
          <w:sz w:val="20"/>
          <w:szCs w:val="20"/>
          <w:color w:val="auto"/>
        </w:rPr>
      </w:pPr>
    </w:p>
    <w:p>
      <w:pPr>
        <w:ind w:left="640" w:right="160" w:hanging="436"/>
        <w:spacing w:after="0" w:line="227" w:lineRule="auto"/>
        <w:tabs>
          <w:tab w:leader="none" w:pos="6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Mr. Vitale is the President and Chief Executive Officer of Post, and is compensated by Post for his services as an employee of Post. None of his compensation was allocated to Post’s Active Nutrition business in its financial statements included herein. Mr. Vitale’s fiscal 2018 and fiscal 2017 compensation is fully disclosed in Post’s filings with the SEC, and his fiscal 2019 compensation will be fully disclosed in Post’s filings with the SEC.</w:t>
      </w:r>
    </w:p>
    <w:p>
      <w:pPr>
        <w:ind w:left="640" w:right="80" w:hanging="436"/>
        <w:spacing w:after="0" w:line="221" w:lineRule="auto"/>
        <w:tabs>
          <w:tab w:leader="none" w:pos="6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amounts relate to awards of restricted stock units of Post common stock granted in the fiscal year. The awards reflect the aggregate grant date fair values computed in accordance with Financial Accounting Standards Board (“FASB”) ASC Topic 718, and do not correspond to the actual values that will be realized by the NEOs. Fiscal 2019 stock awards aggregate grant date fair values exclude forfeitures. For fiscal 2018 stock awards, see Note 12 to Post’s Active Nutrition business’s fiscal 2018 financial statements included herein for a discussion of the determination of these amounts under FASB ASC Topic 718.</w:t>
      </w:r>
    </w:p>
    <w:p>
      <w:pPr>
        <w:spacing w:after="0" w:line="1" w:lineRule="exact"/>
        <w:rPr>
          <w:rFonts w:ascii="Arial" w:cs="Arial" w:eastAsia="Arial" w:hAnsi="Arial"/>
          <w:sz w:val="14"/>
          <w:szCs w:val="14"/>
          <w:color w:val="auto"/>
        </w:rPr>
      </w:pPr>
    </w:p>
    <w:p>
      <w:pPr>
        <w:ind w:left="640" w:right="40" w:hanging="436"/>
        <w:spacing w:after="0" w:line="229" w:lineRule="auto"/>
        <w:tabs>
          <w:tab w:leader="none" w:pos="6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amounts relate to non-qualified stock option awards granted in the fiscal year and reflect the aggregate grant date fair values computed in accordance with FASB ASC Topic 718 and do not correspond to the actual amounts that will be realized upon exercise by the NEOs. The assumptions and fair value for non-qualified stock options granted during fiscal 2019 are summarized in the table below. For fiscal 2018 stock option awards, see Note 12 to Post’s Active Nutrition business’s fiscal 2018 financial statements included herein for a discussion of the determination of these amounts under FASB ASC Topic 718.</w:t>
      </w:r>
    </w:p>
    <w:p>
      <w:pPr>
        <w:spacing w:after="0" w:line="207"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3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r>
      <w:tr>
        <w:trPr>
          <w:trHeight w:val="142"/>
        </w:trPr>
        <w:tc>
          <w:tcPr>
            <w:tcW w:w="43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Expected term (in years)</w:t>
            </w:r>
          </w:p>
        </w:tc>
        <w:tc>
          <w:tcPr>
            <w:tcW w:w="26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w:t>
            </w:r>
          </w:p>
        </w:tc>
        <w:tc>
          <w:tcPr>
            <w:tcW w:w="160" w:type="dxa"/>
            <w:vAlign w:val="bottom"/>
            <w:tcBorders>
              <w:top w:val="single" w:sz="8" w:color="CCEEFF"/>
            </w:tcBorders>
            <w:shd w:val="clear" w:color="auto" w:fill="CCEEFF"/>
          </w:tcPr>
          <w:p>
            <w:pPr>
              <w:spacing w:after="0"/>
              <w:rPr>
                <w:sz w:val="12"/>
                <w:szCs w:val="12"/>
                <w:color w:val="auto"/>
              </w:rPr>
            </w:pPr>
          </w:p>
        </w:tc>
      </w:tr>
      <w:tr>
        <w:trPr>
          <w:trHeight w:val="149"/>
        </w:trPr>
        <w:tc>
          <w:tcPr>
            <w:tcW w:w="4320" w:type="dxa"/>
            <w:vAlign w:val="bottom"/>
          </w:tcPr>
          <w:p>
            <w:pPr>
              <w:spacing w:after="0" w:line="149" w:lineRule="exact"/>
              <w:rPr>
                <w:sz w:val="20"/>
                <w:szCs w:val="20"/>
                <w:color w:val="auto"/>
              </w:rPr>
            </w:pPr>
            <w:r>
              <w:rPr>
                <w:rFonts w:ascii="Arial" w:cs="Arial" w:eastAsia="Arial" w:hAnsi="Arial"/>
                <w:sz w:val="14"/>
                <w:szCs w:val="14"/>
                <w:color w:val="auto"/>
              </w:rPr>
              <w:t>Expected stock price volatility</w:t>
            </w:r>
          </w:p>
        </w:tc>
        <w:tc>
          <w:tcPr>
            <w:tcW w:w="31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29.73%</w:t>
            </w:r>
          </w:p>
        </w:tc>
      </w:tr>
      <w:tr>
        <w:trPr>
          <w:trHeight w:val="149"/>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Risk-free interest rate</w:t>
            </w:r>
          </w:p>
        </w:tc>
        <w:tc>
          <w:tcPr>
            <w:tcW w:w="31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3.05%</w:t>
            </w:r>
          </w:p>
        </w:tc>
      </w:tr>
      <w:tr>
        <w:trPr>
          <w:trHeight w:val="149"/>
        </w:trPr>
        <w:tc>
          <w:tcPr>
            <w:tcW w:w="4320" w:type="dxa"/>
            <w:vAlign w:val="bottom"/>
          </w:tcPr>
          <w:p>
            <w:pPr>
              <w:spacing w:after="0" w:line="149" w:lineRule="exact"/>
              <w:rPr>
                <w:sz w:val="20"/>
                <w:szCs w:val="20"/>
                <w:color w:val="auto"/>
              </w:rPr>
            </w:pPr>
            <w:r>
              <w:rPr>
                <w:rFonts w:ascii="Arial" w:cs="Arial" w:eastAsia="Arial" w:hAnsi="Arial"/>
                <w:sz w:val="14"/>
                <w:szCs w:val="14"/>
                <w:color w:val="auto"/>
              </w:rPr>
              <w:t>Expected dividends</w:t>
            </w:r>
          </w:p>
        </w:tc>
        <w:tc>
          <w:tcPr>
            <w:tcW w:w="31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0%</w:t>
            </w:r>
          </w:p>
        </w:tc>
      </w:tr>
      <w:tr>
        <w:trPr>
          <w:trHeight w:val="149"/>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(per option)</w:t>
            </w:r>
          </w:p>
        </w:tc>
        <w:tc>
          <w:tcPr>
            <w:tcW w:w="3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$33.82</w:t>
            </w:r>
          </w:p>
        </w:tc>
        <w:tc>
          <w:tcPr>
            <w:tcW w:w="160" w:type="dxa"/>
            <w:vAlign w:val="bottom"/>
            <w:shd w:val="clear" w:color="auto" w:fill="CCEEFF"/>
          </w:tcPr>
          <w:p>
            <w:pPr>
              <w:spacing w:after="0"/>
              <w:rPr>
                <w:sz w:val="12"/>
                <w:szCs w:val="12"/>
                <w:color w:val="auto"/>
              </w:rPr>
            </w:pPr>
          </w:p>
        </w:tc>
      </w:tr>
    </w:tbl>
    <w:p>
      <w:pPr>
        <w:spacing w:after="0" w:line="224" w:lineRule="exact"/>
        <w:rPr>
          <w:sz w:val="20"/>
          <w:szCs w:val="20"/>
          <w:color w:val="auto"/>
        </w:rPr>
      </w:pPr>
    </w:p>
    <w:p>
      <w:pPr>
        <w:ind w:left="640" w:right="80" w:hanging="436"/>
        <w:spacing w:after="0" w:line="253" w:lineRule="auto"/>
        <w:tabs>
          <w:tab w:leader="none" w:pos="6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amounts reported in this column reflect bonuses earned by the NEOs during fiscal 2018 under the Post Holdings, Inc. Annual Bonus Program, discussed below. Bonuses for fiscal 2019 have not yet been determined and we expect that they will be determined in the first fiscal quarter of 2020.</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240" w:top="459" w:right="4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right="180" w:hanging="436"/>
        <w:spacing w:after="0" w:line="253" w:lineRule="auto"/>
        <w:tabs>
          <w:tab w:leader="none" w:pos="6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earnings on the respective NEO’s account under Post’s Deferred Compensation Plan for Key Employees and Executive Savings Investment Plan.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As described above in “Management—Compensation Committee Interlocks and Insider Participation,” the fiscal 2019 and fiscal 2018 compensation of our named executive officers (other than Mr. Vitale) was determined by Mr. Vitale or Ms. Davenport. We anticipate that Mr. Vitale and Ms. Davenport will continue to establish and manage the compensation of our named executive officers (other than Mr. Vitale) until the completion of this offering. After the completion of this offering, our executive compensation programs will be designed and implemented by our Board of Directors, through our Corporate Governance and Compensation Committee. We anticipate that our Corporate Governance and Compensation Committee will engage an independent compensation consultant to advise on the development of our executive compensation programs. The compensation programs that we adopt may differ materially from the current Post programs summarized in this Executive Compensation section.</w:t>
      </w:r>
    </w:p>
    <w:p>
      <w:pPr>
        <w:spacing w:after="0" w:line="167"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Mr. Vitale is the President and Chief Executive Officer of Post, and he is compensated by Post for his services as an employee of Post. As none of his compensation was allocated to Post’s Active Nutrition business in its financial statements included herein, his compensation is not otherwise discussed herein and the information in the remainder of this “Executive Compensation” section pertains to our other named executive officers.</w:t>
      </w:r>
    </w:p>
    <w:p>
      <w:pPr>
        <w:ind w:left="200" w:right="260"/>
        <w:spacing w:after="0" w:line="261" w:lineRule="auto"/>
        <w:rPr>
          <w:sz w:val="20"/>
          <w:szCs w:val="20"/>
          <w:color w:val="auto"/>
        </w:rPr>
      </w:pPr>
      <w:r>
        <w:rPr>
          <w:rFonts w:ascii="Arial" w:cs="Arial" w:eastAsia="Arial" w:hAnsi="Arial"/>
          <w:sz w:val="18"/>
          <w:szCs w:val="18"/>
          <w:color w:val="auto"/>
        </w:rPr>
        <w:t>Mr. Vitale’s fiscal 2018 and fiscal 2017 compensation and the benefit plans in which he participates are fully disclosed in Post’s filings with the SEC, and his fiscal 2019 compensation will be fully disclosed in Post’s filings with the SEC.</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 of our named executive officers has an employment agreement with the Company.</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Base salaries are designed to recognize and reward the skill, competency, experience and performance a named executive officer brings to the position. The total base salaries earned by our named executive officers in fiscal 2019 and fiscal 2018 are disclosed in the Summary Compensation Table above.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Annual Incentive Plan Compensation</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In fiscal 2019 and fiscal 2018, each of our named executive officers participated in the Post Holdings, Inc. Annual Bonus Program, an annual incentive plan. The Annual Bonus Program is designed to reward employees for their contributions towards creating value for Post shareholders. Amounts payable to our named executive officers pursuant to awards granted under the program are determined based on achievement of business-level goals. For fiscal 2019 and fiscal 2018, Adjusted EBITDA of our business was the primary performance metric for our named executive officers. Performance achievement Adjusted EBITDA amounts were set at threshold, target and maximum performance levels, with a bonus payout of 50%, 100% or 150% if the respective performance level was met. Adjusted EBITDA amounts and bonus payout percentages were interpolated on a straight-line basis between points. Each named executive officer had a target bonus amount for the fiscal year, which was a percentage of his or her base salary. In each of fiscal 2019 and fiscal 2018, Ms. Davenport’s target bonus amount was 100% of her base salary, Mr. Cornille’s target bonus was 50% of his base salary and Mr. Rode’s target bonus amount was 50% of his base salary. Final bonus amounts are calculated by multiplying each named executive officer’s target bonus amount by the percentage bonus payout corresponding to the Adjusted EBITDA performance level for that fiscal year. The bonus earned by each named executive officer for fiscal 2018 is disclosed in the Summary Compensation Table above. The bonus earned by each named executive officer for fiscal 2019 has not yet been determined as of the date of this prospectus, and we expect that such bonus amounts will be determined in the first fiscal quarter of 2020.</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Awards</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Equity awards for our named executive officers were awarded under the Post Holdings, Inc. 2012 Long-Term Incentive Plan (the “Post 2012 LTIP”), the Post Holdings, Inc. 2016 Long-Term Incentive Plan (the “Post 2016 LTIP”) and the Post Holdings, Inc. 2019 Long-Term Incentive Plan (the “Post 2019 LTIP” and, together with the Post 2012 LTIP and the Post 2016 LTIP, the “Post LTIPs”). Awards made to named executive officers consisted of RSUs and non-qualified stock options (“NQSOs”) with time-based vesting schedules requiring employment with the Company or another Post affiliate as of the date of each vesting. Vesting of RSUs and NQSOs is subject to acceleration, in whole or in part, upon the named executive officer’s disability or death, and in certain instances, upon involuntary termination of employment. NQSOs become exercisable as of the date of vesting and remain exercisable for a period of ten years from the date of grant, except in cases of death or termination of employment, in which case the exercise period may be shorter under the terms of the applicable Post LTIP and applicable award agreement.</w:t>
      </w:r>
    </w:p>
    <w:p>
      <w:pPr>
        <w:spacing w:after="0" w:line="179"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We have adopted our own equity incentive compensation plan for the benefit of our eligible employees in connection with the offering, as described more fully below under “—BellRing Brands, Inc. 2019 Long-Term Incentive Plan.”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Non-Qualified Deferred Compensation Plans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Post maintains non-qualified deferred compensation plans for key employees, the Deferred Compensation Plan for Key Employees and the Executive Savings Investment Plan. Participation in these plans is limited to a select group of management or highly-compensated employees. All of our named executive officers were eligible to participate in these plans in fiscal 2019 and fiscal 2018.</w:t>
      </w:r>
    </w:p>
    <w:p>
      <w:pPr>
        <w:spacing w:after="0" w:line="18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Under Post’s Deferred Compensation Plan for Key Employees, named executive officers may elect to defer payment of all or a portion of their eligible annual bonus until some later date. Post’s corporate governance and compensation committee that administers the plan may determine that matching discretionary contributions may be made for a particular fiscal year, and if made such contributions will vest five years after such contribution is made, generally subject to acceleration in the event of disability or separation from service by reason of death or involuntary termination without cause, and under certain circumstances subject to acceleration in the event of retirement or change in control of Post. No discretionary contributions under this plan were made for our named executive officers in fiscal 2019 or fiscal 2018.</w:t>
      </w:r>
    </w:p>
    <w:p>
      <w:pPr>
        <w:spacing w:after="0" w:line="17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Post’s Executive Savings Investment Plan allows our named executive officers to defer a portion of their salaries to be paid at a future date. In addition, Post has the ability to provide a discretionary employer contribution at the times and in the amounts designated by Post, which, if made, vest at 25% for each year of service. Eligible employees may defer between 1% and 75% of their base salaries.</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Under both plans, our named executive officers may select specified dates in the future upon which their deferrals will be distributed, in addition to selecting distribution at separation from service. The offering will not result in our named executive officers experiencing a separation from service for this purpose at this time. Payments also may be made in the event of a change in control of Post (depending upon the date of deferral or contribution, either as a result of the NEO’s election, or because the plans require it). Payments may be made in lump sum, in five annual installments or in ten annual installments.</w:t>
      </w:r>
    </w:p>
    <w:p>
      <w:pPr>
        <w:spacing w:after="0" w:line="188"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Both of the plans offer measurement investment funds that our named executive officers may choose for purposes of crediting or debiting hypothetical investment gains and losses to their accounts. The hypothetical investments offered are Post common stock equivalents and a number of funds operated by The Vanguard Group Inc. with a variety of investment strategies and objectives.</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Income taxes on the amounts deferred and any investment gains are deferred until distribution. Under both plans, distributions of deferrals hypothetically invested in common stock equivalents are generally made in shares of Post common stock, while deferrals hypothetically invested in the Vanguard funds are made in cash.</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240" w:top="460"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We anticipate that our named executive officers will no longer be eligible for deferrals under the Post Deferred Compensation Plan for Key Employees and the Post Executive Savings Investment Plan beginning January 1, 2020.</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401(k) Plans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Post maintains the Post Savings Investment Plan (the “Post 401(k) Plan”), which is a defined contribution savings plan for all eligible employees of the Company, including each of our named executive officers. The Post 401(k) Plan is subject to certain provisions of the Employee Retirement Income Security Act of 1974, as amended (“ERISA”), and the Code. The Post 401(k) Plan is designed to meet ERISA’s reporting and disclosure and fiduciary requirements, as well as to meet the minimum standards for participation and vesting. The Post 401(k) Plan also is intended to qualify as a cash or deferred profit sharing plan under Section 401(k) of the Code, is intended to be qualified under Section 401(a) of the Code and is the subject of a favorable determination letter from the IRS.</w:t>
      </w:r>
    </w:p>
    <w:p>
      <w:pPr>
        <w:spacing w:after="0" w:line="193"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Under the Post 401(k) Plan, our named executive officers may make pre-tax and Roth contributions of their eligible compensation, which are credited with a dollar-for-dollar employer matching contribution of up to 6% of eligible compensation deferred. Matching contributions made through December 31, 2017 vest at 20% for each year of service. Effective January 1, 2018, the Post 401(k) Plan was amended to provide that matching contributions made on or after January 1, 2018 are vested when made. Our named executive officers may select from a variety of investment funds, including the Post Common Stock Fund. The matching contributions made by Post under the Post 401(k) Plan for our named executive officers for fiscal 2019 were as follows: Ms. Davenport, $16,800; Mr. Cornille, $13,726; and Mr. Rode, $14,558. No discretionary contributions were made by Post under the Executive Savings Investment Plan for our named executive officers for fiscal 2019. The matching contributions made by Post under the Post 401(k) Plan for our named executive officers, as well as the discretionary contributions made by Post under the Executive Savings Investment Plan for our named executive officers, for fiscal 2018 were as follows: Ms. Davenport, $64,664; Mr. Cornille, $23,603; and Mr. Rode, $27,379. Such amounts are included in the “All Other Compensation” column in the Summary Compensation Table above.</w:t>
      </w:r>
    </w:p>
    <w:p>
      <w:pPr>
        <w:spacing w:after="0" w:line="16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intend to adopt our own 401(k) plan in connection with the contemplated transactions, and expect it will be substantially similar to the Post 401(k) Plan.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24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at September 30, 2019</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following table sets forth information on exercisable and unexercisable NQSOs and unvested RSU awards held by our named executive officers, other than Mr. Vitale, on September 30, 2019.</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Option Awards</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Stock Awards</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1040" w:type="dxa"/>
            <w:vAlign w:val="bottom"/>
            <w:gridSpan w:val="2"/>
          </w:tcPr>
          <w:p>
            <w:pPr>
              <w:jc w:val="center"/>
              <w:ind w:left="108"/>
              <w:spacing w:after="0" w:line="149" w:lineRule="exact"/>
              <w:rPr>
                <w:sz w:val="20"/>
                <w:szCs w:val="20"/>
                <w:color w:val="auto"/>
              </w:rPr>
            </w:pPr>
            <w:r>
              <w:rPr>
                <w:rFonts w:ascii="Arial" w:cs="Arial" w:eastAsia="Arial" w:hAnsi="Arial"/>
                <w:sz w:val="14"/>
                <w:szCs w:val="14"/>
                <w:b w:val="1"/>
                <w:bCs w:val="1"/>
                <w:color w:val="auto"/>
                <w:w w:val="92"/>
              </w:rPr>
              <w:t>Plan Awards:</w:t>
            </w:r>
          </w:p>
        </w:tc>
        <w:tc>
          <w:tcPr>
            <w:tcW w:w="200" w:type="dxa"/>
            <w:vAlign w:val="bottom"/>
          </w:tcPr>
          <w:p>
            <w:pPr>
              <w:spacing w:after="0"/>
              <w:rPr>
                <w:sz w:val="12"/>
                <w:szCs w:val="12"/>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2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or Units</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2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 Stock</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Units of</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or Other</w:t>
            </w:r>
          </w:p>
        </w:tc>
        <w:tc>
          <w:tcPr>
            <w:tcW w:w="20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1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That Have</w:t>
            </w:r>
          </w:p>
        </w:tc>
        <w:tc>
          <w:tcPr>
            <w:tcW w:w="780" w:type="dxa"/>
            <w:vAlign w:val="bottom"/>
            <w:gridSpan w:val="2"/>
          </w:tcPr>
          <w:p>
            <w:pPr>
              <w:jc w:val="center"/>
              <w:ind w:left="8"/>
              <w:spacing w:after="0" w:line="149" w:lineRule="exact"/>
              <w:rPr>
                <w:sz w:val="20"/>
                <w:szCs w:val="20"/>
                <w:color w:val="auto"/>
              </w:rPr>
            </w:pPr>
            <w:r>
              <w:rPr>
                <w:rFonts w:ascii="Arial" w:cs="Arial" w:eastAsia="Arial" w:hAnsi="Arial"/>
                <w:sz w:val="14"/>
                <w:szCs w:val="14"/>
                <w:b w:val="1"/>
                <w:bCs w:val="1"/>
                <w:color w:val="auto"/>
                <w:w w:val="92"/>
              </w:rPr>
              <w:t>Stock That</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Rights That</w:t>
            </w:r>
          </w:p>
        </w:tc>
        <w:tc>
          <w:tcPr>
            <w:tcW w:w="920" w:type="dxa"/>
            <w:vAlign w:val="bottom"/>
            <w:gridSpan w:val="3"/>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Options</w:t>
            </w:r>
          </w:p>
        </w:tc>
        <w:tc>
          <w:tcPr>
            <w:tcW w:w="8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Exercise</w:t>
            </w: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Not</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Have Not</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Have Not</w:t>
            </w:r>
          </w:p>
        </w:tc>
        <w:tc>
          <w:tcPr>
            <w:tcW w:w="2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49"/>
        </w:trPr>
        <w:tc>
          <w:tcPr>
            <w:tcW w:w="3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jc w:val="center"/>
              <w:ind w:left="68"/>
              <w:spacing w:after="0" w:line="149"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Price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Vested</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Vested</w:t>
            </w:r>
            <w:r>
              <w:rPr>
                <w:rFonts w:ascii="Arial" w:cs="Arial" w:eastAsia="Arial" w:hAnsi="Arial"/>
                <w:sz w:val="12"/>
                <w:szCs w:val="12"/>
                <w:b w:val="1"/>
                <w:bCs w:val="1"/>
                <w:color w:val="auto"/>
                <w:w w:val="92"/>
              </w:rPr>
              <w:t>(13)</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20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Vested</w:t>
            </w:r>
            <w:r>
              <w:rPr>
                <w:rFonts w:ascii="Arial" w:cs="Arial" w:eastAsia="Arial" w:hAnsi="Arial"/>
                <w:sz w:val="12"/>
                <w:szCs w:val="12"/>
                <w:b w:val="1"/>
                <w:bCs w:val="1"/>
                <w:color w:val="auto"/>
                <w:w w:val="89"/>
              </w:rPr>
              <w:t>(13)</w:t>
            </w:r>
          </w:p>
        </w:tc>
        <w:tc>
          <w:tcPr>
            <w:tcW w:w="0" w:type="dxa"/>
            <w:vAlign w:val="bottom"/>
          </w:tcPr>
          <w:p>
            <w:pPr>
              <w:spacing w:after="0"/>
              <w:rPr>
                <w:sz w:val="1"/>
                <w:szCs w:val="1"/>
                <w:color w:val="auto"/>
              </w:rPr>
            </w:pPr>
          </w:p>
        </w:tc>
      </w:tr>
      <w:tr>
        <w:trPr>
          <w:trHeight w:val="158"/>
        </w:trPr>
        <w:tc>
          <w:tcPr>
            <w:tcW w:w="32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20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640" w:type="dxa"/>
            <w:vAlign w:val="bottom"/>
            <w:gridSpan w:val="2"/>
          </w:tcPr>
          <w:p>
            <w:pPr>
              <w:jc w:val="center"/>
              <w:ind w:left="28"/>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Date</w:t>
            </w:r>
          </w:p>
        </w:tc>
        <w:tc>
          <w:tcPr>
            <w:tcW w:w="880" w:type="dxa"/>
            <w:vAlign w:val="bottom"/>
            <w:gridSpan w:val="2"/>
          </w:tcPr>
          <w:p>
            <w:pPr>
              <w:jc w:val="center"/>
              <w:ind w:left="128"/>
              <w:spacing w:after="0" w:line="158"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3"/>
                <w:szCs w:val="13"/>
                <w:color w:val="auto"/>
              </w:rPr>
            </w:pPr>
          </w:p>
        </w:tc>
        <w:tc>
          <w:tcPr>
            <w:tcW w:w="780" w:type="dxa"/>
            <w:vAlign w:val="bottom"/>
            <w:gridSpan w:val="2"/>
          </w:tcPr>
          <w:p>
            <w:pPr>
              <w:jc w:val="center"/>
              <w:ind w:left="8"/>
              <w:spacing w:after="0" w:line="158" w:lineRule="exact"/>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center"/>
              <w:ind w:left="108"/>
              <w:spacing w:after="0" w:line="158"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center"/>
              <w:ind w:left="88"/>
              <w:spacing w:after="0" w:line="158"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32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Robert V. Vitale</w:t>
            </w:r>
            <w:r>
              <w:rPr>
                <w:rFonts w:ascii="Arial" w:cs="Arial" w:eastAsia="Arial" w:hAnsi="Arial"/>
                <w:sz w:val="12"/>
                <w:szCs w:val="12"/>
                <w:color w:val="auto"/>
              </w:rPr>
              <w:t>(1)</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ind w:left="520"/>
              <w:spacing w:after="0" w:line="136"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8"/>
              <w:spacing w:after="0" w:line="136"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8"/>
              <w:spacing w:after="0" w:line="13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8"/>
              <w:spacing w:after="0" w:line="13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ind w:left="420"/>
              <w:spacing w:after="0" w:line="136"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
              <w:spacing w:after="0" w:line="13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ind w:left="620"/>
              <w:spacing w:after="0" w:line="13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440"/>
              <w:spacing w:after="0" w:line="136"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00" w:type="dxa"/>
            <w:vAlign w:val="bottom"/>
            <w:gridSpan w:val="2"/>
          </w:tcPr>
          <w:p>
            <w:pPr>
              <w:spacing w:after="0" w:line="130" w:lineRule="exact"/>
              <w:rPr>
                <w:sz w:val="20"/>
                <w:szCs w:val="20"/>
                <w:color w:val="auto"/>
              </w:rPr>
            </w:pPr>
            <w:r>
              <w:rPr>
                <w:rFonts w:ascii="Arial" w:cs="Arial" w:eastAsia="Arial" w:hAnsi="Arial"/>
                <w:sz w:val="14"/>
                <w:szCs w:val="14"/>
                <w:color w:val="auto"/>
              </w:rPr>
              <w:t>Darcy Horn Davenport</w:t>
            </w:r>
          </w:p>
        </w:tc>
        <w:tc>
          <w:tcPr>
            <w:tcW w:w="1160" w:type="dxa"/>
            <w:vAlign w:val="bottom"/>
            <w:gridSpan w:val="3"/>
          </w:tcPr>
          <w:p>
            <w:pPr>
              <w:jc w:val="right"/>
              <w:ind w:right="120"/>
              <w:spacing w:after="0" w:line="130" w:lineRule="exact"/>
              <w:rPr>
                <w:sz w:val="20"/>
                <w:szCs w:val="20"/>
                <w:color w:val="auto"/>
              </w:rPr>
            </w:pPr>
            <w:r>
              <w:rPr>
                <w:rFonts w:ascii="Arial" w:cs="Arial" w:eastAsia="Arial" w:hAnsi="Arial"/>
                <w:sz w:val="14"/>
                <w:szCs w:val="14"/>
                <w:color w:val="auto"/>
              </w:rPr>
              <w:t>6,666</w:t>
            </w:r>
            <w:r>
              <w:rPr>
                <w:rFonts w:ascii="Arial" w:cs="Arial" w:eastAsia="Arial" w:hAnsi="Arial"/>
                <w:sz w:val="12"/>
                <w:szCs w:val="12"/>
                <w:color w:val="auto"/>
              </w:rPr>
              <w:t>(2)</w:t>
            </w:r>
          </w:p>
        </w:tc>
        <w:tc>
          <w:tcPr>
            <w:tcW w:w="9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3,334</w:t>
            </w:r>
          </w:p>
        </w:tc>
        <w:tc>
          <w:tcPr>
            <w:tcW w:w="240" w:type="dxa"/>
            <w:vAlign w:val="bottom"/>
          </w:tcPr>
          <w:p>
            <w:pPr>
              <w:spacing w:after="0"/>
              <w:rPr>
                <w:sz w:val="11"/>
                <w:szCs w:val="11"/>
                <w:color w:val="auto"/>
              </w:rPr>
            </w:pPr>
          </w:p>
        </w:tc>
        <w:tc>
          <w:tcPr>
            <w:tcW w:w="6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71.32</w:t>
            </w:r>
          </w:p>
        </w:tc>
        <w:tc>
          <w:tcPr>
            <w:tcW w:w="20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11/14/2026</w:t>
            </w:r>
          </w:p>
        </w:tc>
        <w:tc>
          <w:tcPr>
            <w:tcW w:w="118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2,000</w:t>
            </w:r>
            <w:r>
              <w:rPr>
                <w:rFonts w:ascii="Arial" w:cs="Arial" w:eastAsia="Arial" w:hAnsi="Arial"/>
                <w:sz w:val="12"/>
                <w:szCs w:val="12"/>
                <w:color w:val="auto"/>
              </w:rPr>
              <w:t>(5)</w:t>
            </w:r>
          </w:p>
        </w:tc>
        <w:tc>
          <w:tcPr>
            <w:tcW w:w="7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211,680</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5,325</w:t>
            </w:r>
            <w:r>
              <w:rPr>
                <w:rFonts w:ascii="Arial" w:cs="Arial" w:eastAsia="Arial" w:hAnsi="Arial"/>
                <w:sz w:val="12"/>
                <w:szCs w:val="12"/>
                <w:color w:val="auto"/>
              </w:rPr>
              <w:t>(3)</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10,650</w:t>
            </w:r>
          </w:p>
        </w:tc>
        <w:tc>
          <w:tcPr>
            <w:tcW w:w="24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79.52</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12/01/2027</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2,485</w:t>
            </w:r>
            <w:r>
              <w:rPr>
                <w:rFonts w:ascii="Arial" w:cs="Arial" w:eastAsia="Arial" w:hAnsi="Arial"/>
                <w:sz w:val="12"/>
                <w:szCs w:val="12"/>
                <w:color w:val="auto"/>
              </w:rPr>
              <w:t>(6)</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263,012</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12,339</w:t>
            </w:r>
            <w:r>
              <w:rPr>
                <w:rFonts w:ascii="Arial" w:cs="Arial" w:eastAsia="Arial" w:hAnsi="Arial"/>
                <w:sz w:val="12"/>
                <w:szCs w:val="12"/>
                <w:color w:val="auto"/>
              </w:rPr>
              <w:t>(4)</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92.08</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11/13/2028</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4,319</w:t>
            </w:r>
            <w:r>
              <w:rPr>
                <w:rFonts w:ascii="Arial" w:cs="Arial" w:eastAsia="Arial" w:hAnsi="Arial"/>
                <w:sz w:val="12"/>
                <w:szCs w:val="12"/>
                <w:color w:val="auto"/>
              </w:rPr>
              <w:t>(7)</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457,123</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color w:val="auto"/>
              </w:rPr>
              <w:t>11,992</w:t>
            </w:r>
            <w:r>
              <w:rPr>
                <w:rFonts w:ascii="Arial" w:cs="Arial" w:eastAsia="Arial" w:hAnsi="Arial"/>
                <w:sz w:val="12"/>
                <w:szCs w:val="12"/>
                <w:color w:val="auto"/>
              </w:rPr>
              <w:t>(8)</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1,269,233</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Douglas J. Cornille</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588</w:t>
            </w:r>
            <w:r>
              <w:rPr>
                <w:rFonts w:ascii="Arial" w:cs="Arial" w:eastAsia="Arial" w:hAnsi="Arial"/>
                <w:sz w:val="12"/>
                <w:szCs w:val="12"/>
                <w:color w:val="auto"/>
              </w:rPr>
              <w:t>(9)</w:t>
            </w:r>
          </w:p>
        </w:tc>
        <w:tc>
          <w:tcPr>
            <w:tcW w:w="7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62,234</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1,204</w:t>
            </w:r>
            <w:r>
              <w:rPr>
                <w:rFonts w:ascii="Arial" w:cs="Arial" w:eastAsia="Arial" w:hAnsi="Arial"/>
                <w:sz w:val="12"/>
                <w:szCs w:val="12"/>
                <w:color w:val="auto"/>
              </w:rPr>
              <w:t>(10)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127,431</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1,727</w:t>
            </w:r>
            <w:r>
              <w:rPr>
                <w:rFonts w:ascii="Arial" w:cs="Arial" w:eastAsia="Arial" w:hAnsi="Arial"/>
                <w:sz w:val="12"/>
                <w:szCs w:val="12"/>
                <w:color w:val="auto"/>
              </w:rPr>
              <w:t>(11)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182,786</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4,797</w:t>
            </w:r>
            <w:r>
              <w:rPr>
                <w:rFonts w:ascii="Arial" w:cs="Arial" w:eastAsia="Arial" w:hAnsi="Arial"/>
                <w:sz w:val="12"/>
                <w:szCs w:val="12"/>
                <w:color w:val="auto"/>
              </w:rPr>
              <w:t>(8)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507,714</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00" w:type="dxa"/>
            <w:vAlign w:val="bottom"/>
            <w:gridSpan w:val="2"/>
          </w:tcPr>
          <w:p>
            <w:pPr>
              <w:spacing w:after="0" w:line="130" w:lineRule="exact"/>
              <w:rPr>
                <w:sz w:val="20"/>
                <w:szCs w:val="20"/>
                <w:color w:val="auto"/>
              </w:rPr>
            </w:pPr>
            <w:r>
              <w:rPr>
                <w:rFonts w:ascii="Arial" w:cs="Arial" w:eastAsia="Arial" w:hAnsi="Arial"/>
                <w:sz w:val="14"/>
                <w:szCs w:val="14"/>
                <w:color w:val="auto"/>
              </w:rPr>
              <w:t>Paul A. Rode</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jc w:val="right"/>
              <w:ind w:right="120"/>
              <w:spacing w:after="0" w:line="130" w:lineRule="exact"/>
              <w:rPr>
                <w:sz w:val="20"/>
                <w:szCs w:val="20"/>
                <w:color w:val="auto"/>
              </w:rPr>
            </w:pPr>
            <w:r>
              <w:rPr>
                <w:rFonts w:ascii="Arial" w:cs="Arial" w:eastAsia="Arial" w:hAnsi="Arial"/>
                <w:sz w:val="14"/>
                <w:szCs w:val="14"/>
                <w:color w:val="auto"/>
              </w:rPr>
              <w:t>5,000</w:t>
            </w:r>
            <w:r>
              <w:rPr>
                <w:rFonts w:ascii="Arial" w:cs="Arial" w:eastAsia="Arial" w:hAnsi="Arial"/>
                <w:sz w:val="12"/>
                <w:szCs w:val="12"/>
                <w:color w:val="auto"/>
              </w:rPr>
              <w:t>(12)</w:t>
            </w:r>
          </w:p>
        </w:tc>
        <w:tc>
          <w:tcPr>
            <w:tcW w:w="7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529,200</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742</w:t>
            </w:r>
            <w:r>
              <w:rPr>
                <w:rFonts w:ascii="Arial" w:cs="Arial" w:eastAsia="Arial" w:hAnsi="Arial"/>
                <w:sz w:val="12"/>
                <w:szCs w:val="12"/>
                <w:color w:val="auto"/>
              </w:rPr>
              <w:t>(9)</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78,533</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1,490</w:t>
            </w:r>
            <w:r>
              <w:rPr>
                <w:rFonts w:ascii="Arial" w:cs="Arial" w:eastAsia="Arial" w:hAnsi="Arial"/>
                <w:sz w:val="12"/>
                <w:szCs w:val="12"/>
                <w:color w:val="auto"/>
              </w:rPr>
              <w:t>(10)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157,702</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1,943</w:t>
            </w:r>
            <w:r>
              <w:rPr>
                <w:rFonts w:ascii="Arial" w:cs="Arial" w:eastAsia="Arial" w:hAnsi="Arial"/>
                <w:sz w:val="12"/>
                <w:szCs w:val="12"/>
                <w:color w:val="auto"/>
              </w:rPr>
              <w:t>(11)</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205,647</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color w:val="auto"/>
              </w:rPr>
              <w:t>5,535</w:t>
            </w:r>
            <w:r>
              <w:rPr>
                <w:rFonts w:ascii="Arial" w:cs="Arial" w:eastAsia="Arial" w:hAnsi="Arial"/>
                <w:sz w:val="12"/>
                <w:szCs w:val="12"/>
                <w:color w:val="auto"/>
              </w:rPr>
              <w:t>(8)</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585,824</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7632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35" w:lineRule="exact"/>
        <w:rPr>
          <w:sz w:val="20"/>
          <w:szCs w:val="20"/>
          <w:color w:val="auto"/>
        </w:rPr>
      </w:pPr>
    </w:p>
    <w:p>
      <w:pPr>
        <w:ind w:left="640" w:right="100" w:hanging="436"/>
        <w:spacing w:after="0" w:line="230"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Mr. Vitale is the President and Chief Executive Officer of Post, and is compensated by Post for his services as an employee of Post. None of his equity awards were allocated to Post’s Active Nutrition business. For more information about Mr. Vitale’s outstanding equity-based awards, please see Post’s filings with the SEC.</w:t>
      </w:r>
    </w:p>
    <w:p>
      <w:pPr>
        <w:ind w:left="640" w:hanging="436"/>
        <w:spacing w:after="0" w:line="221"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Non-qualified stock options; vest and become exercisable in equal installments on November 14, 2017, 2018 and 2019.</w:t>
      </w:r>
    </w:p>
    <w:p>
      <w:pPr>
        <w:ind w:left="640" w:hanging="436"/>
        <w:spacing w:after="0" w:line="221"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Non-qualified stock options; vest and become exercisable in equal installments on December 1, 2018, 2019 and 2020.</w:t>
      </w:r>
    </w:p>
    <w:p>
      <w:pPr>
        <w:ind w:left="640" w:hanging="436"/>
        <w:spacing w:after="0" w:line="221"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Non-qualified stock options; vest and become exercisable in equal installments on November 13, 2019, 2020 and 2021.</w:t>
      </w:r>
    </w:p>
    <w:p>
      <w:pPr>
        <w:ind w:left="640" w:right="200" w:hanging="436"/>
        <w:spacing w:after="0" w:line="221"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14, 2017, 2018 and 2019. The RSUs will be paid in shares of Post’s common stock within sixty days from each of the applicable vesting dates.</w:t>
      </w:r>
    </w:p>
    <w:p>
      <w:pPr>
        <w:ind w:left="640" w:right="300" w:hanging="436"/>
        <w:spacing w:after="0" w:line="221"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December 1, 2018, 2019 and 2020. The RSUs will be paid in shares of Post’s common stock within sixty days from each of the applicable vesting dates.</w:t>
      </w:r>
    </w:p>
    <w:p>
      <w:pPr>
        <w:ind w:left="640" w:right="200" w:hanging="436"/>
        <w:spacing w:after="0" w:line="221"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13, 2019, 2020 and 2021. The RSUs will be paid in shares of Post’s common stock within sixty days from each of the applicable vesting dates.</w:t>
      </w:r>
    </w:p>
    <w:p>
      <w:pPr>
        <w:ind w:left="640" w:right="60" w:hanging="436"/>
        <w:spacing w:after="0" w:line="221"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April 22, 2020, 2021 and 2022. The RSUs will be paid in shares of Post’s common stock within sixty days from each of the applicable vesting dates.</w:t>
      </w:r>
    </w:p>
    <w:p>
      <w:pPr>
        <w:ind w:left="640" w:right="200" w:hanging="436"/>
        <w:spacing w:after="0" w:line="221"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16, 2017, 2018 and 2019. The RSUs will be paid in shares of Post’s common stock within sixty days from each of the applicable vesting dates.</w:t>
      </w:r>
    </w:p>
    <w:p>
      <w:pPr>
        <w:ind w:left="640" w:right="300" w:hanging="436"/>
        <w:spacing w:after="0" w:line="221"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December 4, 2018, 2019 and 2020. The RSUs will be paid in shares of Post’s common stock within sixty days from each of the applicable vesting dates.</w:t>
      </w:r>
    </w:p>
    <w:p>
      <w:pPr>
        <w:ind w:left="640" w:right="200" w:hanging="436"/>
        <w:spacing w:after="0" w:line="221"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30, 2019, 2020 and 2021. The RSUs will be paid in shares of Post’s common stock within sixty days from each of the applicable vesting dates.</w:t>
      </w:r>
    </w:p>
    <w:p>
      <w:pPr>
        <w:ind w:left="640" w:right="20" w:hanging="436"/>
        <w:spacing w:after="0" w:line="238" w:lineRule="auto"/>
        <w:tabs>
          <w:tab w:leader="none" w:pos="6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RSUs; service-based restrictions lapse in equal installments on June 17, 2020, 2021, 2022, 2023 and 2024. Each RSU will be paid out in cash equal to the greater of the grant date price of $51.43 or the fair market value of one share of Post’s common stock on the applicable vesting dates and paid within sixty days from each of the applicable vesting dates.</w:t>
      </w:r>
    </w:p>
    <w:p>
      <w:pPr>
        <w:ind w:left="640" w:hanging="436"/>
        <w:spacing w:after="0"/>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Based on Post’s closing stock price of $105.84 on September 30, 2019, the last trading day of fiscal 2019.</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In fiscal 2019, in the event of an involuntary termination of employment (whether in connection with a change in control of the Company or not), Ms. Davenport was eligible for compensation and benefits under the Post Holdings, Inc. Executive Severance Plan (the “Executive Severance Plan”), Mr. Cornille and Mr. Rode were each eligible for compensation and benefits under the Post Holdings, Inc. Severance Plan for Salary Grade 16 and Above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240" w:top="459" w:right="4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55" w:lineRule="auto"/>
        <w:rPr>
          <w:sz w:val="20"/>
          <w:szCs w:val="20"/>
          <w:color w:val="auto"/>
        </w:rPr>
      </w:pPr>
      <w:r>
        <w:rPr>
          <w:rFonts w:ascii="Arial" w:cs="Arial" w:eastAsia="Arial" w:hAnsi="Arial"/>
          <w:sz w:val="18"/>
          <w:szCs w:val="18"/>
          <w:color w:val="auto"/>
        </w:rPr>
        <w:t>(the “Salary Grade 16 Plan”). A description of the terms of the Executive Severance Plan and the Salary Grade 16 Plan is below. In addition, information about treatment of equity awards and non-qualified deferred compensation in the event of involuntary termination (whether in connection with a change in control of the Company or not) is provided below. The descriptions below, to the extent related to a change in control, contemplate a change in control of the Company. A change in control of Post in fiscal 2019 accompanied by an involuntary termination of employment of any of our named executive officers also would have resulted in certain payments to, and vesting of equity awards held by, our named executive officers, which may have differed from the arrangements described below.</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offering will not constitute a change in control of the Company for purposes of the arrangements described below.</w:t>
      </w:r>
    </w:p>
    <w:p>
      <w:pPr>
        <w:spacing w:after="0" w:line="225"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We anticipate that our named executive officers who are currently eligible for the Salary Grade 16 Plan will no longer be eligible for severance under that plan, and that the Company will implement its own severance plan, following the consummation of the contemplated transactions.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Potential Payments under the Post Holdings, Inc. Executive Severance Plan</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fiscal 2019, under the Executive Severance Plan, Ms. Davenport was eligible for severance benefits in the event of an involuntary termination without “cause” or a termination of employment by her for “good reason” (in the case of both, whether in connection with a change in control of the Company or not). The payment of benefits under the Executive Severance Plan is conditioned upon Ms. Davenport executing a general release of claims that includes confidentiality and cooperation provisions, among other provisions.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Severance Benefits Outside of the Context of a Change in Control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Severance benefits under the Executive Severance Plan consist of:</w:t>
      </w:r>
    </w:p>
    <w:p>
      <w:pPr>
        <w:spacing w:after="0" w:line="131" w:lineRule="exact"/>
        <w:rPr>
          <w:sz w:val="20"/>
          <w:szCs w:val="20"/>
          <w:color w:val="auto"/>
        </w:rPr>
      </w:pPr>
    </w:p>
    <w:p>
      <w:pPr>
        <w:ind w:left="1180" w:right="320" w:hanging="544"/>
        <w:spacing w:after="0" w:line="308" w:lineRule="auto"/>
        <w:tabs>
          <w:tab w:leader="none" w:pos="11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lump sum payment of two times Ms. Davenport’s annual base salary (excluding bonus and incentive compensation) at the time of the qualifying termination, plus an amount equal to two times her then current target annual bonus amount, plus $20,000;</w:t>
      </w:r>
    </w:p>
    <w:p>
      <w:pPr>
        <w:spacing w:after="0" w:line="51" w:lineRule="exact"/>
        <w:rPr>
          <w:rFonts w:ascii="Arial" w:cs="Arial" w:eastAsia="Arial" w:hAnsi="Arial"/>
          <w:sz w:val="17"/>
          <w:szCs w:val="17"/>
          <w:color w:val="auto"/>
        </w:rPr>
      </w:pPr>
    </w:p>
    <w:p>
      <w:pPr>
        <w:ind w:left="1180" w:right="40" w:hanging="544"/>
        <w:spacing w:after="0" w:line="277" w:lineRule="auto"/>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prorated portion of the applicable annual bonus program target award based on the number of full weeks worked during the fiscal year as of the effective date of termination, provided that the performance goals are achieved;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Post contributions toward the cost of COBRA healthcare continuation coverage for up to twelve weeks;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outplacement services for a period to be determined by Post, but not exceeding two years.</w:t>
      </w:r>
    </w:p>
    <w:p>
      <w:pPr>
        <w:spacing w:after="0" w:line="225"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Severance benefits under the Executive Severance Plan are not available if the termination of employment is because of short- or long-term disability or death, as the result of retirement, or in the event of a for cause termination.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Severance Benefits Within the Context of a Change in Control</w:t>
      </w:r>
    </w:p>
    <w:p>
      <w:pPr>
        <w:spacing w:after="0" w:line="117" w:lineRule="exact"/>
        <w:rPr>
          <w:sz w:val="20"/>
          <w:szCs w:val="20"/>
          <w:color w:val="auto"/>
        </w:rPr>
      </w:pPr>
    </w:p>
    <w:p>
      <w:pPr>
        <w:ind w:left="200" w:right="240" w:firstLine="441"/>
        <w:spacing w:after="0" w:line="291" w:lineRule="auto"/>
        <w:rPr>
          <w:sz w:val="20"/>
          <w:szCs w:val="20"/>
          <w:color w:val="auto"/>
        </w:rPr>
      </w:pPr>
      <w:r>
        <w:rPr>
          <w:rFonts w:ascii="Arial" w:cs="Arial" w:eastAsia="Arial" w:hAnsi="Arial"/>
          <w:sz w:val="16"/>
          <w:szCs w:val="16"/>
          <w:color w:val="auto"/>
        </w:rPr>
        <w:t>In the event of an involuntary termination of employment, including by Ms. Davenport for good reason, deemed in connection with a change in control, Ms. Davenport would be eligible to receive a lump sum payment equal to the present value of continuing (a) her salary and (b) the greater of</w:t>
      </w:r>
    </w:p>
    <w:p>
      <w:pPr>
        <w:ind w:left="200" w:firstLine="4"/>
        <w:spacing w:after="0" w:line="323" w:lineRule="auto"/>
        <w:tabs>
          <w:tab w:leader="none" w:pos="415" w:val="left"/>
        </w:tabs>
        <w:numPr>
          <w:ilvl w:val="0"/>
          <w:numId w:val="76"/>
        </w:numPr>
        <w:rPr>
          <w:rFonts w:ascii="Arial" w:cs="Arial" w:eastAsia="Arial" w:hAnsi="Arial"/>
          <w:sz w:val="16"/>
          <w:szCs w:val="16"/>
          <w:color w:val="auto"/>
        </w:rPr>
      </w:pPr>
      <w:r>
        <w:rPr>
          <w:rFonts w:ascii="Arial" w:cs="Arial" w:eastAsia="Arial" w:hAnsi="Arial"/>
          <w:sz w:val="16"/>
          <w:szCs w:val="16"/>
          <w:color w:val="auto"/>
        </w:rPr>
        <w:t>her target bonus for the year in which termination occurred and (ii) her last annual bonus preceding the termination or change in control (whichever is greater) for three years following her involuntary termination of employment, and the payment of other benefits (as described in the next paragraph).</w:t>
      </w:r>
    </w:p>
    <w:p>
      <w:pPr>
        <w:spacing w:after="0" w:line="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Ms. Davenport also would be eligible to receive the following severance benefits: (i) payment in lump sum of the actuarial value of continuation during the applicable period of her participation in each life, health, accident and disability plan in which she was entitled to participate immediately prior to the change in control, (ii) payment of any actual costs and expenses incurred by her for litigation related to the enforcement of the Executive Severance Plan and (iii) payment of up to $20,000 of costs or expenses incurred for outplacement assistance.</w:t>
      </w:r>
    </w:p>
    <w:p>
      <w:pPr>
        <w:spacing w:after="0" w:line="17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Severance benefits under the Executive Severance Plan are not available if the termination of employment is because of short- or long-term disability or death, as the result of retirement, or in the event of a for cause termination.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Potential Payments under the Post Holdings, Inc. Severance Plan for Salary Grade 16 and Above</w:t>
      </w:r>
    </w:p>
    <w:p>
      <w:pPr>
        <w:spacing w:after="0" w:line="117" w:lineRule="exact"/>
        <w:rPr>
          <w:sz w:val="20"/>
          <w:szCs w:val="20"/>
          <w:color w:val="auto"/>
        </w:rPr>
      </w:pPr>
    </w:p>
    <w:p>
      <w:pPr>
        <w:ind w:left="200" w:right="360" w:firstLine="441"/>
        <w:spacing w:after="0" w:line="286" w:lineRule="auto"/>
        <w:rPr>
          <w:sz w:val="20"/>
          <w:szCs w:val="20"/>
          <w:color w:val="auto"/>
        </w:rPr>
      </w:pPr>
      <w:r>
        <w:rPr>
          <w:rFonts w:ascii="Arial" w:cs="Arial" w:eastAsia="Arial" w:hAnsi="Arial"/>
          <w:sz w:val="17"/>
          <w:szCs w:val="17"/>
          <w:color w:val="auto"/>
        </w:rPr>
        <w:t>In fiscal 2019, under the Salary Grade 16 Plan, each of Mr. Cornille and Mr. Rode was eligible for severance benefits in the event of an involuntary termination without “cause.” The payment of benefits under the Salary Grade 16 Plan is conditioned upon Mr. Cornille or Mr. Rode, as applicable, executing a general release of claims that includes confidentiality and cooperation provisions, among other provisions.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Severance Benefits Outside of the Context of a Change in Control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Severance benefits under the Salary Grade 16 Plan consist of:</w:t>
      </w:r>
    </w:p>
    <w:p>
      <w:pPr>
        <w:spacing w:after="0" w:line="131" w:lineRule="exact"/>
        <w:rPr>
          <w:sz w:val="20"/>
          <w:szCs w:val="20"/>
          <w:color w:val="auto"/>
        </w:rPr>
      </w:pPr>
    </w:p>
    <w:p>
      <w:pPr>
        <w:ind w:left="1180" w:right="440" w:hanging="544"/>
        <w:spacing w:after="0" w:line="277" w:lineRule="auto"/>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payment of thirty-nine weeks (plus one week for every year of service) of the executive’s base salary (excluding bonus and incentive compensation) at the time of the qualifying termination;</w:t>
      </w:r>
    </w:p>
    <w:p>
      <w:pPr>
        <w:spacing w:after="0" w:line="75" w:lineRule="exact"/>
        <w:rPr>
          <w:rFonts w:ascii="Arial" w:cs="Arial" w:eastAsia="Arial" w:hAnsi="Arial"/>
          <w:sz w:val="18"/>
          <w:szCs w:val="18"/>
          <w:color w:val="auto"/>
        </w:rPr>
      </w:pPr>
    </w:p>
    <w:p>
      <w:pPr>
        <w:ind w:left="1180" w:hanging="544"/>
        <w:spacing w:after="0" w:line="264" w:lineRule="auto"/>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prorated portion of the applicable annual bonus program target award based on the number of full weeks worked during the fiscal year as of the effective date of termination, provided that Post assesses, at the time of the termination of employment and at its discretion, that the performance criteria are met;</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Post contributions toward the cost of COBRA healthcare continuation coverage for up to twelve weeks;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outplacement services for a period to be determined by Post, but not exceeding two years.</w:t>
      </w:r>
    </w:p>
    <w:p>
      <w:pPr>
        <w:spacing w:after="0" w:line="22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Severance benefits under the Salary Grade 16 Plan are not available if the termination of employment is because of short- or long-term disability or death, as the result of retirement, or in the event of a for cause termination.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Severance Benefits Within the Context of a Change in Control</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Salary Grade 16 Plan also provides that each of Mr. Cornille and Mr. Rode is eligible for severance benefits in the context of a change in control of the Company in combination with his involuntary termination of employment (including for good reason).</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such an event, severance benefits are as described immediately above in the subsection “—Severance Benefits Outside of the Context of a Change in Control,” except that the severance payment consists of seventy-eight weeks of base pay (rather than thirty-nine weeks of base pay), plus one week of base pay for every year of service.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Grant Agreements</w:t>
      </w:r>
    </w:p>
    <w:p>
      <w:pPr>
        <w:spacing w:after="0" w:line="117"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color w:val="auto"/>
        </w:rPr>
        <w:t>Equity awards in respect of Post common stock granted to our named executive officers under the Post 2012 LTIP, the Post 2016 LTIP and the Post 2019 LTIP are subject to special provisions in the event of certain involuntary terminations and/or a change in control (as defined under the applicable award agreement) as described herein. The agreements governing all of our named executive officers’ NQSOs and RSUs issued under</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80"/>
          </w:cols>
          <w:pgMar w:left="24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the Post 2016 LTIP and the Post 2019 LTIP provide that in the event of a qualifying termination, if the executive’s employment with the Company terminates as a result of a sale of the Company or a Company subsidiary, and the acquirer does not agree to assume the award on substantially the same terms, then the award fully vests.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Additional vesting rules for equity awards are as follows:</w:t>
      </w:r>
    </w:p>
    <w:p>
      <w:pPr>
        <w:spacing w:after="0" w:line="131" w:lineRule="exact"/>
        <w:rPr>
          <w:sz w:val="20"/>
          <w:szCs w:val="20"/>
          <w:color w:val="auto"/>
        </w:rPr>
      </w:pPr>
    </w:p>
    <w:p>
      <w:pPr>
        <w:ind w:left="1180" w:right="80" w:hanging="544"/>
        <w:spacing w:after="0" w:line="277" w:lineRule="auto"/>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Equity awards issued to our named executive officers under the Post 2012 LTIP, the Post 2016 LTIP and the Post 2019 LTIP vest in whole or in part upon a termination because of death or disability.</w:t>
      </w:r>
    </w:p>
    <w:p>
      <w:pPr>
        <w:spacing w:after="0" w:line="75" w:lineRule="exact"/>
        <w:rPr>
          <w:rFonts w:ascii="Arial" w:cs="Arial" w:eastAsia="Arial" w:hAnsi="Arial"/>
          <w:sz w:val="18"/>
          <w:szCs w:val="18"/>
          <w:color w:val="auto"/>
        </w:rPr>
      </w:pPr>
    </w:p>
    <w:p>
      <w:pPr>
        <w:jc w:val="both"/>
        <w:ind w:left="1180" w:right="100" w:hanging="544"/>
        <w:spacing w:after="0" w:line="302" w:lineRule="auto"/>
        <w:tabs>
          <w:tab w:leader="none" w:pos="11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Under an RSU award made to Mr. Rode on June 17, 2014 under the Post 2012 LTIP and which is scheduled to be fully vested on July 17, 2024, if Mr. Rode’s employment had been terminated by the Company or another Post affiliate without cause in fiscal 2019, any unvested RSUs would have become vested. This accelerated vesting provision also would apply if Mr. Rode’s employment with the Company or a subsidiary of the Company had terminated as a result of the sale of the Company or a subsidiary of the Company.</w:t>
      </w:r>
    </w:p>
    <w:p>
      <w:pPr>
        <w:spacing w:after="0" w:line="154"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Vested stock options granted under the Post 2016 LTIP will remain exercisable until the earlier of: six months from the date of termination of employment (except in the case of death or disability, where such options remain exercisable for three years from the date of death or termination due to disability), or the expiration of the award under its terms.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11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The named executive officers are permitted to participate in the Post Holdings, Inc. Deferred Compensation Plan for Key Employees and the Post Holdings, Inc. Executive Savings Investment Plan. These nonqualified plans permit participants to file elections to receive distributions of account balances upon (a) a separation from service, which generally includes retirement, termination of employment or death, or (b) on specified future dates.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Our employees, including our named executive officers, currently participate in various health and welfare employee benefits under plans sponsored by Post. These plans offer benefits including medical, dental and vision coverage; life insurance, accidental death and dismemberment and disability coverage; and flexible spending accounts, among others. It is anticipated that they will continue participating in some or all of these plans following the completion of this offering, at least initially, and that the Company will offer certain benefits under its own plans effective in the months following completion of the offering.</w:t>
      </w:r>
    </w:p>
    <w:p>
      <w:pPr>
        <w:spacing w:after="0" w:line="188"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For details regarding the treatment of compensation and employee benefits in connection with the completion of this offering, see “Certain Relationships and Related Party Transactions—Post-Offering Relationship with Post—Employee Matters Agreement.”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BellRing Brands, Inc. 2019 Long-Term Incentive Plan</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Board of Directors and our sole stockholder, Post, approved the 2019 LTIP, which permits us to grant equity, equity-based and cash-based incentive awards to our employees, directors, managers, consultants and advisors. We do not expect to make any awards pursuant to the 2019 LTIP prior to the completion of this offering. The following is a summary of the material terms of the 2019 LTIP. This summary is qualified in its entirety by reference to the 2019 LTIP attached as an exhibit to the registration statement, of which this prospectus is a part. For purposes of this description of the 2019 LTIP, the term “non-employee director” is defined as provided in Rule 16b-3 of the Exchange Act.</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00"/>
          </w:cols>
          <w:pgMar w:left="24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Purpose</w:t>
      </w:r>
    </w:p>
    <w:p>
      <w:pPr>
        <w:spacing w:after="0" w:line="117"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The purpose of the 2019 LTIP is to attract, retain and motivate participants by offering such individuals opportunities to realize stock price appreciation, by facilitating stock ownership and/or by rewarding them for achieving a high level of performance.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Administration</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Corporate Governance and Compensation Committee of the Board of Directors or another committee designated by our Board of Directors (the “Committee”) will administer the 2019 LTIP and grant awards under the 2019 LTIP. Subject to the terms of the 2019 LTIP, the Committee’s charter and applicable laws, the Committee or its delegate, or the full Board of Directors, will have the authority to interpret and administer the 2019 LTIP, make awards thereunder and prescribe the terms and conditions thereof.</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Eligibility</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Any of our service providers, including any of our employees, directors, managers, consultants or advisors, are eligible to participate in the 2019 LTIP at the discretion of the Committee (or the Board of Directors, as the case may be).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Types of Awards</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The Committee has the discretion to award stock options (both nonqualified and incentive stock options), stock appreciation rights</w:t>
      </w:r>
      <w:r>
        <w:rPr>
          <w:rFonts w:ascii="Arial" w:cs="Arial" w:eastAsia="Arial" w:hAnsi="Arial"/>
          <w:sz w:val="17"/>
          <w:szCs w:val="17"/>
          <w:i w:val="1"/>
          <w:iCs w:val="1"/>
          <w:color w:val="auto"/>
        </w:rPr>
        <w:t xml:space="preserve"> </w:t>
      </w:r>
      <w:r>
        <w:rPr>
          <w:rFonts w:ascii="Arial" w:cs="Arial" w:eastAsia="Arial" w:hAnsi="Arial"/>
          <w:sz w:val="17"/>
          <w:szCs w:val="17"/>
          <w:color w:val="auto"/>
        </w:rPr>
        <w:t>(“SARs”), performance shares, restricted stock, RSUs and other stock-based and cash-based awards. Each award will be evidenced by an agreement, certificate or other instrument or document setting forth the terms and conditions of the award, including any applicable performance criteria and period, service based or other vesting criteria or conditions on the award, and events of forfeiture. The term of the award for participants located in the U.S. will not exceed ten years. All awards will be non-transferable unless the Company permits the recipient to transfer an award not for value. No award may be exercised for a fraction of a share of Class A common stock. The exercise price applicable to stock options and stock appreciation rights will equal or exceed the fair market value of a share of our Class A common stock on the date of grant. The exercise price and/or any applicable withholding taxes with respect to any award, if the Committee so permits and upon such terms as the Committee approves, may be satisfied (a) in cash or certified bank check, (b) through delivery or tender to the Company of shares held, either actually or by attestation, by the recipient, (c) through a net or cashless form of settlement or (d) through a combination of (a), (b) and/or (c). Further, the Committee may, in its discretion, approve other methods or forms of payment and establish rules and procedures therefor. Recipients holding awards other than shares of restricted stock or RSUs will generally have no dividend or dividend-equivalent rights with respect to the shares of Class A common stock underlying the awards, and except as otherwise determined by the Committee, dividends or dividend equivalents provided for with respect to awards of restricted stock or RSUs will generally be subject to the same restrictions and conditions as the award generally and shall be payable only if and no earlier than at the same time as the underlying restricted stock or RSUs become vested.</w:t>
      </w:r>
    </w:p>
    <w:p>
      <w:pPr>
        <w:spacing w:after="0" w:line="183"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The Committee may provide, in its discretion, that an award granted to a recipient is subject to the achievement of performance criteria, which shall be established by the Committee relating to one or more business criteria. Performance criteria may be applied to BellRing Brands, Inc., an affiliate, a parent, subsidiary, division, business unit or corporate group or an individual or any combination thereof and may be measured in absolute levels or relative to another company or companies, a peer group, an index or indices or Company performance in a previous period. Performance may be measured over such period of time as determined by the Committee. Performance goals that may be used to establish performance criteria are: free cash flow, adjusted free cash flow, base-business net sales, total segment profit, adjusted EBIT/EBITDA, adjusted diluted earnings per share, adjusted gross profit, adjusted operating profit, earnings or earnings per share before income tax (profit before taxes), net earnings or net earnings per share (profit after tax), compound annual growth in earnings per</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00"/>
          </w:cols>
          <w:pgMar w:left="24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80"/>
        <w:spacing w:after="0" w:line="264" w:lineRule="auto"/>
        <w:rPr>
          <w:sz w:val="20"/>
          <w:szCs w:val="20"/>
          <w:color w:val="auto"/>
        </w:rPr>
      </w:pPr>
      <w:r>
        <w:rPr>
          <w:rFonts w:ascii="Arial" w:cs="Arial" w:eastAsia="Arial" w:hAnsi="Arial"/>
          <w:sz w:val="18"/>
          <w:szCs w:val="18"/>
          <w:color w:val="auto"/>
        </w:rPr>
        <w:t>share, operating income, total shareholder return, compound shareholder return, market share, return on equity, average return on invested capital, pre-tax and pre-interest expense return on average invested capital, which may be expressed on a current value basis, or sales growth, marketing, operating or workplan goals.</w:t>
      </w:r>
    </w:p>
    <w:p>
      <w:pPr>
        <w:spacing w:after="0" w:line="18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With respect to incentive stock options, a recipient may not hold incentive stock options with a fair market value in excess of $100,000 in the year in which they are first exercisable, if this limitation is necessary to qualify the option as an incentive stock option. If, upon the grant of an incentive stock option, the recipient possesses more than 10% of the total combined voting power of all of the classes of stock of the Company, the option price for the incentive stock option will be at least 110% of the fair market value of the shares of Class A common stock subject to the option on the grant date, and the option will expire five years after the grant date. Incentive stock options may only be granted to employees of the Company. The Company has no liability to any recipient or other person if an option designated as an incentive stock option fails to qualify as such.</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Accelerated Vesting; Change in Control</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Each award will vest in whole or in part on terms provided in the award agreement. The 2019 LTIP provides that an award may permit acceleration of vesting requirements and acceleration of the expiration of the applicable term upon such terms and conditions as shall be set forth in the award. The 2019 LTIP provides for “double trigger” rather than “single trigger” accelerated vesting, meaning awards will be accelerated as the result of a change in control where the participant’s employment is involuntarily terminated or the participant terminates for “good reason” in connection with a change in control, or upon a Committee determination that such acceleration is in the best interests of the Company. With respect to performance-based awards, all performance goals will be either deemed achieved at 100% target levels and adjusted pro-rata based on the applicable performance period, or vested based upon actual performance levels, or the greater of target and pro-rated or actual performance. The Committee also may permit acceleration of vesting of such awards in certain events, including in the event of the participant’s death, disability or retirement.</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purposes of the 2019 LTIP, a change in control does not include any direct or indirect spin-off, split-off or similar transaction involving</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BellRing Brands, Inc. securities by any stockholder of BellRing Brands, Inc. to such stockholder’s stockholders and is otherwise limited to:</w:t>
      </w:r>
    </w:p>
    <w:p>
      <w:pPr>
        <w:spacing w:after="0" w:line="116" w:lineRule="exact"/>
        <w:rPr>
          <w:sz w:val="20"/>
          <w:szCs w:val="20"/>
          <w:color w:val="auto"/>
        </w:rPr>
      </w:pPr>
    </w:p>
    <w:p>
      <w:pPr>
        <w:ind w:left="1180" w:hanging="544"/>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replacement of a majority of the incumbent board;</w:t>
      </w:r>
    </w:p>
    <w:p>
      <w:pPr>
        <w:spacing w:after="0" w:line="130" w:lineRule="exact"/>
        <w:rPr>
          <w:rFonts w:ascii="Arial" w:cs="Arial" w:eastAsia="Arial" w:hAnsi="Arial"/>
          <w:sz w:val="18"/>
          <w:szCs w:val="18"/>
          <w:color w:val="auto"/>
        </w:rPr>
      </w:pPr>
    </w:p>
    <w:p>
      <w:pPr>
        <w:ind w:left="1180" w:right="100" w:hanging="544"/>
        <w:spacing w:after="0" w:line="342" w:lineRule="auto"/>
        <w:tabs>
          <w:tab w:leader="none" w:pos="11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acquisition or beneficial ownership of the right to direct the vote with respect to more than 50% of the combined voting power of the then outstanding securities of BellRing Brands, Inc. entitled to vote generally in the election of directors (“Voting Control”), excluding:</w:t>
      </w:r>
    </w:p>
    <w:p>
      <w:pPr>
        <w:spacing w:after="0" w:line="29" w:lineRule="exact"/>
        <w:rPr>
          <w:rFonts w:ascii="Arial" w:cs="Arial" w:eastAsia="Arial" w:hAnsi="Arial"/>
          <w:sz w:val="16"/>
          <w:szCs w:val="16"/>
          <w:color w:val="auto"/>
        </w:rPr>
      </w:pPr>
    </w:p>
    <w:p>
      <w:pPr>
        <w:ind w:left="1620" w:hanging="430"/>
        <w:spacing w:after="0"/>
        <w:tabs>
          <w:tab w:leader="none" w:pos="16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direct or indirect acquisition or beneficial ownership by BellRing Brands, Inc., Post or any of its or their subsidiaries;</w:t>
      </w:r>
    </w:p>
    <w:p>
      <w:pPr>
        <w:spacing w:after="0" w:line="130" w:lineRule="exact"/>
        <w:rPr>
          <w:rFonts w:ascii="Arial" w:cs="Arial" w:eastAsia="Arial" w:hAnsi="Arial"/>
          <w:sz w:val="18"/>
          <w:szCs w:val="18"/>
          <w:color w:val="auto"/>
        </w:rPr>
      </w:pPr>
    </w:p>
    <w:p>
      <w:pPr>
        <w:ind w:left="1620" w:right="20" w:hanging="430"/>
        <w:spacing w:after="0" w:line="342" w:lineRule="auto"/>
        <w:tabs>
          <w:tab w:leader="none" w:pos="1620"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direct or indirect acquisition or beneficial ownership of additional securities of BellRing Brands, Inc. entitled to vote generally in the election of directors or of the right to direct such vote by a person that already beneficially owns Voting Control; or</w:t>
      </w:r>
    </w:p>
    <w:p>
      <w:pPr>
        <w:spacing w:after="0" w:line="29" w:lineRule="exact"/>
        <w:rPr>
          <w:rFonts w:ascii="Arial" w:cs="Arial" w:eastAsia="Arial" w:hAnsi="Arial"/>
          <w:sz w:val="16"/>
          <w:szCs w:val="16"/>
          <w:color w:val="auto"/>
        </w:rPr>
      </w:pPr>
    </w:p>
    <w:p>
      <w:pPr>
        <w:ind w:left="1620" w:hanging="430"/>
        <w:spacing w:after="0"/>
        <w:tabs>
          <w:tab w:leader="none" w:pos="16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acquisition or beneficial ownership by any employee benefit plan (or related trust);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consummation of a reorganization, merger, share exchange or consolidation (an “LTIP Business Combination”), unless:</w:t>
      </w:r>
    </w:p>
    <w:p>
      <w:pPr>
        <w:spacing w:after="0" w:line="130" w:lineRule="exact"/>
        <w:rPr>
          <w:rFonts w:ascii="Arial" w:cs="Arial" w:eastAsia="Arial" w:hAnsi="Arial"/>
          <w:sz w:val="18"/>
          <w:szCs w:val="18"/>
          <w:color w:val="auto"/>
        </w:rPr>
      </w:pPr>
    </w:p>
    <w:p>
      <w:pPr>
        <w:ind w:left="1620" w:right="100" w:hanging="430"/>
        <w:spacing w:after="0" w:line="264" w:lineRule="auto"/>
        <w:tabs>
          <w:tab w:leader="none" w:pos="16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or substantially all of the beneficial owners of Voting Control immediately prior to such LTIP Business Combination continue to beneficially own the right to direct the vote with respect to more than 50% of the combined voting power of the then outstanding securities of the entity resulting from the LTIP Business Combination;</w:t>
      </w:r>
    </w:p>
    <w:p>
      <w:pPr>
        <w:spacing w:after="0" w:line="86" w:lineRule="exact"/>
        <w:rPr>
          <w:rFonts w:ascii="Arial" w:cs="Arial" w:eastAsia="Arial" w:hAnsi="Arial"/>
          <w:sz w:val="18"/>
          <w:szCs w:val="18"/>
          <w:color w:val="auto"/>
        </w:rPr>
      </w:pPr>
    </w:p>
    <w:p>
      <w:pPr>
        <w:ind w:left="1620" w:right="180" w:hanging="430"/>
        <w:spacing w:after="0" w:line="277" w:lineRule="auto"/>
        <w:tabs>
          <w:tab w:leader="none" w:pos="16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after the LTIP Business Combination, no person beneficially owns the right to direct the vote with respect to more than 50% of the combined voting power of the then outstanding securities of the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40" w:right="520"/>
        <w:spacing w:after="0" w:line="277" w:lineRule="auto"/>
        <w:rPr>
          <w:sz w:val="20"/>
          <w:szCs w:val="20"/>
          <w:color w:val="auto"/>
        </w:rPr>
      </w:pPr>
      <w:r>
        <w:rPr>
          <w:rFonts w:ascii="Arial" w:cs="Arial" w:eastAsia="Arial" w:hAnsi="Arial"/>
          <w:sz w:val="18"/>
          <w:szCs w:val="18"/>
          <w:color w:val="auto"/>
        </w:rPr>
        <w:t>entity resulting from the LTIP Business Combination, unless such person beneficially owned Voting Control prior to the LTIP Business Combination; and</w:t>
      </w:r>
    </w:p>
    <w:p>
      <w:pPr>
        <w:spacing w:after="0" w:line="76" w:lineRule="exact"/>
        <w:rPr>
          <w:sz w:val="20"/>
          <w:szCs w:val="20"/>
          <w:color w:val="auto"/>
        </w:rPr>
      </w:pPr>
    </w:p>
    <w:p>
      <w:pPr>
        <w:ind w:left="1620" w:right="20" w:hanging="430"/>
        <w:spacing w:after="0" w:line="264" w:lineRule="auto"/>
        <w:tabs>
          <w:tab w:leader="none" w:pos="16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at least a majority of the members of the board of directors resulting from the LTIP Business Combination were incumbent members of the board of directors at the time of the initial agreement or action of the Board of Directors approving such LTIP Business Combination;</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sale or other disposition of all or substantially all of the assets of the Company; or</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stockholders of the Company approve a plan to liquidate or dissolve the Company.</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Notwithstanding the foregoing, a change in control will not have occurred with respect to any award that is subject to Section 409A of the Code to the extent necessary to avoid adverse tax consequences thereunder, unless the transaction constitutes a “change in control event” under Section 409A of the Code.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Award Limits</w:t>
      </w:r>
    </w:p>
    <w:p>
      <w:pPr>
        <w:spacing w:after="0" w:line="117" w:lineRule="exact"/>
        <w:rPr>
          <w:sz w:val="20"/>
          <w:szCs w:val="20"/>
          <w:color w:val="auto"/>
        </w:rPr>
      </w:pPr>
    </w:p>
    <w:p>
      <w:pPr>
        <w:ind w:left="200" w:right="140" w:firstLine="441"/>
        <w:spacing w:after="0" w:line="288" w:lineRule="auto"/>
        <w:rPr>
          <w:sz w:val="20"/>
          <w:szCs w:val="20"/>
          <w:color w:val="auto"/>
        </w:rPr>
      </w:pPr>
      <w:r>
        <w:rPr>
          <w:rFonts w:ascii="Arial" w:cs="Arial" w:eastAsia="Arial" w:hAnsi="Arial"/>
          <w:sz w:val="16"/>
          <w:szCs w:val="16"/>
          <w:color w:val="auto"/>
        </w:rPr>
        <w:t>The 2019 LTIP is the Company’s only equity compensation plan with shares available for future award grants. There are 2,000,000 shares of our Class A common stock available for use under the 2019 LTIP. No more than 2,000,000 shares of Class A common stock may be granted as incentive stock options. Shares of Class A common stock issued under the 2019 LTIP may be authorized and unissued shares or treasury shares. The following shares of Class A common stock may not again be made available for issuance as awards: shares not issued as a result of the net settlement of an outstanding SAR or stock option; shares used to pay the exercise price or withholding taxes related to an outstanding award; or shares repurchased on the open market with the proceeds of a stock option exercise price. The following will not be applied to the share limitations above: any shares subject to an award under the 2019 LTIP to the extent the shares are not used because the award is forfeited, canceled, terminated, expired or lapsed for any reason; and shares and any awards that are granted through the settlement, assumption or substitution of outstanding awards previously granted, or through obligations to grant future awards, as a result of a merger, spin-off, consolidation or acquisition of the employing company with or by us. If an award is settled in cash, the number of shares of Class A common stock on which the award is based will not count toward the above share limits.</w:t>
      </w:r>
    </w:p>
    <w:p>
      <w:pPr>
        <w:spacing w:after="0" w:line="16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No participant will be granted (i) options to purchase shares of Class A common stock and SARs with respect to more than 2,000,000 shares in the aggregate, (ii) any other awards with respect to more than 2,000,000 shares of Class A common stock in the aggregate (or, in the event such award denominated or expressed in terms of number of shares of Class A common stock is paid in cash, the equivalent cash value) or (iii) any cash bonus award not denominated or expressed in terms of number of shares of Class A common stock with a value that exceeds $10,000,000 in the aggregate, in each case, in any twelve-month period under the 2019 LTIP. In addition, for any one non-employee director, the aggregate grant date fair value of awards granted during any calendar year, together with any cash retainers payable to the director and any Company matching contributions credited to the director’s nonqualified deferred compensation account for that calendar year, cannot exceed $500,000 (or $700,000 for a non-employee chairperson of the Board of Directors).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Amendment, Modification and Termination</w:t>
      </w:r>
    </w:p>
    <w:p>
      <w:pPr>
        <w:spacing w:after="0" w:line="117"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Subject to the terms of the 2019 LTIP, our Board of Directors may at any time amend, modify or suspend the 2019 LTIP, and the Committee may at any time alter or amend any or all awards under the 2019 LTIP to the extent permitted by law. Any alterations or amendments may be made unilaterally by the Committee, subject to the provisions of the 2019 LTIP, unless such amendments are deemed by the Committee to be materially adverse to the participants and are not required as a matter of law. Amendments are subject to approval of the stockholders of the Company only as required by law, or if the amendment increases the total number of shares of Class A common stock available under the 2019 LTIP, except as adjusted for specified changes in capitalization. The 2019 LTIP shall remain in effect for a term of ten years following September 30, 2019, the date on which it became effective, or until all shares of Class A common stock subject to the 2019 LTIP shall</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00"/>
          </w:cols>
          <w:pgMar w:left="24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have been purchased or acquired according to the 2019 LTIP provisions, whichever occurs first, unless the 2019 LTIP is sooner terminated pursuant to its complete terms.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Certain U.S. Federal Income Tax Consequences</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following is a summary of the U.S. federal income tax consequences that generally will arise with respect to awards that may be granted under the 2019 LTIP. This summary is based upon the provisions of the Code and regulations promulgated thereunder, as in effect on the date of this prospectus. Changes in the law may modify this discussion, and in some cases, the changes may be retroactive. Further, this summary is not intended to be a complete discussion of all of the federal income tax consequences associated with the 2019 LTIP. Accordingly, for precise advice as to any specific transaction or set of circumstances, participants should consult with their own tax and legal advisors. Participants also should consult with their own tax and legal advisors regarding the application of any state, local and foreign taxes and any federal gift, estate and inheritance taxes.</w:t>
      </w:r>
    </w:p>
    <w:p>
      <w:pPr>
        <w:spacing w:after="0" w:line="165"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Some options may constitute “incentive stock options” within the meaning of Section 422 of the Code. If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grants an incentive stock option, the recipient will not be required to recognize income upon the grant of the incentive stock option, and the Company will not be allowed to take a deduction.</w:t>
      </w:r>
    </w:p>
    <w:p>
      <w:pPr>
        <w:spacing w:after="0" w:line="18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Similarly, when the recipient exercises any incentive stock options, provided the recipient has not ceased to be an employee for more than three months before the date of exercise, the recipient will not be required to recognize income, and the Company will not be allowed to take a deduction. For purposes of the alternative minimum tax, however, the amount by which the aggregate fair market value of the Class A common stock acquired on exercise of an incentive stock option exceeds the exercise price of that option generally will be an adjustment included in the recipient’s alternative minimum taxable income for the year in which the incentive stock option is exercised. The Code imposes an alternative minimum tax on a taxpayer whose alternative minimum taxable income, as defined in Section 55(b)(2) of the Code, exceeds the taxpayer’s adjusted gross income.</w:t>
      </w:r>
    </w:p>
    <w:p>
      <w:pPr>
        <w:spacing w:after="0" w:line="165"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Additional tax consequences will depend upon how long recipients hold the shares of the Class A common stock received after exercising the incentive stock options. If a recipient holds the shares for more than two years from the date of grant and one year from the date of exercise of the option, upon disposition of the shares, the recipient will not recognize any ordinary income, and the Company will not be allowed to take a deduction. However, the difference between the amount the recipient realizes upon disposition of the shares and the basis (i.e., the amount the recipient paid upon exercise of the incentive stock option) in those shares will be taxed as a long-term capital gain or loss.</w:t>
      </w:r>
    </w:p>
    <w:p>
      <w:pPr>
        <w:spacing w:after="0" w:line="17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If the recipient disposes of shares of Class A common stock acquired upon exercise of an incentive stock option which he or she has held for less than two years from the date of grant or one year from the date of exercise, the recipient generally will recognize ordinary income in the year of the disposition. To calculate the amount of ordinary income that must be recognized upon such a disposition, the recipient must make the following determinations and calculations:</w:t>
      </w:r>
    </w:p>
    <w:p>
      <w:pPr>
        <w:spacing w:after="0" w:line="92" w:lineRule="exact"/>
        <w:rPr>
          <w:sz w:val="20"/>
          <w:szCs w:val="20"/>
          <w:color w:val="auto"/>
        </w:rPr>
      </w:pPr>
    </w:p>
    <w:p>
      <w:pPr>
        <w:ind w:left="1180" w:right="100" w:hanging="544"/>
        <w:spacing w:after="0" w:line="277" w:lineRule="auto"/>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determine which is smaller: the amount realized on disposition of the shares or the fair market value of the shares on the date of exercise; and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next, subtract the basis in those shares from the smaller amount. This is the amount of ordinary income that the recipient must recognize.</w:t>
      </w:r>
    </w:p>
    <w:p>
      <w:pPr>
        <w:spacing w:after="0" w:line="248"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To the extent that the recipient recognizes ordinary income, the Company is allowed to take a deduction. In addition, the recipient must recognize as short-term or long-term capital gain, depending on whether the holding period for the shares exceeds one year, any amount that the recipient realizes upon disposition of those shares which exceeds the fair market value of those shares on the date the recipient exercised the option. The recipient</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60"/>
          </w:cols>
          <w:pgMar w:left="240" w:top="459" w:right="4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will recognize a short-term or long-term capital loss, depending on whether the holding period for the shares exceeds one year, to the extent the basis in the shares exceeds the amount realized upon disposition of those shares.</w:t>
      </w:r>
    </w:p>
    <w:p>
      <w:pPr>
        <w:spacing w:after="0" w:line="170"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auto"/>
        </w:rPr>
        <w:t>As noted above, the excess of the fair market value of the shares of Class A common stock at the time the recipient exercises his or her incentive stock option over the exercise price for the shares is a tax adjustment item for the purposes of the alternative minimum tax.</w:t>
      </w:r>
    </w:p>
    <w:p>
      <w:pPr>
        <w:spacing w:after="0" w:line="14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Non-Qualified Stock Options</w:t>
      </w:r>
      <w:r>
        <w:rPr>
          <w:rFonts w:ascii="Arial" w:cs="Arial" w:eastAsia="Arial" w:hAnsi="Arial"/>
          <w:sz w:val="18"/>
          <w:szCs w:val="18"/>
          <w:color w:val="auto"/>
        </w:rPr>
        <w:t>. If the recipient receives a NQSO, the recipient will not recognize income at the time of the grant of the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the recipient will recognize ordinary income upon the exercise of the NQSO. The amount of ordinary income recognized equals the difference between (a) the fair market value of the Class A common stock on the date of exercise and (b) the exercise price. The Company will be entitled to a deduction in the same amount. The ordinary income the recipient recognizes will be subject to applicable tax withholding by the Company. When the recipient sells these shares, any difference between the sales price and the basis (i.e., the exercise price plus the ordinary income recognized by the recipient) will be treated as a capital gain or loss.</w:t>
      </w:r>
    </w:p>
    <w:p>
      <w:pPr>
        <w:spacing w:after="0" w:line="193"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Unless a timely Section 83(b) election is made as described in the following paragraph, a recipient generally will not recognize</w:t>
      </w:r>
      <w:r>
        <w:rPr>
          <w:rFonts w:ascii="Arial" w:cs="Arial" w:eastAsia="Arial" w:hAnsi="Arial"/>
          <w:sz w:val="16"/>
          <w:szCs w:val="16"/>
          <w:i w:val="1"/>
          <w:iCs w:val="1"/>
          <w:color w:val="auto"/>
        </w:rPr>
        <w:t xml:space="preserve"> </w:t>
      </w:r>
      <w:r>
        <w:rPr>
          <w:rFonts w:ascii="Arial" w:cs="Arial" w:eastAsia="Arial" w:hAnsi="Arial"/>
          <w:sz w:val="16"/>
          <w:szCs w:val="16"/>
          <w:color w:val="auto"/>
        </w:rPr>
        <w:t>taxable income upon the grant of restricted stock because the restricted stock generally will be nontransferable and subject to a substantial risk of forfeiture. A recipient will recognize ordinary income when the restrictions that impose a substantial risk of forfeiture of the shares of Class A common stock or the transfer restrictions lapse. The amount recognized will be equal to the difference between the fair market value of the shares at this time and the original purchase price paid for the shares, if any. The ordinary income recognized by a recipient with respect to restricted stock awarded under the 2019 LTIP will be subject to applicable tax withholding by the Company. If a timely Section 83(b) election has not been made, any dividends received with respect to Class A common stock subject to such restrictions will be treated as additional compensation income and not as dividend income.</w:t>
      </w:r>
    </w:p>
    <w:p>
      <w:pPr>
        <w:spacing w:after="0" w:line="16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 recipient may elect, pursuant to Section 83(b) of the Code, to recognize as ordinary income the fair market value of the restricted stock upon grant, notwithstanding that the restricted stock would otherwise not be includable in gross income at that time. If the election is made within 30 days of the date of grant, then the recipient would include in gross income an amount equal to the difference between the fair market value of the restricted stock on the date of grant and the purchase price paid for the restricted stock, if any. Any change in the value of the shares after the date of grant will be taxed as a capital gain or capital loss only if and when the shares are disposed of by the recipient. If the Section 83(b) election is made, the recipient’s capital gains holding period begins on the date of grant.</w:t>
      </w:r>
    </w:p>
    <w:p>
      <w:pPr>
        <w:spacing w:after="0" w:line="193"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Section 83(b) election is irrevocable. If a Section 83(b) election is made and the recipient then forfeits the restricted stock, the recipient may not deduct as a loss the amount previously included in gross income.</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recipient’s tax basis in shares of restricted stock received pursuant to the 2019 LTIP will be equal to the sum of the amount (if any) the recipient paid for the Class A common stock and the amount of ordinary income recognized by the recipient as a result of making a Section 83(b) election or upon the lapse of the restrictions. Unless a Section 83(b) election is made, the recipient’s holding period for the shares for purposes of determining gain or loss on a subsequent sale will begin on the date the restrictions lapse.</w:t>
      </w:r>
    </w:p>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general, the Company will be entitled to a deduction at the same time and in an amount equal to the ordinary income recognized by a recipient with respect to shares of restricted stock awarded pursuant to the 2019 LTIP.</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If, subsequent to the lapse of the restrictions on the shares, the recipient sells the shares, the difference, if any, between the amount realized from the sale and the tax basis of the shares to the recipient will be taxed as a capital gain or capital loss.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240" w:top="460"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i w:val="1"/>
          <w:iCs w:val="1"/>
          <w:color w:val="auto"/>
        </w:rPr>
        <w:t>Stock Appreciation Rights / Performance Shares / Restricted Stock Units</w:t>
      </w:r>
      <w:r>
        <w:rPr>
          <w:rFonts w:ascii="Arial" w:cs="Arial" w:eastAsia="Arial" w:hAnsi="Arial"/>
          <w:sz w:val="17"/>
          <w:szCs w:val="17"/>
          <w:color w:val="auto"/>
        </w:rPr>
        <w:t>. A recipient generally will not recognize taxable income upon the grant</w:t>
      </w:r>
      <w:r>
        <w:rPr>
          <w:rFonts w:ascii="Arial" w:cs="Arial" w:eastAsia="Arial" w:hAnsi="Arial"/>
          <w:sz w:val="17"/>
          <w:szCs w:val="17"/>
          <w:i w:val="1"/>
          <w:iCs w:val="1"/>
          <w:color w:val="auto"/>
        </w:rPr>
        <w:t xml:space="preserve"> </w:t>
      </w:r>
      <w:r>
        <w:rPr>
          <w:rFonts w:ascii="Arial" w:cs="Arial" w:eastAsia="Arial" w:hAnsi="Arial"/>
          <w:sz w:val="17"/>
          <w:szCs w:val="17"/>
          <w:color w:val="auto"/>
        </w:rPr>
        <w:t>of SARs, performance shares or RSUs. Instead, a recipient will recognize as ordinary income, and the Company will have a corresponding deduction of, any cash delivered and the fair market value of any Class A common stock delivered in payment of an amount due under the SAR, performance share or RSU award. The ordinary income the recipient recognizes will be subject to applicable tax withholding by the Company.</w:t>
      </w:r>
    </w:p>
    <w:p>
      <w:pPr>
        <w:spacing w:after="0" w:line="17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Upon selling any Class A common stock received by a recipient in payment of an amount due under a SAR, performance share or RSU award, the recipient generally will recognize a capital gain or loss in an amount equal to the difference between the sale price of the Class A common stock and the recipient’s tax basis in the Class A common stock (i.e., the ordinary income recognized by the recipient).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Other Stock-Based and Cash-Based Awards</w:t>
      </w:r>
      <w:r>
        <w:rPr>
          <w:rFonts w:ascii="Arial" w:cs="Arial" w:eastAsia="Arial" w:hAnsi="Arial"/>
          <w:sz w:val="16"/>
          <w:szCs w:val="16"/>
          <w:color w:val="auto"/>
        </w:rPr>
        <w:t>. The tax consequences associated with any other stock-based or cash-based award granted under the</w:t>
      </w:r>
    </w:p>
    <w:p>
      <w:pPr>
        <w:spacing w:after="0" w:line="46" w:lineRule="exact"/>
        <w:rPr>
          <w:sz w:val="20"/>
          <w:szCs w:val="20"/>
          <w:color w:val="auto"/>
        </w:rPr>
      </w:pPr>
    </w:p>
    <w:p>
      <w:pPr>
        <w:jc w:val="both"/>
        <w:ind w:left="200" w:right="20"/>
        <w:spacing w:after="0" w:line="255" w:lineRule="auto"/>
        <w:rPr>
          <w:sz w:val="20"/>
          <w:szCs w:val="20"/>
          <w:color w:val="auto"/>
        </w:rPr>
      </w:pPr>
      <w:r>
        <w:rPr>
          <w:rFonts w:ascii="Arial" w:cs="Arial" w:eastAsia="Arial" w:hAnsi="Arial"/>
          <w:sz w:val="18"/>
          <w:szCs w:val="18"/>
          <w:color w:val="auto"/>
        </w:rPr>
        <w:t>2019 LTIP will vary depending on the specific terms of the award, including whether the award has a readily ascertainable fair market value, whether or not the award is subject to forfeiture provisions or restrictions on transfer, the nature of the property to be received by the recipient under the award, any applicable holding period and the recipient’s tax basis.</w:t>
      </w:r>
    </w:p>
    <w:p>
      <w:pPr>
        <w:spacing w:after="0" w:line="190"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i w:val="1"/>
          <w:iCs w:val="1"/>
          <w:color w:val="auto"/>
        </w:rPr>
        <w:t>Section 409A of the Code</w:t>
      </w:r>
      <w:r>
        <w:rPr>
          <w:rFonts w:ascii="Arial" w:cs="Arial" w:eastAsia="Arial" w:hAnsi="Arial"/>
          <w:sz w:val="16"/>
          <w:szCs w:val="16"/>
          <w:color w:val="auto"/>
        </w:rPr>
        <w:t>. Pursuant to Section 409A of the Code, significant restrictions have been imposed on the ability to defer the taxation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including, without limitation, the deferral of income pursuant to some of the arrangements described herein (e.g., performance shares). Violation of Section 409A of the Code triggers immediate inclusion in income and application of income and additional taxes.</w:t>
      </w:r>
    </w:p>
    <w:p>
      <w:pPr>
        <w:spacing w:after="0" w:line="14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i w:val="1"/>
          <w:iCs w:val="1"/>
          <w:color w:val="auto"/>
        </w:rPr>
        <w:t>Section 280G of the Code and Section 4999 of the Code</w:t>
      </w:r>
      <w:r>
        <w:rPr>
          <w:rFonts w:ascii="Arial" w:cs="Arial" w:eastAsia="Arial" w:hAnsi="Arial"/>
          <w:sz w:val="16"/>
          <w:szCs w:val="16"/>
          <w:color w:val="auto"/>
        </w:rPr>
        <w:t>. Under Section 280G of the Code and Section 4999 of the Code, the Company is</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prohibited from deducting any “excess parachute payment” to an individual, and the individual must pay a 20% excise tax on any “excess parachute payment.” An individual’s “parachute payments” which exceed his or her average annual compensation will generally be treated as “excess parachute payments” if the present value of such payments equals or exceeds three times the individual’s average annual compensation. A payment generally may be considered a “parachute payment” if it is contingent on a change in control of the Company, as defined in Sections 280G and 4999 of the Code.</w:t>
      </w:r>
    </w:p>
    <w:p>
      <w:pPr>
        <w:spacing w:after="0" w:line="158"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i w:val="1"/>
          <w:iCs w:val="1"/>
          <w:color w:val="auto"/>
        </w:rPr>
        <w:t>Non-U.S. Taxpayers</w:t>
      </w:r>
      <w:r>
        <w:rPr>
          <w:rFonts w:ascii="Arial" w:cs="Arial" w:eastAsia="Arial" w:hAnsi="Arial"/>
          <w:sz w:val="18"/>
          <w:szCs w:val="18"/>
          <w:color w:val="auto"/>
        </w:rPr>
        <w:t>. If the recipient is subject to the tax laws of any country other than the U.S., the recipient should consult his or her own tax</w:t>
      </w:r>
      <w:r>
        <w:rPr>
          <w:rFonts w:ascii="Arial" w:cs="Arial" w:eastAsia="Arial" w:hAnsi="Arial"/>
          <w:sz w:val="18"/>
          <w:szCs w:val="18"/>
          <w:i w:val="1"/>
          <w:iCs w:val="1"/>
          <w:color w:val="auto"/>
        </w:rPr>
        <w:t xml:space="preserve"> </w:t>
      </w:r>
      <w:r>
        <w:rPr>
          <w:rFonts w:ascii="Arial" w:cs="Arial" w:eastAsia="Arial" w:hAnsi="Arial"/>
          <w:sz w:val="18"/>
          <w:szCs w:val="18"/>
          <w:color w:val="auto"/>
        </w:rPr>
        <w:t>and legal advisors to determine the tax and legal consequences of any award received under the 2019 LTIP.</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80"/>
          </w:cols>
          <w:pgMar w:left="240" w:top="460"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our Class A common stock and our Class B common stock immediately following the completion of the formation transactions and this offering for:</w:t>
      </w:r>
    </w:p>
    <w:p>
      <w:pPr>
        <w:spacing w:after="0" w:line="76" w:lineRule="exact"/>
        <w:rPr>
          <w:sz w:val="20"/>
          <w:szCs w:val="20"/>
          <w:color w:val="auto"/>
        </w:rPr>
      </w:pPr>
    </w:p>
    <w:p>
      <w:pPr>
        <w:ind w:left="1180" w:hanging="544"/>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any class of our voting securities;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named executive officer;</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of our directors and any director nominees;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of our directors, director nominees and executive officers as a group.</w:t>
      </w:r>
    </w:p>
    <w:p>
      <w:pPr>
        <w:spacing w:after="0" w:line="225"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The following information has been presented in accordance with the SEC’s rules and is not necessarily indicative of beneficial ownership for any other purpose. Under the SEC’s rules, beneficial ownership of a class of capital stock as of any date includes any shares of that class as to which a person, directly or indirectly, has or shares voting power or investment power as of that date and also any shares as to which a person has the right to acquire sole or shared voting or investment power as of or within 60 days after that date through the exercise of any stock option, warrant or other right (including any conversion or redemption right). The number of shares of our Class A common stock outstanding and the percentage of beneficial ownership immediately following this offering are based on the number of BellRing Brands, LLC Units to be issued in connection with the formation transactions (based on the midpoint of the estimated initial public offering price range set forth on the cover page of this prospectus) and the assumed redemption by Post of all of its BellRing Brands, LLC Units for shares of our Class A common stock. Subject to the terms of the amended and restated limited liability company agreement, BellRing Brands, LLC Units may be redeemed for, at the option of BellRing Brands, LLC (as determined by its Board of Managers), shares of our Class A common stock, or for cash. The redemption of BellRing Brands, LLC Units for shares of Class A common stock will be at an initial redemption rate of one share of Class A common stock for one BellRing Brands, LLC Unit, subject to customary redemption rate adjustments for stock splits, stock dividends and reclassifications. See “Certain Relationships and Related Party Transactions—Post-Offering Relationship with Post—Amended and Restated Limited Liability Company Agreement.”</w:t>
      </w:r>
    </w:p>
    <w:p>
      <w:pPr>
        <w:spacing w:after="0" w:line="17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address of each director, director nominee and named executive officer shown in the table below is c/o BellRing Brands, Inc., 2503 S. Hanley Road, St. Louis, Missouri 63144.</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4"/>
          </w:tcPr>
          <w:p>
            <w:pPr>
              <w:ind w:left="660"/>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Beneficially Owned</w:t>
            </w:r>
          </w:p>
        </w:tc>
        <w:tc>
          <w:tcPr>
            <w:tcW w:w="240" w:type="dxa"/>
            <w:vAlign w:val="bottom"/>
          </w:tcPr>
          <w:p>
            <w:pPr>
              <w:spacing w:after="0"/>
              <w:rPr>
                <w:sz w:val="14"/>
                <w:szCs w:val="14"/>
                <w:color w:val="auto"/>
              </w:rPr>
            </w:pPr>
          </w:p>
        </w:tc>
        <w:tc>
          <w:tcPr>
            <w:tcW w:w="1960" w:type="dxa"/>
            <w:vAlign w:val="bottom"/>
            <w:gridSpan w:val="4"/>
          </w:tcPr>
          <w:p>
            <w:pPr>
              <w:ind w:left="28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19"/>
        </w:trPr>
        <w:tc>
          <w:tcPr>
            <w:tcW w:w="6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Beneficial Owner Name</w:t>
            </w:r>
          </w:p>
        </w:tc>
        <w:tc>
          <w:tcPr>
            <w:tcW w:w="12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Number of</w:t>
            </w:r>
          </w:p>
        </w:tc>
        <w:tc>
          <w:tcPr>
            <w:tcW w:w="7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Percentage</w:t>
            </w: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8"/>
              </w:rPr>
              <w:t>Number of</w:t>
            </w:r>
          </w:p>
        </w:tc>
        <w:tc>
          <w:tcPr>
            <w:tcW w:w="1120" w:type="dxa"/>
            <w:vAlign w:val="bottom"/>
            <w:tcBorders>
              <w:top w:val="single" w:sz="8" w:color="auto"/>
            </w:tcBorders>
            <w:gridSpan w:val="2"/>
          </w:tcPr>
          <w:p>
            <w:pPr>
              <w:ind w:left="440"/>
              <w:spacing w:after="0" w:line="119" w:lineRule="exact"/>
              <w:rPr>
                <w:sz w:val="20"/>
                <w:szCs w:val="20"/>
                <w:color w:val="auto"/>
              </w:rPr>
            </w:pPr>
            <w:r>
              <w:rPr>
                <w:rFonts w:ascii="Arial" w:cs="Arial" w:eastAsia="Arial" w:hAnsi="Arial"/>
                <w:sz w:val="13"/>
                <w:szCs w:val="13"/>
                <w:b w:val="1"/>
                <w:bCs w:val="1"/>
                <w:color w:val="auto"/>
                <w:w w:val="94"/>
              </w:rPr>
              <w:t>Percentage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540" w:type="dxa"/>
            <w:vAlign w:val="bottom"/>
            <w:gridSpan w:val="3"/>
            <w:vMerge w:val="continue"/>
          </w:tcPr>
          <w:p>
            <w:pPr>
              <w:spacing w:after="0"/>
              <w:rPr>
                <w:sz w:val="15"/>
                <w:szCs w:val="15"/>
                <w:color w:val="auto"/>
              </w:rPr>
            </w:pPr>
          </w:p>
        </w:tc>
        <w:tc>
          <w:tcPr>
            <w:tcW w:w="124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5"/>
                <w:szCs w:val="15"/>
                <w:color w:val="auto"/>
              </w:rPr>
            </w:pPr>
          </w:p>
        </w:tc>
        <w:tc>
          <w:tcPr>
            <w:tcW w:w="104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w w:val="92"/>
              </w:rPr>
              <w:t>of Class</w:t>
            </w:r>
            <w:r>
              <w:rPr>
                <w:rFonts w:ascii="Arial" w:cs="Arial" w:eastAsia="Arial" w:hAnsi="Arial"/>
                <w:sz w:val="12"/>
                <w:szCs w:val="12"/>
                <w:b w:val="1"/>
                <w:bCs w:val="1"/>
                <w:color w:val="auto"/>
                <w:w w:val="92"/>
              </w:rPr>
              <w:t>(1)</w:t>
            </w:r>
          </w:p>
        </w:tc>
        <w:tc>
          <w:tcPr>
            <w:tcW w:w="240" w:type="dxa"/>
            <w:vAlign w:val="bottom"/>
          </w:tcPr>
          <w:p>
            <w:pPr>
              <w:spacing w:after="0"/>
              <w:rPr>
                <w:sz w:val="15"/>
                <w:szCs w:val="15"/>
                <w:color w:val="auto"/>
              </w:rPr>
            </w:pPr>
          </w:p>
        </w:tc>
        <w:tc>
          <w:tcPr>
            <w:tcW w:w="66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5"/>
                <w:szCs w:val="15"/>
                <w:color w:val="auto"/>
              </w:rPr>
            </w:pPr>
          </w:p>
        </w:tc>
        <w:tc>
          <w:tcPr>
            <w:tcW w:w="86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6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b w:val="1"/>
                <w:bCs w:val="1"/>
                <w:color w:val="auto"/>
                <w:w w:val="96"/>
              </w:rPr>
              <w:t>Principal Stockholder:</w:t>
            </w:r>
          </w:p>
        </w:tc>
        <w:tc>
          <w:tcPr>
            <w:tcW w:w="50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Post Holdings, Inc.</w:t>
            </w:r>
            <w:r>
              <w:rPr>
                <w:rFonts w:ascii="Arial" w:cs="Arial" w:eastAsia="Arial" w:hAnsi="Arial"/>
                <w:sz w:val="12"/>
                <w:szCs w:val="12"/>
                <w:color w:val="auto"/>
              </w:rPr>
              <w:t>(2)</w:t>
            </w:r>
          </w:p>
        </w:tc>
        <w:tc>
          <w:tcPr>
            <w:tcW w:w="12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97,474,179</w:t>
            </w:r>
            <w:r>
              <w:rPr>
                <w:rFonts w:ascii="Arial" w:cs="Arial" w:eastAsia="Arial" w:hAnsi="Arial"/>
                <w:sz w:val="12"/>
                <w:szCs w:val="12"/>
                <w:color w:val="auto"/>
              </w:rPr>
              <w:t>(3)</w:t>
            </w: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76.5</w:t>
            </w:r>
            <w:r>
              <w:rPr>
                <w:rFonts w:ascii="Arial" w:cs="Arial" w:eastAsia="Arial" w:hAnsi="Arial"/>
                <w:sz w:val="12"/>
                <w:szCs w:val="12"/>
                <w:color w:val="auto"/>
              </w:rPr>
              <w:t>(3)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300" w:type="dxa"/>
            <w:vAlign w:val="bottom"/>
            <w:gridSpan w:val="3"/>
          </w:tcPr>
          <w:p>
            <w:pPr>
              <w:ind w:left="9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Named Executive Officers, Directors and Director Nominees:</w:t>
            </w: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Robert V. Vitale</w:t>
            </w:r>
          </w:p>
        </w:tc>
        <w:tc>
          <w:tcPr>
            <w:tcW w:w="12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Darcy Horn Davenport</w:t>
            </w:r>
          </w:p>
        </w:tc>
        <w:tc>
          <w:tcPr>
            <w:tcW w:w="12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Paul A. Rode</w:t>
            </w:r>
          </w:p>
        </w:tc>
        <w:tc>
          <w:tcPr>
            <w:tcW w:w="12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Douglas J. Cornille</w:t>
            </w:r>
          </w:p>
        </w:tc>
        <w:tc>
          <w:tcPr>
            <w:tcW w:w="12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Thomas P. Erickson</w:t>
            </w:r>
          </w:p>
        </w:tc>
        <w:tc>
          <w:tcPr>
            <w:tcW w:w="12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Jennifer Kuperman</w:t>
            </w:r>
          </w:p>
        </w:tc>
        <w:tc>
          <w:tcPr>
            <w:tcW w:w="12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Elliot H. Stein, Jr.</w:t>
            </w:r>
          </w:p>
        </w:tc>
        <w:tc>
          <w:tcPr>
            <w:tcW w:w="680" w:type="dxa"/>
            <w:vAlign w:val="bottom"/>
            <w:tcBorders>
              <w:bottom w:val="single" w:sz="8" w:color="auto"/>
            </w:tcBorders>
          </w:tcPr>
          <w:p>
            <w:pPr>
              <w:ind w:left="4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Borders>
              <w:bottom w:val="single" w:sz="8" w:color="auto"/>
            </w:tcBorders>
          </w:tcPr>
          <w:p>
            <w:pPr>
              <w:ind w:left="4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680" w:type="dxa"/>
            <w:vAlign w:val="bottom"/>
            <w:tcBorders>
              <w:bottom w:val="single" w:sz="8" w:color="auto"/>
            </w:tcBorders>
          </w:tcPr>
          <w:p>
            <w:pPr>
              <w:ind w:left="4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 directors, director nominees and executive officers as a group (ten persons)</w:t>
            </w:r>
          </w:p>
        </w:tc>
        <w:tc>
          <w:tcPr>
            <w:tcW w:w="12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3" w:lineRule="exact"/>
        <w:rPr>
          <w:sz w:val="20"/>
          <w:szCs w:val="20"/>
          <w:color w:val="auto"/>
        </w:rPr>
      </w:pPr>
    </w:p>
    <w:p>
      <w:pPr>
        <w:ind w:left="640" w:hanging="436"/>
        <w:spacing w:after="0"/>
        <w:tabs>
          <w:tab w:leader="none" w:pos="6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Less than one percent.</w:t>
      </w:r>
    </w:p>
    <w:p>
      <w:pPr>
        <w:ind w:left="640" w:hanging="436"/>
        <w:spacing w:after="0" w:line="221" w:lineRule="auto"/>
        <w:tabs>
          <w:tab w:leader="none" w:pos="6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Assumes that the underwriters will not exercise their over-allotment option to purchase additional shares of our Class A common stock.</w:t>
      </w:r>
    </w:p>
    <w:p>
      <w:pPr>
        <w:ind w:left="640" w:right="40" w:hanging="436"/>
        <w:spacing w:after="0" w:line="221" w:lineRule="auto"/>
        <w:tabs>
          <w:tab w:leader="none" w:pos="6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2503 S. Hanley Road, St. Louis, Missouri 63144. Post is a publicly traded company. For information regarding our relationship with Post, see “Certain Relationships and Related Party Transactions—Post-Offering Relationship with Post.”</w:t>
      </w:r>
    </w:p>
    <w:p>
      <w:pPr>
        <w:ind w:left="640" w:hanging="436"/>
        <w:spacing w:after="0"/>
        <w:tabs>
          <w:tab w:leader="none" w:pos="6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Represents the shares of Class A common stock that may be acquired upon the redemption of BellRing Brands, LLC Units held by Post.</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240" w:top="459" w:right="4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CERTAIN INDEBTEDNESS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Unrestricted Subsidiary Designation</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As part of the formation transactions and this offering, BellRing Brands, Inc. and its subsidiaries will be designated “unrestricted subsidiaries” under Post’s senior note indentures and secured credit facility (meaning that they will not be guarantors of Post’s senior notes or secured credit facility or subject to the covenants under Post’s senior note indentures or secured credit facility), and any of such entities that are guarantors under Post’s secured credit facility will be released, as guarantors, the liens on their assets will be released and the liens on any of their shares or other equity interests will be released. Thereafter, none of the assets of any such entities or their equity interests, including equity interests in their subsidiaries, will be pledged to secure Post’s debt, and they will not guarantee any of Post’s debt.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Post Bridge Loan</w:t>
      </w:r>
    </w:p>
    <w:p>
      <w:pPr>
        <w:spacing w:after="0" w:line="121" w:lineRule="exact"/>
        <w:rPr>
          <w:sz w:val="20"/>
          <w:szCs w:val="20"/>
          <w:color w:val="auto"/>
        </w:rPr>
      </w:pPr>
    </w:p>
    <w:p>
      <w:pPr>
        <w:ind w:left="200" w:right="40" w:firstLine="441"/>
        <w:spacing w:after="0" w:line="284" w:lineRule="auto"/>
        <w:rPr>
          <w:sz w:val="20"/>
          <w:szCs w:val="20"/>
          <w:color w:val="auto"/>
        </w:rPr>
      </w:pPr>
      <w:r>
        <w:rPr>
          <w:rFonts w:ascii="Arial" w:cs="Arial" w:eastAsia="Arial" w:hAnsi="Arial"/>
          <w:sz w:val="16"/>
          <w:szCs w:val="16"/>
          <w:color w:val="auto"/>
        </w:rPr>
        <w:t>Prior to the completion of this offering, Post will borrow $1,309.5 million under the Post bridge loan pursuant to a bridge facility agreement that Post and certain of its subsidiaries as guarantors (other than BellRing Brands, Inc., but including BellRing Brands, LLC and its domestic subsidiaries) will enter into with various financial institutions, including certain affiliates of the underwriters in this offering. The Post bridge loan will bear interest at a rate per annum equal to (i) for the period from and including October 11, 2019 to but excluding October 21, 2019, the Eurodollar Rate (as such term is defined in the bridge facility agreement) plus 450 basis points, (ii) for the period from and including October 21, 2019 to but excluding October 25, 2019, the Eurodollar Rate plus 500 basis points, (iii) for the period from and including October 25, 2019 to but excluding February 8, 2020, 12.00% and</w:t>
      </w:r>
    </w:p>
    <w:p>
      <w:pPr>
        <w:spacing w:after="0" w:line="5" w:lineRule="exact"/>
        <w:rPr>
          <w:sz w:val="20"/>
          <w:szCs w:val="20"/>
          <w:color w:val="auto"/>
        </w:rPr>
      </w:pPr>
    </w:p>
    <w:p>
      <w:pPr>
        <w:jc w:val="both"/>
        <w:ind w:left="200" w:right="60" w:firstLine="4"/>
        <w:spacing w:after="0" w:line="255" w:lineRule="auto"/>
        <w:tabs>
          <w:tab w:leader="none" w:pos="5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the period from and including February 8, 2020 to but excluding the maturity date, 12.25%. Payments of interest on the Post bridge loan are due on October 21, 2019, October 25, 2019, December 31, 2019, and the last day of each quarter thereafter. The Post bridge loan will mature on August 23, 2024.</w:t>
      </w:r>
    </w:p>
    <w:p>
      <w:pPr>
        <w:spacing w:after="0" w:line="190"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6"/>
          <w:szCs w:val="16"/>
          <w:color w:val="auto"/>
        </w:rPr>
        <w:t>On the same day this offering is completed, BellRing Brands, LLC will enter into an assignment and assumption agreement with Post and the administrative agent (on behalf of the lenders) under the Post bridge loan pursuant to which (i) BellRing Brands, LLC will become the borrower under the Post bridge loan, and Post and its subsidiary guarantors (which will not include BellRing Brands, LLC or its domestic subsidiaries) will be released from their respective obligations thereunder, (ii) the domestic subsidiaries of BellRing Brands, LLC will continue to guarantee the Post bridge loan and</w:t>
      </w:r>
    </w:p>
    <w:p>
      <w:pPr>
        <w:spacing w:after="0" w:line="2" w:lineRule="exact"/>
        <w:rPr>
          <w:sz w:val="20"/>
          <w:szCs w:val="20"/>
          <w:color w:val="auto"/>
        </w:rPr>
      </w:pPr>
    </w:p>
    <w:p>
      <w:pPr>
        <w:ind w:left="520" w:hanging="316"/>
        <w:spacing w:after="0"/>
        <w:tabs>
          <w:tab w:leader="none" w:pos="5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BellRing Brands, LLC’s obligations under the Post bridge loan will become secured by a first priority security interest in substantially all of the</w:t>
      </w:r>
    </w:p>
    <w:p>
      <w:pPr>
        <w:spacing w:after="0" w:line="20" w:lineRule="exact"/>
        <w:rPr>
          <w:rFonts w:ascii="Arial" w:cs="Arial" w:eastAsia="Arial" w:hAnsi="Arial"/>
          <w:sz w:val="17"/>
          <w:szCs w:val="17"/>
          <w:color w:val="auto"/>
        </w:rPr>
      </w:pPr>
    </w:p>
    <w:p>
      <w:pPr>
        <w:ind w:left="200" w:right="40"/>
        <w:spacing w:after="0" w:line="255" w:lineRule="auto"/>
        <w:rPr>
          <w:rFonts w:ascii="Arial" w:cs="Arial" w:eastAsia="Arial" w:hAnsi="Arial"/>
          <w:sz w:val="17"/>
          <w:szCs w:val="17"/>
          <w:color w:val="auto"/>
        </w:rPr>
      </w:pPr>
      <w:r>
        <w:rPr>
          <w:rFonts w:ascii="Arial" w:cs="Arial" w:eastAsia="Arial" w:hAnsi="Arial"/>
          <w:sz w:val="18"/>
          <w:szCs w:val="18"/>
          <w:color w:val="auto"/>
        </w:rPr>
        <w:t>assets of BellRing Brands, LLC and in substantially all of the assets of its subsidiary guarantors. Post will retain the net cash proceeds of the Post bridge loan. BellRing Brands, Inc. will contribute the net proceeds of this offering to BellRing Brands, LLC, which will use such net proceeds to repay a portion of the Post bridge loan and related interest.</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Immediately after the completion of the formation transactions and the completion of this offering, BellRing Brands, LLC expects to enter into the debt facilities consisting of a revolving credit facility with approximately $200.0 million borrowing capacity and an approximately $820.0 million term loan facility and use the proceeds of the borrowings thereunder to repay the remaining balance of the Post bridge loan and all interest thereunder and for the other purposes described under “Use of Proceeds.”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We anticipate that BellRing Brands, LLC, if its Board of Managers determines to borrow under the debt facilities, will borrow approximately $820.0 million under the term loan facility and approximately $30.0 million under the revolving credit facility and receive net proceeds of approximately $6.1 million, after deducting fees and expenses, repayment of the remaining portion of the Post bridge loan and related interest and repayment of cash and cash equivalents to Post.</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24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We expect that the revolving credit facility also will be available for working capital and for general corporate purposes (including acquisitions) and that a portion of the revolving credit facility will be available for letters of credit. The debt facilities also may include incremental revolving and term loan facilities at our request and at the discretion of the lenders, on terms to be agreed upon with such lenders.</w:t>
      </w:r>
    </w:p>
    <w:p>
      <w:pPr>
        <w:spacing w:after="0" w:line="166"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maturity, amortization, prepayment requirements and interest rates under the debt facilities will be determined by agreement with the lenders. We expect the debt facilities to contain customary representations and warranties that are made at closing and upon each borrowing under the debt facilities, and customary affirmative and negative covenants for agreements of this type, including requirements regarding the delivery of financial and other information, compliance with laws and limitations on BellRing Brands, LLC and its subsidiaries with respect to indebtedness, liens, fundamental changes, restrictive agreements, prepayments and amendments of other indebtedness, dispositions of assets, acquisitions and other investments, sale-leaseback transactions, changes in the nature of its business, transactions with affiliates, dividends and redemptions or repurchases of stock.</w:t>
      </w:r>
    </w:p>
    <w:p>
      <w:pPr>
        <w:spacing w:after="0" w:line="16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expect that the BellRing Brands, LLC obligations under the debt facilities will be unconditionally guaranteed by its existing and subsequently acquired or organized domestic subsidiaries (other than immaterial subsidiaries) and that the debt facilities will be secured by security interests on substantially all of the assets of BellRing Brands, LLC and the assets of its subsidiary guarantors, subject to limited exceptions. BellRing Brands, Inc. will not be an obligor or guarantor under the debt facilities, nor will BellRing Brands, Inc. pledge its BellRing Brands, LLC Units as collateral.</w:t>
      </w:r>
    </w:p>
    <w:p>
      <w:pPr>
        <w:spacing w:after="0" w:line="8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40"/>
          </w:cols>
          <w:pgMar w:left="240" w:top="459" w:right="5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The following is a summary of all material characteristics of our capital stock as set forth in our amended and restated certificate of incorporation and our amended and restated bylaws, which will become effective upon the consummation of this offering. This summary does not purport to be complete and is qualified in its entirety by reference to our amended and restated certificate of incorporation and our amended and restated bylaws, each of which are incorporated by reference as exhibits to the registration statement of which this prospectus is a part, and the applicable provisions of Delaware law. You are encouraged to read our amended and restated certificate of incorporation and our amended and restated bylaws for greater detail on the provisions that may be important to you.</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connection with the formation transactions and this offering, we intend to amend and restate our certificate of incorporation so that our authorized capital stock will consist of 500,000,000 shares of Class A common stock, par value $0.01 per share, one share of Class B common stock, par value $0.01 per share, and 50,000,000 shares of preferred stock, par value $0.01 per share.</w:t>
      </w:r>
    </w:p>
    <w:p>
      <w:pPr>
        <w:spacing w:after="0" w:line="181"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After consummation of this offering, we expect to have 30,000,000 shares of our Class A common stock outstanding (or 34,500,000 shares if the underwriters exercise their over-allotment option in full), one share of our Class B common stock outstanding and no shares of preferred stock outstanding. We have received approval to list our Class A common stock on the NYSE under the symbol “BRBR”.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u w:val="single" w:color="auto"/>
          <w:color w:val="auto"/>
        </w:rPr>
        <w:t>Voting</w:t>
      </w:r>
      <w:r>
        <w:rPr>
          <w:rFonts w:ascii="Arial" w:cs="Arial" w:eastAsia="Arial" w:hAnsi="Arial"/>
          <w:sz w:val="17"/>
          <w:szCs w:val="17"/>
          <w:color w:val="auto"/>
        </w:rPr>
        <w:t>. Holders of our Class A common stock will be entitled to one vote for each share held on all matters submitted to stockholders for their vote or approval. For so long as Post or its affiliates (other than us) directly own more than 50% of the BellRing Brands, LLC Units, the aggregate voting power of the share of our Class B common stock will represent 67% of the combined voting power of the common stock of BellRing Brands, Inc. and, in the aggregate, the holders of the Class A common stock will have 33% of the combined voting power of the common stock of BellRing Brands, Inc. In the event that Post and its affiliates (other than us) hold 50% or less of the BellRing Brands, LLC Units, the holder of the share of Class B common stock shall be entitled to a number of votes equal to the number of BellRing Brands, LLC Units held by all persons other than us; provided, that (i) Post, or its applicable affiliate, as the holder of the share of our Class B common stock, will only be entitled to cast a number of votes on its own behalf and at its own discretion equal to the number of BellRing Brands, LLC Units held by Post and its affiliates (other than us), and (ii) in the event that any BellRing Brands, LLC Units are held by persons other than us or Post and its affiliates, then Post, or its applicable affiliate, as the holder of the share of our Class B common stock, will cast the remainder of the votes to which the share of our Class B common stock is entitled only in accordance with instructions and directions from such other holders of the BellRing Brands, LLC Units in accordance with proxies granted by Post to, or voting agreements or other voting arrangements entered into by Post with, such other holders pursuant to the amended and restated limited liability company agreement. The holders of our Class A common stock and the holder of our Class B common stock will vote together as a single class on all matters submitted to stockholders for their vote or approval, except with respect to any amendment of our amended and restated certificate of incorporation that would alter or change the powers, preferences or special rights of a class of our common stock so as to affect it adversely, which amendment must be approved by a majority of the votes entitled to be cast by the holders of the shares adversely affected by the amendment, voting as a separate class, or as otherwise required by applicable law.</w:t>
      </w:r>
    </w:p>
    <w:p>
      <w:pPr>
        <w:spacing w:after="0" w:line="193"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Following the formation transactions and this offering, Post will own the share of our Class B common stock and will therefore control 67% of the combined voting power of our outstanding common stock. In any event, Post will be able to control our business policies and affairs and any action requiring the general approval of our stockholders, including the adoption of amendments to our amended and restated certificate of</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incorporation and our amended and restated bylaws, the approval of mergers or sales of substantially all of our assets and the removal of members of our Board of Directors with or without cause. For so long as Post or its affiliates (other than us) directly own more than 50% of the BellRing Brands, LLC Units as described in this prospectus, Post also will have the power to nominate a majority of the members to our Board of Directors under our investor rights agreement. The concentration of ownership and voting power of Post also may delay, defer or even prevent an acquisition by a third party or other change of control of our Company and may make some transactions more difficult or impossible without the support of Post, even if such events are in the best interests of minority stockholders.</w:t>
      </w:r>
    </w:p>
    <w:p>
      <w:pPr>
        <w:spacing w:after="0" w:line="193"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The holders of our Class A common stock will be entitled to receive dividends when, as and if declared by our Board of Directors out of legally available funds. The holder of our Class B common stock will not have any right to receive dividends.</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u w:val="single" w:color="auto"/>
          <w:color w:val="auto"/>
        </w:rPr>
        <w:t>Liquidation or Dissolution</w:t>
      </w:r>
      <w:r>
        <w:rPr>
          <w:rFonts w:ascii="Arial" w:cs="Arial" w:eastAsia="Arial" w:hAnsi="Arial"/>
          <w:sz w:val="18"/>
          <w:szCs w:val="18"/>
          <w:color w:val="auto"/>
        </w:rPr>
        <w:t>. Upon our liquidation or dissolution, the holders of our Class A common stock will be entitled to share ratably in those of our assets that are legally available for distribution to stockholders after payment of liabilities and subject to the prior rights of any holders of preferred stock then outstanding. Other than its par value, the holder of our Class B common stock will not have any right to receive a distribution upon a liquidation or dissolution of our Company.</w:t>
      </w:r>
    </w:p>
    <w:p>
      <w:pPr>
        <w:spacing w:after="0" w:line="18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Subject to the terms of the amended and restated limited liability company agreement, BellRing Brands, LLC Units will be redeemable for, at BellRing Brands, LLC’s option (as determined by its Board of Managers), (i) shares of our Class A common stock or (ii) cash (based on the market price of the shares of our Class A common stock). Each such redemption will be at an initial redemption rate of one share of Class A common stock for one BellRing Brands, LLC Unit, subject to customary redemption rate adjustments for stock splits, stock dividends and reclassifications.</w:t>
      </w:r>
    </w:p>
    <w:p>
      <w:pPr>
        <w:spacing w:after="0" w:line="18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The share of our Class B common stock will initially be owned by Post and may not be transferred except to an affiliate of Post (other than us); provided that Post may grant one or more proxies to, or enter into one or more voting agreements or other voting arrangements with, any persons other than us or Post’s affiliates to whom Post or any of its affiliates (other than us) transfers BellRing Brands, LLC Units pursuant to the amended and restated limited liability company agreement, and Post may transfer the share of our Class B common stock in connection with any distribution of its ownership interests in BellRing Brands, LLC by means of a spin-off or split-off to its shareholders.</w:t>
      </w:r>
    </w:p>
    <w:p>
      <w:pPr>
        <w:spacing w:after="0" w:line="17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u w:val="single" w:color="auto"/>
          <w:color w:val="auto"/>
        </w:rPr>
        <w:t>Other Matters</w:t>
      </w:r>
      <w:r>
        <w:rPr>
          <w:rFonts w:ascii="Arial" w:cs="Arial" w:eastAsia="Arial" w:hAnsi="Arial"/>
          <w:sz w:val="18"/>
          <w:szCs w:val="18"/>
          <w:color w:val="auto"/>
        </w:rPr>
        <w:t>. Our Class A common stock and our Class B common stock will have no preemptive rights pursuant to the terms of our amended and restated certificate of incorporation. There will be no redemption or sinking fund provisions applicable to our Class A common stock or our Class B common stock. The outstanding share of our Class B common stock issued in connection with the formation transactions will be fully paid and non-assessable, and the shares of our Class A common stock offered by us in this offering, upon payment and delivery in accordance with the underwriting agreement, will be fully paid and non-assessable.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Following the formation transactions and this offering, we will be authorized to issue up to 50,000,000 shares of preferred stock. Our Board of Directors will be authorized, subject to limitations prescribed by Delaware law and our amended and restated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will be authorized to designate any qualifications, limitations or restrictions on the shares without any further vote or action by our stockholders, subject to applicable rules of the NYSE and Delaware law.</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240" w:top="460"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Authorizing our Board of Directors to establish preferred stock eliminates delays associated with seeking stockholder approval of the creation of a particular class or series of preferred stock. The rights of the holders of common stock are subject to the rights of holders of any preferred stock issued at any time, including in the future. The issuance of preferred stock, while providing desirable flexibility in connection with possible acquisitions and other corporate purposes, may have the effect of delaying, deferring or preventing a change in control of our Company and may adversely affect the voting and other rights of the holders of our Class A common stock and our Class B common stock, which could have an adverse impact on the market price of our Class A common stock. These provisions also could make it more difficult for our stockholders to effect certain corporate actions, including the election of directors. We have no current plan to issue any shares of preferred stock following the consummation of this offering.</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Opportunities</w:t>
      </w:r>
    </w:p>
    <w:p>
      <w:pPr>
        <w:spacing w:after="0" w:line="12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Delaware General Corporation Law permits the adoption of a provision in a corporation’s certificate of incorporation renouncing any interests or expectancy of a corporation in, or in being offered an opportunity to participate in, specified business opportunities or specified classes or categories of business opportunities that are presented to the corporation or to one or more of its directors, officers or stockholders.</w:t>
      </w:r>
    </w:p>
    <w:p>
      <w:pPr>
        <w:spacing w:after="0" w:line="166"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Our amended and restated certificate of incorporation will include certain provisions regulating and defining the conduct of our affairs to the extent that they may involve Post and its directors, officers, employees, agents and affiliates (except that we and our subsidiaries will not be deemed affiliates of Post or its affiliates for purposes of these provisions) and our rights, powers, duties and liabilities and those of our directors, officers, managers, employees and agents in connection with our relationship with Post. In general, and except as may be set forth in any agreement between us and Post, these provisions will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will provide that we renounce any interest or expectancy to participate in any business of Post or its affiliates.</w:t>
      </w:r>
    </w:p>
    <w:p>
      <w:pPr>
        <w:spacing w:after="0" w:line="166"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Moreover, our amended and restated certificate of incorporation will provide that we renounce any interests or expectancy in corporate opportunities which become known to (i) any of our directors, officers, managers, employees or agents who also are directors, officers, employees, agents or affiliates of Post or its affiliates (except that we and our subsidiaries will not be deemed affiliates of Post or its affiliates for the purposes of the provision) or (ii) Post or its affiliates. The provision generally will provide that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or any person controlled by us because such person has directed or intends to direct such opportunity to Post or one of its affiliates. This renunciation will not extend to corporate opportunities expressly offered to one of our directors, officers, managers, employees or agents, solely in his or her capacity as a director, officer, manager, employee or agent of us.</w:t>
      </w:r>
    </w:p>
    <w:p>
      <w:pPr>
        <w:spacing w:after="0" w:line="178" w:lineRule="exact"/>
        <w:rPr>
          <w:sz w:val="20"/>
          <w:szCs w:val="20"/>
          <w:color w:val="auto"/>
        </w:rPr>
      </w:pPr>
    </w:p>
    <w:p>
      <w:pPr>
        <w:ind w:left="200" w:right="220" w:firstLine="441"/>
        <w:spacing w:after="0" w:line="273" w:lineRule="auto"/>
        <w:rPr>
          <w:sz w:val="20"/>
          <w:szCs w:val="20"/>
          <w:color w:val="auto"/>
        </w:rPr>
      </w:pPr>
      <w:r>
        <w:rPr>
          <w:rFonts w:ascii="Arial" w:cs="Arial" w:eastAsia="Arial" w:hAnsi="Arial"/>
          <w:sz w:val="17"/>
          <w:szCs w:val="17"/>
          <w:color w:val="auto"/>
        </w:rPr>
        <w:t>These provisions in our amended and restated certificate of incorporation will cease to apply at such time as (i) we and Post and its affiliates are no longer affiliates of one another and (ii) none of the directors, officers, employees, agents or affiliates of Post serve as our directors, officers, managers, employees or agents. See “Risk Factors—Risks Related to Our Relationship with Post—Post’s interests may conflict with our interests and the interests of our stockholders. Conflicts of interest or disputes between Post and our Company could be resolved in a manner unfavorable to our Company and our other stockholders” and “—Our amended and restated certificate of incorporation could prevent us from benefiting from corporate opportunities that might otherwise have been available to us.”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60"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our Certificate of Incorporation and Bylaws</w:t>
      </w:r>
    </w:p>
    <w:p>
      <w:pPr>
        <w:spacing w:after="0" w:line="121"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Our amended and restated certificate of incorporation and our amended and restated bylaws will contain certain provisions that are intended to enhance the likelihood of continuity and stability in the composition of our Board of Directors and which may have the effect of delaying, deferring or preventing a future takeover or change in control of us unless such takeover or change in control is approved by our Board of Directors.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u w:val="single" w:color="auto"/>
          <w:color w:val="auto"/>
        </w:rPr>
        <w:t>Action by Written Consent; Special Meetings of Stockholders</w:t>
      </w:r>
      <w:r>
        <w:rPr>
          <w:rFonts w:ascii="Arial" w:cs="Arial" w:eastAsia="Arial" w:hAnsi="Arial"/>
          <w:sz w:val="18"/>
          <w:szCs w:val="18"/>
          <w:color w:val="auto"/>
        </w:rPr>
        <w:t>. Our amended and restated certificate of incorporation and our amended and restated bylaws will provide that, following the date on which Post and its various affiliates cease to own of record more than 50% of the BellRing Brands, LLC Units (the “triggering event”), stockholder action can be taken only at an annual or special meeting of stockholders and cannot be taken by written consent in lieu of a meeting. Prior to the triggering event, stockholder action may be taken by written consent in lieu of a meeting. Our amended and restated bylaws also will provide that, except as otherwise required by law, special meetings of the stockholders can only be called by the affirmative vote of a majority of the entire Board of Directors, the Chairperson of the Board of Directors, by the Secretary, on the written request of Post and its successors (but only for so long as Post and its subsidiaries own of record, in the aggregate, more than 50% of the BellRing Brands, LLC Units) or the President. Except as described above, stockholders will not be permitted to call a special meeting or to require our Board of Directors to call a special meeting.</w:t>
      </w:r>
    </w:p>
    <w:p>
      <w:pPr>
        <w:spacing w:after="0" w:line="197" w:lineRule="exact"/>
        <w:rPr>
          <w:sz w:val="20"/>
          <w:szCs w:val="20"/>
          <w:color w:val="auto"/>
        </w:rPr>
      </w:pPr>
    </w:p>
    <w:p>
      <w:pPr>
        <w:ind w:left="200" w:right="200" w:firstLine="441"/>
        <w:spacing w:after="0" w:line="288" w:lineRule="auto"/>
        <w:rPr>
          <w:sz w:val="20"/>
          <w:szCs w:val="20"/>
          <w:color w:val="auto"/>
        </w:rPr>
      </w:pPr>
      <w:r>
        <w:rPr>
          <w:rFonts w:ascii="Arial" w:cs="Arial" w:eastAsia="Arial" w:hAnsi="Arial"/>
          <w:sz w:val="16"/>
          <w:szCs w:val="16"/>
          <w:u w:val="single" w:color="auto"/>
          <w:color w:val="auto"/>
        </w:rPr>
        <w:t>Advance Notice Procedures</w:t>
      </w:r>
      <w:r>
        <w:rPr>
          <w:rFonts w:ascii="Arial" w:cs="Arial" w:eastAsia="Arial" w:hAnsi="Arial"/>
          <w:sz w:val="16"/>
          <w:szCs w:val="16"/>
          <w:color w:val="auto"/>
        </w:rPr>
        <w:t>. Our amended and restated bylaws will contain provisions requiring that advance notice be delivered to us of any business to be brought by a stockholder before an annual meeting and providing for procedures to be followed by stockholders in nominating persons for election to our Board of Directors. Ordinarily, the stockholder must give notice in writing to our Secretary not less than 90 days nor more than</w:t>
      </w:r>
    </w:p>
    <w:p>
      <w:pPr>
        <w:ind w:left="200" w:right="20"/>
        <w:spacing w:after="0" w:line="285" w:lineRule="auto"/>
        <w:rPr>
          <w:sz w:val="20"/>
          <w:szCs w:val="20"/>
          <w:color w:val="auto"/>
        </w:rPr>
      </w:pPr>
      <w:r>
        <w:rPr>
          <w:rFonts w:ascii="Arial" w:cs="Arial" w:eastAsia="Arial" w:hAnsi="Arial"/>
          <w:sz w:val="16"/>
          <w:szCs w:val="16"/>
          <w:color w:val="auto"/>
        </w:rPr>
        <w:t>120 days prior to the date of the first anniversary of the prior year’s annual meeting (and for purposes of calculating this date with respect to the first annual meeting after the date of this offering, the annual meeting for the prior year shall be deemed to have been held on January 24, 2019); except that, in the event that the date of the meeting is more than 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 of the date of the annual meeting is first made, except that such advance notice requirements shall not apply to Post with respect to business to be brought by Post before an annual meeting and, for so long as the investor rights agreement is in effect, such advance notice requirements shall not apply to Post with respect to any individual nominated or designated by Post for election or appointment to our Board of Directors. For stockholder proposals, the notice must include a description of the proposal, the reasons for the proposal and other specified matters. Our Board of Directors may reject any proposals that have not followed these procedures or that are not a proper subject for stockholder action in accordance with the provisions of applicable law. Although our amended and restated bylaws will not give our Board of Directors the power to approve or disapprove stockholder nominations of candidates or proposals regarding other business to be conducted at a special or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16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u w:val="single" w:color="auto"/>
          <w:color w:val="auto"/>
        </w:rPr>
        <w:t>Directors, and Not Stockholders, Fix the Size of the Board of Directors</w:t>
      </w:r>
      <w:r>
        <w:rPr>
          <w:rFonts w:ascii="Arial" w:cs="Arial" w:eastAsia="Arial" w:hAnsi="Arial"/>
          <w:sz w:val="18"/>
          <w:szCs w:val="18"/>
          <w:color w:val="auto"/>
        </w:rPr>
        <w:t>. Our amended and restated certificate of incorporation and our amended and restated bylaws will provide that the number of our directors will be fixed from time to time exclusively pursuant to a resolution adopted by a majority of our Board of Directors, but in no event will it consist of less than five nor more than twelve directors. Upon consummation of this offering, our Board of Directors will consist of five members.</w:t>
      </w:r>
    </w:p>
    <w:p>
      <w:pPr>
        <w:spacing w:after="0" w:line="18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u w:val="single" w:color="auto"/>
          <w:color w:val="auto"/>
        </w:rPr>
        <w:t>Vacancies and Newly-Created Directorships on the Board of Directors</w:t>
      </w:r>
      <w:r>
        <w:rPr>
          <w:rFonts w:ascii="Arial" w:cs="Arial" w:eastAsia="Arial" w:hAnsi="Arial"/>
          <w:sz w:val="18"/>
          <w:szCs w:val="18"/>
          <w:color w:val="auto"/>
        </w:rPr>
        <w:t>. Subject to the rights of holders of any class or series of our capital stock outstanding, other than our common stock, and the rights of Post under the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80"/>
          </w:cols>
          <w:pgMar w:left="24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spacing w:after="0" w:line="255" w:lineRule="auto"/>
        <w:rPr>
          <w:sz w:val="20"/>
          <w:szCs w:val="20"/>
          <w:color w:val="auto"/>
        </w:rPr>
      </w:pPr>
      <w:r>
        <w:rPr>
          <w:rFonts w:ascii="Arial" w:cs="Arial" w:eastAsia="Arial" w:hAnsi="Arial"/>
          <w:sz w:val="18"/>
          <w:szCs w:val="18"/>
          <w:color w:val="auto"/>
        </w:rPr>
        <w:t>investor rights agreement (for so long as it remains in effect), any vacancy on our Board of Directors occurring for any reason prior to the expiration of the term of the director class in which the vacancy occurs (including vacancies which occur by reason of an increase in the number of directors) will be filled by (i) the affirmative vote of a majority of the remaining directors, even if less than a quorum, (ii) at a special meeting of the stockholders called for such purpose or (iii) prior to the triggering event, by written consent of one or more of our stockholders. A director elected to fill a vacancy will be elected for the unexpired term of his or her predecessor. These provisions could make it more difficult for stockholders to affect the composition of our Board of Directors.</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u w:val="single" w:color="auto"/>
          <w:color w:val="auto"/>
        </w:rPr>
        <w:t>Classified Board of Directors</w:t>
      </w:r>
      <w:r>
        <w:rPr>
          <w:rFonts w:ascii="Arial" w:cs="Arial" w:eastAsia="Arial" w:hAnsi="Arial"/>
          <w:sz w:val="17"/>
          <w:szCs w:val="17"/>
          <w:color w:val="auto"/>
        </w:rPr>
        <w:t>. Our amended and restated certificate of incorporation and our amended and restated bylaws will provide that our Board of Directors will be divided into three classes of directors serving staggered three-year terms. The number of directors assigned to each class will be as equal as reasonably possible. With respect to the members of the Board in office immediately after consummation of this offering, the first class of directors will hold office until the first annual stockholders’ meeting for election of directors, the second class of directors will hold office until the second annual stockholders’ meeting for election of directors, and the third class of directors will hold office until the third annual stockholders’ meeting for election of directors. Each class will thereafter hold office until the third annual stockholders’ meeting for election of directors following the most recent election of such class and until their successors are duly elected and qualified. With only a portion of the Board of Directors up for election each year, the existence of a classified Board of Directors could render more difficult or discourage an attempt to obtain control of our Company because it would take more than one annual meeting to do so.</w:t>
      </w:r>
    </w:p>
    <w:p>
      <w:pPr>
        <w:spacing w:after="0" w:line="182"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u w:val="single" w:color="auto"/>
          <w:color w:val="auto"/>
        </w:rPr>
        <w:t>Authorized but Unissued Shares</w:t>
      </w:r>
      <w:r>
        <w:rPr>
          <w:rFonts w:ascii="Arial" w:cs="Arial" w:eastAsia="Arial" w:hAnsi="Arial"/>
          <w:sz w:val="17"/>
          <w:szCs w:val="17"/>
          <w:color w:val="auto"/>
        </w:rPr>
        <w:t>. Our authorized but unissued shares of common stock and preferred stock will be available for future issuance without stockholder approval, subject to applicable rules of the NYSE and Delaware law. These additional shares may be utilized for a variety of corporate purposes, including future public offerings or private offerings to raise additional capital, corporate acquisitions and employee benefit plans and equity grants. The existence of authorized but unissued shares of common stock and preferred stock could render more difficult or discourage an attempt to obtain control of a majority of our common stock by means of a proxy contest, tender offer, merger or otherwise. We do not intend to solicit approval of our stockholders for issuance of authorized but unissued shares of our common stock and preferred stock, unless our Board of Directors believes that approval is advisable or is required by applicable rules of the NYSE or Delaware law.</w:t>
      </w:r>
    </w:p>
    <w:p>
      <w:pPr>
        <w:spacing w:after="0" w:line="17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u w:val="single" w:color="auto"/>
          <w:color w:val="auto"/>
        </w:rPr>
        <w:t>Business Combinations with Interested Stockholders</w:t>
      </w:r>
      <w:r>
        <w:rPr>
          <w:rFonts w:ascii="Arial" w:cs="Arial" w:eastAsia="Arial" w:hAnsi="Arial"/>
          <w:sz w:val="17"/>
          <w:szCs w:val="17"/>
          <w:color w:val="auto"/>
        </w:rPr>
        <w:t>. We intend to elect in our amended and restated certificate of incorporation not to be subject to Section 203 of the Delaware General Corporation Law, an antitakeover law. In general, Section 203 prohibits a publicly held Delaware corporation from engaging in a business combination, such as a merger, with a person or group owning 15% or more of the corporation’s voting stock for a period of three years following the date on which the person became an interested stockholder, unless (with certain exceptions) the business combination or the transaction in which the person became an interested stockholder is approved in a prescribed manner. Accordingly, we will not be subject to any anti-takeover effects of Section 203. Nevertheless, our amended and restated certificate of incorporation will contain provisions that have the same effect as Section 203, except that they will provide that Post and its various affiliates, successors and certain transferees designated by Post (including any such person who is granted a proxy by, or enters into a voting agreement with, Post pursuant to the amended and restated limited liability company agreement) will not be deemed to be “interested stockholders,” regardless of the percentage of our voting stock owned by them, and accordingly will not be subject to such restrictions.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Amendments to Certificate of Incorporation and Bylaws</w:t>
      </w:r>
    </w:p>
    <w:p>
      <w:pPr>
        <w:spacing w:after="0" w:line="121" w:lineRule="exact"/>
        <w:rPr>
          <w:sz w:val="20"/>
          <w:szCs w:val="20"/>
          <w:color w:val="auto"/>
        </w:rPr>
      </w:pPr>
    </w:p>
    <w:p>
      <w:pPr>
        <w:jc w:val="both"/>
        <w:ind w:left="200" w:right="260" w:firstLine="441"/>
        <w:spacing w:after="0" w:line="312" w:lineRule="auto"/>
        <w:rPr>
          <w:sz w:val="20"/>
          <w:szCs w:val="20"/>
          <w:color w:val="auto"/>
        </w:rPr>
      </w:pPr>
      <w:r>
        <w:rPr>
          <w:rFonts w:ascii="Arial" w:cs="Arial" w:eastAsia="Arial" w:hAnsi="Arial"/>
          <w:sz w:val="16"/>
          <w:szCs w:val="16"/>
          <w:color w:val="auto"/>
        </w:rPr>
        <w:t>The Delaware General Corporation Law provides that a corporation may amend its certificate of incorporation upon a resolution of its board of directors proposing the amendment and its submission to the stockholders for their approval upon the affirmative vote of holders of a majority of the voting power entitled to vote thereon. Our amended and restated certificate of incorporation will provide that our amended and restated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240" w:top="460"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certificate of incorporation may be amended in accordance with and upon the vote prescribed by Delaware law, except that:</w:t>
      </w:r>
    </w:p>
    <w:p>
      <w:pPr>
        <w:spacing w:after="0" w:line="131" w:lineRule="exact"/>
        <w:rPr>
          <w:sz w:val="20"/>
          <w:szCs w:val="20"/>
          <w:color w:val="auto"/>
        </w:rPr>
      </w:pPr>
    </w:p>
    <w:p>
      <w:pPr>
        <w:jc w:val="both"/>
        <w:ind w:left="1180" w:right="80" w:hanging="544"/>
        <w:spacing w:after="0" w:line="312" w:lineRule="auto"/>
        <w:tabs>
          <w:tab w:leader="none" w:pos="11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holders of our Class A common stock and our Class B common stock will each be entitled to vote separately upon any amendment to our amended and restated certificate of incorporation (including by merger, consolidation, reorganization or similar event) that would alter or change the powers, preferences or special rights of the shares of such class of common stock in a manner that affects them adversely.</w:t>
      </w:r>
    </w:p>
    <w:p>
      <w:pPr>
        <w:spacing w:after="0" w:line="52" w:lineRule="exact"/>
        <w:rPr>
          <w:rFonts w:ascii="Arial" w:cs="Arial" w:eastAsia="Arial" w:hAnsi="Arial"/>
          <w:sz w:val="16"/>
          <w:szCs w:val="16"/>
          <w:color w:val="auto"/>
        </w:rPr>
      </w:pPr>
    </w:p>
    <w:p>
      <w:pPr>
        <w:ind w:left="1180" w:right="760" w:hanging="544"/>
        <w:spacing w:after="0" w:line="312" w:lineRule="auto"/>
        <w:tabs>
          <w:tab w:leader="none" w:pos="11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Section 10 of our amended and restated certificate of incorporation (relating to indemnification) may be amended (or a provision inconsistent with Section 10 adopted) only upon the affirmative vote of not less than 85% of all of the voting power of all of the outstanding shares of our common stock then entitled to vote in the election of directors, voting together as a single class.</w:t>
      </w:r>
    </w:p>
    <w:p>
      <w:pPr>
        <w:spacing w:after="0" w:line="14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Delaware General Corporation Law provides that the power to adopt, amend or repeal the bylaws of a corporation is held by the stockholders of the corporation, except that a corporation may, in its certificate of incorporation, confer the power to adopt, amend or repeal its bylaws upon the board of directors of the corporation, but the fact that such power has been so conferred upon the board of directors will not divest the stockholders of such power or limit their power to adopt, amend or repeal the bylaws. Our amended and restated certificate of incorporation and our amended and restated bylaws will provide that a majority of all of the members of our Board of Directors may amend, alter, change or repeal any provision of our amended and restated bylaws, except that our Board of Directors may not amend, alter, change or repeal any provision of the bylaws relating to their amendment in any manner that alters the stockholders’ power to amend, alter, change or repeal the bylaws. Our amended and restated certificate of incorporation and our amended and restated bylaws also will provide that the stockholders may amend, alter, change or repeal any provision of our amended and restated bylaws upon the affirmative vote of a majority of all of the voting power of the Company entitled to vote thereon, except that the stockholders will not have the power to amend, alter, change or repeal any provision of the bylaws relating to their amendment in any manner that alters our Board of Directors’ power to amend, alter, change or repeal the bylaws.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121"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The Delaware General Corporation Law permits a corporation, in its certificate of incorporation, to limit or eliminate, subject to certain statutory limitations, the liability of directors to the corporation or its stockholders for monetary damages for breaches of fiduciary duty, except for liability:</w:t>
      </w:r>
    </w:p>
    <w:p>
      <w:pPr>
        <w:spacing w:after="0" w:line="29" w:lineRule="exact"/>
        <w:rPr>
          <w:sz w:val="20"/>
          <w:szCs w:val="20"/>
          <w:color w:val="auto"/>
        </w:rPr>
      </w:pPr>
    </w:p>
    <w:p>
      <w:pPr>
        <w:ind w:left="1180" w:hanging="544"/>
        <w:spacing w:after="0"/>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respect of certain unlawful dividend payments or stock redemptions or repurchases;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225"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The Delaware General Corporation Law permits a corporation, under specified circumstances, to indemnify its directors, officers, employees and agents against expenses (including attorneys’ fees), judgments, fines and amounts paid in settlements actually and reasonably incurred by them in connection with any action, suit or proceeding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 to believe their conduct was unlawful. In a derivative action or suit (i.e., one by or in the right of the corporation), indemnification may be made only for expenses actually and reasonably incurred by directors, officers, employees and agents in connection with the defense or settlement of an action or suit, and only with respect to a matter as to which they have acted in good faith and in a manner they reasonably believed to be in or</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not opposed to the best interests of the corporation, except that no indemnification will be made if such person has been adjudged liable to the corporation, unless and only to the extent that the court in which the action or suit was brought determines upon application that the defendant directors, officers, employees or agents are fairly and reasonably entitled to indemnity for such expenses despite such adjudication of liability.</w:t>
      </w:r>
    </w:p>
    <w:p>
      <w:pPr>
        <w:spacing w:after="0" w:line="166"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Our amended and restated certificate of incorporation will limit the liability of our directors to the fullest extent permitted by the Delaware General Corporation Law and provide that we will provide them with customary indemnification. We expect to enter into customary indemnification agreements with each of our directors and certain of our executive officers that provide them, in general, with customary indemnification in connection with their service to us or on our behalf.</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 and Trading</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Class A common stock is currently not listed on any securities exchange. We have received approval to have our Class A common stock listed on the NYSE under the symbol “BRBR”.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Upon completion of this offering, the transfer agent and registrar for our Class A common stock will be Computershare Trust Company, N.A.</w:t>
      </w:r>
    </w:p>
    <w:p>
      <w:pPr>
        <w:spacing w:after="0" w:line="1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00"/>
          </w:cols>
          <w:pgMar w:left="24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Prior to this offering, there has been no public market for our Class A common stock. Future sales of substantial amounts of our Class A common stock in the public market could adversely affect prevailing market prices for shares of our Class A common stock. Furthermore, since not all of the shares of our Class A common stock outstanding will be available for sale immediately after this offering because of contractual and legal restrictions on resale described below, sales of substantial amounts of shares of our Class A common stock in the public market after the restrictions lapse could adversely affect the prevailing market price for shares of our Class A common stock as well as our ability to raise equity capital in the future.</w:t>
      </w:r>
    </w:p>
    <w:p>
      <w:pPr>
        <w:spacing w:after="0" w:line="158" w:lineRule="exact"/>
        <w:rPr>
          <w:sz w:val="20"/>
          <w:szCs w:val="20"/>
          <w:color w:val="auto"/>
        </w:rPr>
      </w:pPr>
    </w:p>
    <w:p>
      <w:pPr>
        <w:jc w:val="both"/>
        <w:ind w:left="200" w:right="440" w:firstLine="441"/>
        <w:spacing w:after="0" w:line="312" w:lineRule="auto"/>
        <w:rPr>
          <w:sz w:val="20"/>
          <w:szCs w:val="20"/>
          <w:color w:val="auto"/>
        </w:rPr>
      </w:pPr>
      <w:r>
        <w:rPr>
          <w:rFonts w:ascii="Arial" w:cs="Arial" w:eastAsia="Arial" w:hAnsi="Arial"/>
          <w:sz w:val="16"/>
          <w:szCs w:val="16"/>
          <w:color w:val="auto"/>
        </w:rPr>
        <w:t>All of the 30,000,000 shares of Class A common stock (or 34,500,000 shares if the underwriters exercise their over-allotment option in full) outstanding following this offering will have been issued in this offering and will be freely transferable without restriction or registration under the Securities Act, except for any shares purchased by one of our existing “affiliates,” as that term is defined in Rule 144 under the Securities Act.</w:t>
      </w:r>
    </w:p>
    <w:p>
      <w:pPr>
        <w:spacing w:after="0" w:line="147"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Immediately following the consummation of the formation transactions and this offering, the members of BellRing Brands, LLC will consist of BellRing Brands, Inc. and Post. Post will hold 97,474,179 BellRing Brands, LLC Units equal to 76.5% of the economic interest in BellRing Brands, LLC (or 73.9% if the underwriters exercise their over-allotment option in full) and one share of our Class B common stock, which, so long as Post or its affiliates (other than us) directly own more than 50% of the BellRing Brands, LLC Units as described in this prospectus, will represent 67% of the combined voting power of our outstanding common stock. Pursuant to the terms of the amended and restated limited liability company agreement, the holders of BellRing Brands, LLC Units (other than us) may from time to time redeem their BellRing Brands, LLC Units for, at the option of BellRing Brands, LLC (as determined by its Board of Managers), (i) shares of our Class A common stock on a one-for-one equivalent basis or (ii) cash (based on the market price of the shares of our Class A common stock), subject to customary redemption rate adjustments for stock splits, stock dividends and reclassifications. The share of BellRing Brands, Inc. Class B common stock will be initially owned by Post and may only be transferred to affiliates of Post (other than us). The 97,474,179 shares of our Class A common stock issuable upon redemption of BellRing Brands, LLC Units held by Post would be considered “restricted securities,” as that term is defined in Rule 144 at the time of this offering.</w:t>
      </w:r>
    </w:p>
    <w:p>
      <w:pPr>
        <w:spacing w:after="0" w:line="18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 under the Securities Act.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Post and certain of our executive officers and directors will enter into lock-up agreements under which they will agree not to sell or otherwise transfer shares of our Class A common stock or BellRing Brands, LLC Units or securities, convertible into or exchangeable for shares of our Class A stock as applicable, for a period of 180 days after the date of this prospectus. These lock-up restrictions may be extended in specified circumstances and are subject to certain exceptions. For more information, see “Underwriting (Conflicts of Interest).” As a result of these contractual restrictions, shares of our Class A common stock and the other securities subject to lock-up agreements will not be eligible for sale until these agreements expire or the restrictions are waived by the underwriters. When determining whether or not to release our Class A common stock and other securities from lock-up agreements, Morgan Stanley &amp; Co. LLC, Citigroup Global Markets Inc., J.P. Morgan Securities LLC and Goldman Sachs &amp; Co. LLC will consider, among other factors, the holder’s reasons for requesting the release, the number of shares for which the release is being requested and market conditions at the time of the request. In the event of such release or waiver for one of our directors or officers, Morgan Stanley &amp; Co. LLC, Citigroup Global Markets Inc., J.P. Morgan Securities LLC and Goldman Sachs &amp; Co. LLC shall provide us with notice of the impending release or waiver at least three business days before the effective date of such release or waiver and we will announce the impending release or waiver by issuing a press release through a major news service at least two business days before the effective date of the release or waiver.</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240" w:top="460"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In addition, we will agree with the underwriters not to sell any shares of our Class A common stock or securities convertible into or exchangeable for shares of our Class A common stock for a period of 180 days after the date of this prospectus, subject to certain exceptions, including for sales in connection with this offering or with the grant or exercise of stock based equity awards. The underwriters may, at any time, waive these restrictions.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In general, under Rule 144 as in effect on the date of this prospectus, once we have been subject to public company reporting requirements for at least ninety days, a person who has beneficially owned shares proposed to be sold for at least six months, including the holding period of any prior owner other than an affiliate of us, and who is not deemed to have been one of our affiliates for purposes of the Securities Act at any time during the ninety days preceding a sale, will be entitled to sell, upon expiration of the lock-up agreements described above, such shares without complying with the manner of sale, volume limitation or notice provisions of Rule 144, subject to compliance with the public information requirements of Rule 144. Such a non-affiliated person who has beneficially owned the shares proposed to be sold for at least one year, including the holding period of any prior owner other than an affiliate of us, will be entitled to sell these shares without limitation.</w:t>
      </w:r>
    </w:p>
    <w:p>
      <w:pPr>
        <w:spacing w:after="0" w:line="178"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general, under Rule 144, our affiliates or persons selling shares on behalf of our affiliates will be entitled to sell upon expiration of the 180-day lock-up period described above, within any three-month period, a number of shares that does not exceed the greater of:</w:t>
      </w:r>
    </w:p>
    <w:p>
      <w:pPr>
        <w:spacing w:after="0" w:line="76" w:lineRule="exact"/>
        <w:rPr>
          <w:sz w:val="20"/>
          <w:szCs w:val="20"/>
          <w:color w:val="auto"/>
        </w:rPr>
      </w:pPr>
    </w:p>
    <w:p>
      <w:pPr>
        <w:ind w:left="1180" w:right="200" w:hanging="544"/>
        <w:spacing w:after="0" w:line="264" w:lineRule="auto"/>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which will equal approximately 300,000 shares immediately after this offering (assuming the underwriters do not elect to exercise their over-allotment option to purchase additional shares of our Class A common stock); or</w:t>
      </w:r>
    </w:p>
    <w:p>
      <w:pPr>
        <w:spacing w:after="0" w:line="86" w:lineRule="exact"/>
        <w:rPr>
          <w:rFonts w:ascii="Arial" w:cs="Arial" w:eastAsia="Arial" w:hAnsi="Arial"/>
          <w:sz w:val="18"/>
          <w:szCs w:val="18"/>
          <w:color w:val="auto"/>
        </w:rPr>
      </w:pPr>
    </w:p>
    <w:p>
      <w:pPr>
        <w:ind w:left="1180" w:right="160" w:hanging="544"/>
        <w:spacing w:after="0" w:line="277" w:lineRule="auto"/>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on the NYSE during the four calendar weeks before a notice of the sale is filed on Form 144 with respect to such sale.</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Sales by our affiliates or persons selling shares on behalf of our affiliates under Rule 144 also are subject to manner of sale and notice provisions and to the availability of public information about 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Statement on Form S-8</w:t>
      </w:r>
    </w:p>
    <w:p>
      <w:pPr>
        <w:spacing w:after="0" w:line="12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intend to file with the SEC a registration statement on Form S-8 covering the shares of our Class A common stock reserved for issuance under the 2019 LTIP. That registration statement is expected to be filed and become effective as soon as practicable after the closing of this offering. Upon effectiveness, the shares of our Class A common stock that will be covered by that registration statement and issued pursuant to the terms of the 2019 LTIP will be eligible for sale by the recipient in the public market, subject to the lock-up agreements and Rule 144 restrictions described above.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 the date this offering is completed, we will enter into an investor rights agreement with Post pursuant to which, among other things, we will grant Post and its affiliates certain registration rights with respect to our Class A common stock owned by Post and its affiliates. For more information, see “Certain Relationships and Related Party Transactions—Post-Offering Relationship with Post—Investor Rights Agreement.” Pursuant to the lock-up arrangements described above, Post and its affiliates will agree not to exercise those rights during the lock-up period without the prior written consent of the underwriters.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Pre-Offering Relationship with Post</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currently operate as Post’s Active Nutrition business. As a result, in the ordinary course of our business, Post has provided us with various services, including finance, information technology, legal, human resources, quality, supply chain and purchasing functions. Our combined statement of operations and comprehensive income includes allocations of general and administrative costs, including stock-based compensation expense, related to these functions. For more information regarding these allocations, see Note 8 of “Notes to Condensed Combined Financial Statements” for the nine months ended June 30, 2019 and 2018 and Note 10 of “Notes to Combined Financial Statements” for the three fiscal years ended September 30, 2018 included in this prospectus.</w:t>
      </w:r>
    </w:p>
    <w:p>
      <w:pPr>
        <w:spacing w:after="0" w:line="193"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also will enter into certain agreements with Post in connection with this offering and relating to our relationship with Post after this offering, which are described below.</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Post-Offering Relationship with Post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enter into the following agreements with Post relating to this offering and our relationship with Post after this offering:</w:t>
      </w:r>
    </w:p>
    <w:p>
      <w:pPr>
        <w:spacing w:after="0" w:line="131" w:lineRule="exact"/>
        <w:rPr>
          <w:sz w:val="20"/>
          <w:szCs w:val="20"/>
          <w:color w:val="auto"/>
        </w:rPr>
      </w:pPr>
    </w:p>
    <w:p>
      <w:pPr>
        <w:ind w:left="1180" w:hanging="544"/>
        <w:spacing w:after="0"/>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master transaction agreement;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employee matters agreement;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investor rights agreement;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amended and restated limited liability company agreement;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tax matters agreement;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tax receivable agreement;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master services agreement.</w:t>
      </w:r>
    </w:p>
    <w:p>
      <w:pPr>
        <w:spacing w:after="0" w:line="225"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material terms to be included in each of these agreements are summarized below. The summary of each such agreement is qualified by reference in its entirety to the full text of the applicable agreement, each of which are or will be filed as an exhibit to the registration statement of which this prospectus is a part.</w:t>
      </w:r>
    </w:p>
    <w:p>
      <w:pPr>
        <w:spacing w:after="0" w:line="18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b w:val="1"/>
          <w:bCs w:val="1"/>
          <w:i w:val="1"/>
          <w:iCs w:val="1"/>
          <w:color w:val="auto"/>
        </w:rPr>
        <w:t xml:space="preserve">Master Transaction Agreement. </w:t>
      </w:r>
      <w:r>
        <w:rPr>
          <w:rFonts w:ascii="Arial" w:cs="Arial" w:eastAsia="Arial" w:hAnsi="Arial"/>
          <w:sz w:val="18"/>
          <w:szCs w:val="18"/>
          <w:color w:val="auto"/>
        </w:rPr>
        <w:t>Prior to the completion of this offering, BellRing Brands, Inc. and BellRing Brands, LLC will enter into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master transaction agreement with Post which will set forth the agreements among BellRing Brands, Inc., BellRing Brands, LLC and its subsidiaries, and Post and its subsidiaries (other than us), regarding the principal transactions required to effect the formation transactions and this offering, and will govern the relationship between Post and us after this offering. For a description of the formation transactions, see “Prospectus Summary—Formation Transactions.”</w:t>
      </w:r>
    </w:p>
    <w:p>
      <w:pPr>
        <w:spacing w:after="0" w:line="188"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i w:val="1"/>
          <w:iCs w:val="1"/>
          <w:color w:val="auto"/>
        </w:rPr>
        <w:t xml:space="preserve">Formation Transactions and Allocation of Assets and Liabilities. </w:t>
      </w:r>
      <w:r>
        <w:rPr>
          <w:rFonts w:ascii="Arial" w:cs="Arial" w:eastAsia="Arial" w:hAnsi="Arial"/>
          <w:sz w:val="17"/>
          <w:szCs w:val="17"/>
          <w:color w:val="auto"/>
        </w:rPr>
        <w:t>The master transaction agreement will detail the steps and related timing 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formation transactions. The master transaction agreement also will identify assets to be transferred, liabilities to be assumed and contracts to be assigned to each of BellRing Brands, LLC and Post as part of the separation of the Active Nutrition business from Post.</w:t>
      </w:r>
    </w:p>
    <w:p>
      <w:pPr>
        <w:spacing w:after="0" w:line="166"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master transaction agreement will provide, among other things, that, subject to certain exceptions and the terms and conditions contained therein, on the date this offering is completed:</w:t>
      </w:r>
    </w:p>
    <w:p>
      <w:pPr>
        <w:spacing w:after="0" w:line="76" w:lineRule="exact"/>
        <w:rPr>
          <w:sz w:val="20"/>
          <w:szCs w:val="20"/>
          <w:color w:val="auto"/>
        </w:rPr>
      </w:pPr>
    </w:p>
    <w:p>
      <w:pPr>
        <w:ind w:left="1180" w:right="200" w:hanging="544"/>
        <w:spacing w:after="0" w:line="312" w:lineRule="auto"/>
        <w:tabs>
          <w:tab w:leader="none" w:pos="11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assets exclusively related to the business and operations of Post’s Active Nutrition business as well as certain other assets mutually agreed upon by Post and BellRing Brands, LLC, which we collectively refer to as the “BellRing Brands, LLC Assets,” will, to the extent not already held by BellRing Brands, LLC or one of its subsidiaries, be transferred to BellRing Brands, LLC or one of its subsidiaries;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80" w:hanging="544"/>
        <w:spacing w:after="0" w:line="259" w:lineRule="auto"/>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certain liabilities (including whether accrued, contingent or otherwise) arising out of or resulting from the BellRing Brands, LLC Assets, and other liabilities related to the businesses and operations of Post’s Active Nutrition business, as well as certain other liabilities mutually agreed upon by Post and BellRing Brands, LLC, which we collectively refer to as the “BellRing Brands, LLC Liabilities,” will be retained by or transferred to BellRing Brands, LLC or one of its subsidiaries; and</w:t>
      </w:r>
    </w:p>
    <w:p>
      <w:pPr>
        <w:spacing w:after="0" w:line="92" w:lineRule="exact"/>
        <w:rPr>
          <w:rFonts w:ascii="Arial" w:cs="Arial" w:eastAsia="Arial" w:hAnsi="Arial"/>
          <w:sz w:val="18"/>
          <w:szCs w:val="18"/>
          <w:color w:val="auto"/>
        </w:rPr>
      </w:pPr>
    </w:p>
    <w:p>
      <w:pPr>
        <w:ind w:left="1180" w:right="240" w:hanging="544"/>
        <w:spacing w:after="0" w:line="273" w:lineRule="auto"/>
        <w:tabs>
          <w:tab w:leader="none" w:pos="11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all other assets and liabilities (including whether accrued, contingent or otherwise) other than the independent liabilities of BellRing Brands, Inc. which are not otherwise included in the BellRing Brands, LLC Liabilities (such liabilities are referred to as the “BellRing Brands, Inc. Liabilities”), the BellRing Brands, LLC Assets and the BellRing Brands, LLC Liabilities (such assets and liabilities, other than the BellRing Brands, Inc. Liabilities, the BellRing Brands, LLC Assets and the BellRing Brands, LLC Liabilities, are referred to as the “Post Assets” and the “Post Liabilities,” respectively) will be retained by or transferred to Post or one of its subsidiaries (other than BellRing Brands, Inc. and BellRing Brands, LLC and its subsidiaries).</w:t>
      </w:r>
    </w:p>
    <w:p>
      <w:pPr>
        <w:spacing w:after="0" w:line="17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Except as may expressly be set forth in the master transaction agreement or any other ancillary agreements, all assets will be transferred on an “as is,” “where is” basis, and the respective transferees will bear the economic and legal risks that (1) any conveyance will prove to be insufficient to vest in the transferee good title, free and clear of any security interest, and (2) any necessary consents or governmental approvals may not be obtained or any requirements of laws or judgments may not be complied with.</w:t>
      </w:r>
    </w:p>
    <w:p>
      <w:pPr>
        <w:spacing w:after="0" w:line="18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i w:val="1"/>
          <w:iCs w:val="1"/>
          <w:color w:val="auto"/>
        </w:rPr>
        <w:t xml:space="preserve">Claims. </w:t>
      </w:r>
      <w:r>
        <w:rPr>
          <w:rFonts w:ascii="Arial" w:cs="Arial" w:eastAsia="Arial" w:hAnsi="Arial"/>
          <w:sz w:val="18"/>
          <w:szCs w:val="18"/>
          <w:color w:val="auto"/>
        </w:rPr>
        <w:t>The master transaction agreement will provide that, in general, Post and BellRing Brands, LLC will assume liability for all pending,</w:t>
      </w:r>
      <w:r>
        <w:rPr>
          <w:rFonts w:ascii="Arial" w:cs="Arial" w:eastAsia="Arial" w:hAnsi="Arial"/>
          <w:sz w:val="18"/>
          <w:szCs w:val="18"/>
          <w:i w:val="1"/>
          <w:iCs w:val="1"/>
          <w:color w:val="auto"/>
        </w:rPr>
        <w:t xml:space="preserve"> </w:t>
      </w:r>
      <w:r>
        <w:rPr>
          <w:rFonts w:ascii="Arial" w:cs="Arial" w:eastAsia="Arial" w:hAnsi="Arial"/>
          <w:sz w:val="18"/>
          <w:szCs w:val="18"/>
          <w:color w:val="auto"/>
        </w:rPr>
        <w:t>threatened and unasserted legal matters related to its own business or its assumed or retained liabilities and will indemnify the other party for any liability to the extent arising out of or resulting from such assumed or retained legal matters.</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 xml:space="preserve">Further Assurances. </w:t>
      </w:r>
      <w:r>
        <w:rPr>
          <w:rFonts w:ascii="Arial" w:cs="Arial" w:eastAsia="Arial" w:hAnsi="Arial"/>
          <w:sz w:val="18"/>
          <w:szCs w:val="18"/>
          <w:color w:val="auto"/>
        </w:rPr>
        <w:t>The master transaction agreement will provide that, to the extent that any transfers or assignments contemplated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master transaction agreement have not been consummated immediately after this offering, the parties will agree to cooperate to effect such transfers as promptly as practicable following this offering. In addition, pursuant to the master transaction agreement, each of the parties will agree to cooperate with the other parties and use reasonable best efforts to take or to cause to be taken all actions, and to do, or to cause to be done, all things reasonably necessary under applicable law or contractual obligations to consummate and make effective the transactions contemplated by the master transaction agreement and the other ancillary agreements.</w:t>
      </w:r>
    </w:p>
    <w:p>
      <w:pPr>
        <w:spacing w:after="0" w:line="193"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i w:val="1"/>
          <w:iCs w:val="1"/>
          <w:color w:val="auto"/>
        </w:rPr>
        <w:t xml:space="preserve">Initial Public Offering. </w:t>
      </w:r>
      <w:r>
        <w:rPr>
          <w:rFonts w:ascii="Arial" w:cs="Arial" w:eastAsia="Arial" w:hAnsi="Arial"/>
          <w:sz w:val="18"/>
          <w:szCs w:val="18"/>
          <w:color w:val="auto"/>
        </w:rPr>
        <w:t>Pursuant to the master transaction agreement, we will cooperate with Post to accomplish this offering and will, at Post’s</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promptly take any and all actions necessary or desirable to effect this offering.</w:t>
      </w:r>
    </w:p>
    <w:p>
      <w:pPr>
        <w:spacing w:after="0" w:line="170" w:lineRule="exact"/>
        <w:rPr>
          <w:sz w:val="20"/>
          <w:szCs w:val="20"/>
          <w:color w:val="auto"/>
        </w:rPr>
      </w:pPr>
    </w:p>
    <w:p>
      <w:pPr>
        <w:ind w:left="200" w:right="240" w:firstLine="441"/>
        <w:spacing w:after="0" w:line="293" w:lineRule="auto"/>
        <w:rPr>
          <w:sz w:val="20"/>
          <w:szCs w:val="20"/>
          <w:color w:val="auto"/>
        </w:rPr>
      </w:pPr>
      <w:r>
        <w:rPr>
          <w:rFonts w:ascii="Arial" w:cs="Arial" w:eastAsia="Arial" w:hAnsi="Arial"/>
          <w:sz w:val="16"/>
          <w:szCs w:val="16"/>
          <w:i w:val="1"/>
          <w:iCs w:val="1"/>
          <w:color w:val="auto"/>
        </w:rPr>
        <w:t xml:space="preserve">Releases. </w:t>
      </w:r>
      <w:r>
        <w:rPr>
          <w:rFonts w:ascii="Arial" w:cs="Arial" w:eastAsia="Arial" w:hAnsi="Arial"/>
          <w:sz w:val="16"/>
          <w:szCs w:val="16"/>
          <w:color w:val="auto"/>
        </w:rPr>
        <w:t>The master transaction agreement will provide that, except as otherwise provided in the master transaction agreement or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ancillary agreements, each of BellRing Brands, Inc. and BellRing Brands, LLC, on the one hand, and Post, on the other hand, will release and forever discharge the other party(ies) and their respective subsidiaries and affiliates from all liabilities existing or arising from any acts or events occurring or failing to occur or alleged to have occurred or to have failed to occur or any conditions existing or alleged to have existed on or before the consummation of this offering. The releases will not extend to obligations or liabilities under any agreements between the parties that remain in effect following the separation, which agreements include, but are not limited to, the master transaction agreement and the ancillary agreements.</w:t>
      </w:r>
    </w:p>
    <w:p>
      <w:pPr>
        <w:spacing w:after="0" w:line="165"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i w:val="1"/>
          <w:iCs w:val="1"/>
          <w:color w:val="auto"/>
        </w:rPr>
        <w:t xml:space="preserve">Financial Reporting Covenants; Auditors and Audits; Annual Financial Statements and Accounting. </w:t>
      </w:r>
      <w:r>
        <w:rPr>
          <w:rFonts w:ascii="Arial" w:cs="Arial" w:eastAsia="Arial" w:hAnsi="Arial"/>
          <w:sz w:val="16"/>
          <w:szCs w:val="16"/>
          <w:color w:val="auto"/>
        </w:rPr>
        <w:t>Under the master transaction agreement each</w:t>
      </w:r>
      <w:r>
        <w:rPr>
          <w:rFonts w:ascii="Arial" w:cs="Arial" w:eastAsia="Arial" w:hAnsi="Arial"/>
          <w:sz w:val="16"/>
          <w:szCs w:val="16"/>
          <w:i w:val="1"/>
          <w:iCs w:val="1"/>
          <w:color w:val="auto"/>
        </w:rPr>
        <w:t xml:space="preserve"> </w:t>
      </w:r>
      <w:r>
        <w:rPr>
          <w:rFonts w:ascii="Arial" w:cs="Arial" w:eastAsia="Arial" w:hAnsi="Arial"/>
          <w:sz w:val="16"/>
          <w:szCs w:val="16"/>
          <w:color w:val="auto"/>
        </w:rPr>
        <w:t>of BellRing Brands, Inc. and BellRing Brands, LLC will agree that, until such time as Post is no longer required to include, for any fiscal year presented in any Form 10-K of Post, the consolidated results of operations and financial position of BellRing Brands, Inc. or any of its subsidiaries or to</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account for its investment in BellRing Brands, Inc. or any of its subsidiaries under the equity method of accounting, among other things (all references to “BellRing Brands, Inc. and its subsidiaries” include BellRing Brands, LLC and its subsidiaries, as applicable):</w:t>
      </w:r>
    </w:p>
    <w:p>
      <w:pPr>
        <w:spacing w:after="0" w:line="76" w:lineRule="exact"/>
        <w:rPr>
          <w:sz w:val="20"/>
          <w:szCs w:val="20"/>
          <w:color w:val="auto"/>
        </w:rPr>
      </w:pPr>
    </w:p>
    <w:p>
      <w:pPr>
        <w:ind w:left="1180" w:hanging="544"/>
        <w:spacing w:after="0" w:line="255" w:lineRule="auto"/>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BellRing Brands, Inc. and its subsidiaries will maintain disclosure controls and procedures and internal control over financial reporting that will provide reasonable assurance that, among other things, (1) its annual and quarterly financial statements are reliable and timely prepared in accordance with GAAP and applicable law, (2) its transactions are recorded as necessary to permit the preparation of its financial statements, (3) receipts and expenditures are authorized at the appropriate level within BellRing Brands, Inc. and its subsidiaries, as applicable and (4) unauthorized uses and dispositions of assets that could have a material effect on its financial statements are prevented or detected in a timely manner;</w:t>
      </w:r>
    </w:p>
    <w:p>
      <w:pPr>
        <w:spacing w:after="0" w:line="98" w:lineRule="exact"/>
        <w:rPr>
          <w:rFonts w:ascii="Arial" w:cs="Arial" w:eastAsia="Arial" w:hAnsi="Arial"/>
          <w:sz w:val="18"/>
          <w:szCs w:val="18"/>
          <w:color w:val="auto"/>
        </w:rPr>
      </w:pPr>
    </w:p>
    <w:p>
      <w:pPr>
        <w:ind w:left="1180" w:hanging="544"/>
        <w:spacing w:after="0"/>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BellRing Brands, Inc. and its subsidiaries will maintain the same fiscal year as Post;</w:t>
      </w:r>
    </w:p>
    <w:p>
      <w:pPr>
        <w:spacing w:after="0" w:line="130" w:lineRule="exact"/>
        <w:rPr>
          <w:rFonts w:ascii="Arial" w:cs="Arial" w:eastAsia="Arial" w:hAnsi="Arial"/>
          <w:sz w:val="18"/>
          <w:szCs w:val="18"/>
          <w:color w:val="auto"/>
        </w:rPr>
      </w:pPr>
    </w:p>
    <w:p>
      <w:pPr>
        <w:ind w:left="1180" w:right="180" w:hanging="544"/>
        <w:spacing w:after="0" w:line="342" w:lineRule="auto"/>
        <w:tabs>
          <w:tab w:leader="none" w:pos="11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BellRing Brands, Inc. and/or BellRing Brands, LLC will establish a disclosure committee that will review BellRing Brands, Inc.’s Forms 10-K, 10-Q and other significant filings with the SEC, and permit employees selected by Post to attend such committee’s meetings;</w:t>
      </w:r>
    </w:p>
    <w:p>
      <w:pPr>
        <w:spacing w:after="0" w:line="29" w:lineRule="exact"/>
        <w:rPr>
          <w:rFonts w:ascii="Arial" w:cs="Arial" w:eastAsia="Arial" w:hAnsi="Arial"/>
          <w:sz w:val="16"/>
          <w:szCs w:val="16"/>
          <w:color w:val="auto"/>
        </w:rPr>
      </w:pPr>
    </w:p>
    <w:p>
      <w:pPr>
        <w:jc w:val="both"/>
        <w:ind w:left="1180" w:right="60" w:hanging="544"/>
        <w:spacing w:after="0" w:line="279" w:lineRule="auto"/>
        <w:tabs>
          <w:tab w:leader="none" w:pos="11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BellRing Brands, Inc. will coordinate with Post regarding the timing and content of BellRing Brands, Inc.’s earnings releases and financial guidance, and BellRing Brands, Inc. and its subsidiaries will cooperate fully (and cause their independent auditors to cooperate fully) with Post in connection with any of Post’s SEC, NYSE (or such other national security exchange on which the Class A common stock is listed) and other public filings, press releases and public and private offering documents;</w:t>
      </w:r>
    </w:p>
    <w:p>
      <w:pPr>
        <w:spacing w:after="0" w:line="76" w:lineRule="exact"/>
        <w:rPr>
          <w:rFonts w:ascii="Arial" w:cs="Arial" w:eastAsia="Arial" w:hAnsi="Arial"/>
          <w:sz w:val="17"/>
          <w:szCs w:val="17"/>
          <w:color w:val="auto"/>
        </w:rPr>
      </w:pPr>
    </w:p>
    <w:p>
      <w:pPr>
        <w:ind w:left="1180" w:hanging="544"/>
        <w:spacing w:after="0"/>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BellRing Brands, Inc. and its subsidiaries will not change their independent auditors without Post’s prior written consent;</w:t>
      </w:r>
    </w:p>
    <w:p>
      <w:pPr>
        <w:spacing w:after="0" w:line="130" w:lineRule="exact"/>
        <w:rPr>
          <w:rFonts w:ascii="Arial" w:cs="Arial" w:eastAsia="Arial" w:hAnsi="Arial"/>
          <w:sz w:val="18"/>
          <w:szCs w:val="18"/>
          <w:color w:val="auto"/>
        </w:rPr>
      </w:pPr>
    </w:p>
    <w:p>
      <w:pPr>
        <w:jc w:val="both"/>
        <w:ind w:left="1180" w:right="40" w:hanging="544"/>
        <w:spacing w:after="0" w:line="342" w:lineRule="auto"/>
        <w:tabs>
          <w:tab w:leader="none" w:pos="11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BellRing Brands, Inc. and its subsidiaries will use their reasonable best efforts to enable their independent auditors to complete their audits of BellRing Brands, Inc.’s and its subsidiaries’ financial statements in a timely manner so as to permit timely filing of Post’s public filings;</w:t>
      </w:r>
    </w:p>
    <w:p>
      <w:pPr>
        <w:spacing w:after="0" w:line="29" w:lineRule="exact"/>
        <w:rPr>
          <w:rFonts w:ascii="Arial" w:cs="Arial" w:eastAsia="Arial" w:hAnsi="Arial"/>
          <w:sz w:val="16"/>
          <w:szCs w:val="16"/>
          <w:color w:val="auto"/>
        </w:rPr>
      </w:pPr>
    </w:p>
    <w:p>
      <w:pPr>
        <w:ind w:left="1180" w:right="120" w:hanging="544"/>
        <w:spacing w:after="0" w:line="302" w:lineRule="auto"/>
        <w:tabs>
          <w:tab w:leader="none" w:pos="11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BellRing Brands, Inc. and its subsidiaries will provide to Post and its independent auditors all information required for Post to meet its schedule for the filing and distribution of its financial statements and to make available to Post and its independent auditors all documents necessary for the annual audit of BellRing Brands, Inc. and its subsidiaries as well as access to the responsible company personnel so that Post and its independent auditors may conduct their audits relating to BellRing Brands, Inc.’s and its subsidiaries’ financial statements;</w:t>
      </w:r>
    </w:p>
    <w:p>
      <w:pPr>
        <w:spacing w:after="0" w:line="59" w:lineRule="exact"/>
        <w:rPr>
          <w:rFonts w:ascii="Arial" w:cs="Arial" w:eastAsia="Arial" w:hAnsi="Arial"/>
          <w:sz w:val="16"/>
          <w:szCs w:val="16"/>
          <w:color w:val="auto"/>
        </w:rPr>
      </w:pPr>
    </w:p>
    <w:p>
      <w:pPr>
        <w:ind w:left="1180" w:right="280" w:hanging="544"/>
        <w:spacing w:after="0" w:line="264" w:lineRule="auto"/>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BellRing Brands, Inc. and its subsidiaries will adhere to certain specified Post accounting policies and notify and consult with Post regarding any changes to accounting principles and estimates used in the preparation of financial statements, and any deficiencies in, or violations of law in connection with, internal control over financial reporting;</w:t>
      </w:r>
    </w:p>
    <w:p>
      <w:pPr>
        <w:spacing w:after="0" w:line="86" w:lineRule="exact"/>
        <w:rPr>
          <w:rFonts w:ascii="Arial" w:cs="Arial" w:eastAsia="Arial" w:hAnsi="Arial"/>
          <w:sz w:val="18"/>
          <w:szCs w:val="18"/>
          <w:color w:val="auto"/>
        </w:rPr>
      </w:pPr>
    </w:p>
    <w:p>
      <w:pPr>
        <w:ind w:left="1180" w:right="100" w:hanging="544"/>
        <w:spacing w:after="0" w:line="259" w:lineRule="auto"/>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BellRing Brands, Inc. and its subsidiaries will, at the times and in the manner set forth in the master transaction agreement, deliver to Post consolidated financial statements and other financial information, quarterly business process reviews, annual budgets and financial projections, and other information reasonably requested by Post, and make their personnel and the personnel of their independent auditors available to Post; and</w:t>
      </w:r>
    </w:p>
    <w:p>
      <w:pPr>
        <w:spacing w:after="0" w:line="92" w:lineRule="exact"/>
        <w:rPr>
          <w:rFonts w:ascii="Arial" w:cs="Arial" w:eastAsia="Arial" w:hAnsi="Arial"/>
          <w:sz w:val="18"/>
          <w:szCs w:val="18"/>
          <w:color w:val="auto"/>
        </w:rPr>
      </w:pPr>
    </w:p>
    <w:p>
      <w:pPr>
        <w:ind w:left="1180" w:right="20" w:hanging="544"/>
        <w:spacing w:after="0" w:line="257" w:lineRule="auto"/>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BellRing Brands, Inc. and its subsidiaries will promptly report in reasonable detail to Post the following events or circumstances that they become aware of: (1) significant deficiencies and material weaknesses which are reasonably likely to adversely affect any of their ability to report financial information; (2) any fraud that involves management or other employees who have a significant role in their internal control over financial reporting; (3) illegal acts; and (4) any report of a material violation of law made pursuant to the SEC’s attorney conduct rules.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firstLine="441"/>
        <w:spacing w:after="0" w:line="302" w:lineRule="auto"/>
        <w:rPr>
          <w:sz w:val="20"/>
          <w:szCs w:val="20"/>
          <w:color w:val="auto"/>
        </w:rPr>
      </w:pPr>
      <w:r>
        <w:rPr>
          <w:rFonts w:ascii="Arial" w:cs="Arial" w:eastAsia="Arial" w:hAnsi="Arial"/>
          <w:sz w:val="16"/>
          <w:szCs w:val="16"/>
          <w:i w:val="1"/>
          <w:iCs w:val="1"/>
          <w:color w:val="auto"/>
        </w:rPr>
        <w:t xml:space="preserve">Indemnification. </w:t>
      </w:r>
      <w:r>
        <w:rPr>
          <w:rFonts w:ascii="Arial" w:cs="Arial" w:eastAsia="Arial" w:hAnsi="Arial"/>
          <w:sz w:val="16"/>
          <w:szCs w:val="16"/>
          <w:color w:val="auto"/>
        </w:rPr>
        <w:t>The master transaction agreement will provide for cross-indemnities principally designed to place financial responsibility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and liabilities of our business with us and financial responsibility for the obligations and liabilities of Post’s business with Post. Specifically, BellRing Brands, LLC and Post will indemnify, defend and hold harmless the other party and its affiliates and subsidiaries and their respective officers, directors, employees and agents (collectively, the “indemnified parties”) for any losses arising out of or otherwise in connection with:</w:t>
      </w:r>
    </w:p>
    <w:p>
      <w:pPr>
        <w:spacing w:after="0" w:line="60" w:lineRule="exact"/>
        <w:rPr>
          <w:sz w:val="20"/>
          <w:szCs w:val="20"/>
          <w:color w:val="auto"/>
        </w:rPr>
      </w:pPr>
    </w:p>
    <w:p>
      <w:pPr>
        <w:ind w:left="1180" w:right="60" w:hanging="544"/>
        <w:spacing w:after="0" w:line="264" w:lineRule="auto"/>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liabilities that each such party assumed or retained pursuant to the master transaction agreement (which, in the case of BellRing Brands, LLC, would include the BellRing Brands, Inc. Liabilities and the BellRing Brands, LLC Liabilities and, in the case of Post, would include the Post Liabilities) and the other ancillary agreements;</w:t>
      </w:r>
    </w:p>
    <w:p>
      <w:pPr>
        <w:spacing w:after="0" w:line="86" w:lineRule="exact"/>
        <w:rPr>
          <w:rFonts w:ascii="Arial" w:cs="Arial" w:eastAsia="Arial" w:hAnsi="Arial"/>
          <w:sz w:val="18"/>
          <w:szCs w:val="18"/>
          <w:color w:val="auto"/>
        </w:rPr>
      </w:pPr>
    </w:p>
    <w:p>
      <w:pPr>
        <w:ind w:left="1180" w:right="160" w:hanging="544"/>
        <w:spacing w:after="0" w:line="264" w:lineRule="auto"/>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failure of BellRing Brands, Inc., BellRing Brands, LLC or Post to pay, perform or otherwise promptly discharge any of the BellRing Brands, Inc. Liabilities, the BellRing Brands, LLC Liabilities or the Post Liabilities, respectively, in accordance with their terms, whether prior to, at or after the consummation of this offering;</w:t>
      </w:r>
    </w:p>
    <w:p>
      <w:pPr>
        <w:spacing w:after="0" w:line="86" w:lineRule="exact"/>
        <w:rPr>
          <w:rFonts w:ascii="Arial" w:cs="Arial" w:eastAsia="Arial" w:hAnsi="Arial"/>
          <w:sz w:val="18"/>
          <w:szCs w:val="18"/>
          <w:color w:val="auto"/>
        </w:rPr>
      </w:pPr>
    </w:p>
    <w:p>
      <w:pPr>
        <w:ind w:left="1180" w:right="320" w:hanging="544"/>
        <w:spacing w:after="0" w:line="277" w:lineRule="auto"/>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breach by such party (which, in the case of BellRing Brands, LLC, would include a breach by BellRing Brands, Inc.) of the master transaction agreement or the other ancillary agreements; and</w:t>
      </w:r>
    </w:p>
    <w:p>
      <w:pPr>
        <w:spacing w:after="0" w:line="75" w:lineRule="exact"/>
        <w:rPr>
          <w:rFonts w:ascii="Arial" w:cs="Arial" w:eastAsia="Arial" w:hAnsi="Arial"/>
          <w:sz w:val="18"/>
          <w:szCs w:val="18"/>
          <w:color w:val="auto"/>
        </w:rPr>
      </w:pPr>
    </w:p>
    <w:p>
      <w:pPr>
        <w:ind w:left="1180" w:right="280" w:hanging="544"/>
        <w:spacing w:after="0" w:line="264" w:lineRule="auto"/>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except to the extent relating to a BellRing Brands, LLC Liability, in the case of Post, or a Post Liability, in the case of BellRing Brands, LLC, any guarantee, indemnification or contribution obligation, surety bond or other credit support agreement or arrangement for the benefit of Post or BellRing Brands, LLC, respectively.</w:t>
      </w:r>
    </w:p>
    <w:p>
      <w:pPr>
        <w:spacing w:after="0" w:line="181"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Pursuant to the master transaction agreement, BellRing Brands, LLC also will indemnify, defend and hold harmless the Post indemnified parties for any losses arising out of or otherwise in connection with any untrue statement or alleged untrue statement of a material fact or omission or alleged omission to state a material fact required to be stated therein or necessary to make the statements therein not misleading, with respect to all information</w:t>
      </w:r>
    </w:p>
    <w:p>
      <w:pPr>
        <w:ind w:left="200" w:firstLine="4"/>
        <w:spacing w:after="0" w:line="268" w:lineRule="auto"/>
        <w:tabs>
          <w:tab w:leader="none" w:pos="455" w:val="left"/>
        </w:tabs>
        <w:numPr>
          <w:ilvl w:val="0"/>
          <w:numId w:val="95"/>
        </w:numPr>
        <w:rPr>
          <w:rFonts w:ascii="Arial" w:cs="Arial" w:eastAsia="Arial" w:hAnsi="Arial"/>
          <w:sz w:val="17"/>
          <w:szCs w:val="17"/>
          <w:color w:val="auto"/>
        </w:rPr>
      </w:pPr>
      <w:r>
        <w:rPr>
          <w:rFonts w:ascii="Arial" w:cs="Arial" w:eastAsia="Arial" w:hAnsi="Arial"/>
          <w:sz w:val="17"/>
          <w:szCs w:val="17"/>
          <w:color w:val="auto"/>
        </w:rPr>
        <w:t>contained in the registration statement of which this prospectus is a part or any prospectus (other than information provided by Post to us specifically for inclusion in the registration statement of which this prospectus is a part, or any prospectus), (2) contained in any public filings made by BellRing Brands, Inc. with the SEC following this offering or (3) provided by us to Post specifically for inclusion in Post’s annual, quarterly or current reports or proxy statements following this offering to the extent (A) such information pertains to us or our business and (B) Post has provided prior written notice to us that such information will be included in one or more annual, quarterly or current reports or proxy statements, specifying how such information will be presented, and the information is included in such annual, quarterly or current reports or proxy statements (except, in the case of this clause (B), for liabilities arising out of or resulting from, or in connection with, any action or inaction of Post or any of its subsidiaries (other than us), including as a result of any misstatement or omission of any information by Post to us).</w:t>
      </w:r>
    </w:p>
    <w:p>
      <w:pPr>
        <w:spacing w:after="0" w:line="184"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Pursuant to the master transaction agreement, Post also will indemnify, defend and hold harmless our indemnified parties for any losses arising out of or otherwise in connection with any untrue statement or alleged untrue statement of a material fact or omission or alleged omission to state a material fact required to be stated therein or necessary to make the statements therein not misleading, with respect to all information (1) contained in the registration statement of which this prospectus is a part or any prospectus provided by Post specifically for inclusion therein to the extent such information pertains to (A) Post or (B) Post’s business (for the avoidance of doubt, other than our business) and (2) provided by Post to us specifically for inclusion in BellRing Brands, Inc.’s annual, quarterly or current reports or proxy statements following this offering to the extent (A) such information pertains to (x) Post or (y) Post’s business (for the avoidance of doubt, other than our business) or (B) BellRing Brands, Inc. has provided written notice to Post that such information will be included in one or more of its annual, quarterly or current reports or proxy statements, specifying how such information will be presented, and the information is included in such annual, quarterly or current reports or proxy statements (except, in the case of this clause (B), for liabilities arising out of or resulting from, or in connection with, any action or inaction of us, including as a result of any misstatement or omission of any information by us to Post).</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60"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master transaction agreement also will specify procedures with respect to claims subject to indemnification and related matters.</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Under the master transaction agreement, we will pay all costs, fees and expenses incurred in connection with this offering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formation transactions (other than costs, fees and expenses relating to the Post bridge loan as described below), or, upon the request of Post, will reimburse Post or its subsidiaries (other than us) with respect to any such costs, fees and expenses previously paid by Post or its subsidiaries (other than us). BellRing Brands, LLC will, and will cause its subsidiaries to, pay all principal and interest under the Post bridge loan; provided, however, that costs, fees and expenses incurred prior to this offering in connection with obtaining the Post bridge loan will be borne solely by Post and its subsidiaries (other than us).</w:t>
      </w:r>
    </w:p>
    <w:p>
      <w:pPr>
        <w:spacing w:after="0" w:line="19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Following the completion of this offering, BellRing Brands, LLC will, and will cause its subsidiaries to, pay to Post an amount equal to the value of all cash and cash equivalents, in each case determined in accordance with GAAP, held by BellRing Brands, LLC and its subsidiaries as of immediately prior to the consummation of this offering.</w:t>
      </w:r>
    </w:p>
    <w:p>
      <w:pPr>
        <w:spacing w:after="0" w:line="181"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i w:val="1"/>
          <w:iCs w:val="1"/>
          <w:color w:val="auto"/>
        </w:rPr>
        <w:t xml:space="preserve">Other Provisions. </w:t>
      </w:r>
      <w:r>
        <w:rPr>
          <w:rFonts w:ascii="Arial" w:cs="Arial" w:eastAsia="Arial" w:hAnsi="Arial"/>
          <w:sz w:val="16"/>
          <w:szCs w:val="16"/>
          <w:color w:val="auto"/>
        </w:rPr>
        <w:t>The master transaction agreement also will govern other matters related to the consummation of this offering, the provision and</w:t>
      </w:r>
      <w:r>
        <w:rPr>
          <w:rFonts w:ascii="Arial" w:cs="Arial" w:eastAsia="Arial" w:hAnsi="Arial"/>
          <w:sz w:val="16"/>
          <w:szCs w:val="16"/>
          <w:i w:val="1"/>
          <w:iCs w:val="1"/>
          <w:color w:val="auto"/>
        </w:rPr>
        <w:t xml:space="preserve"> </w:t>
      </w:r>
      <w:r>
        <w:rPr>
          <w:rFonts w:ascii="Arial" w:cs="Arial" w:eastAsia="Arial" w:hAnsi="Arial"/>
          <w:sz w:val="16"/>
          <w:szCs w:val="16"/>
          <w:color w:val="auto"/>
        </w:rPr>
        <w:t>retention of records, access to information, confidentiality, cooperation with respect to governmental filings and third party consents and insurance.</w:t>
      </w:r>
    </w:p>
    <w:p>
      <w:pPr>
        <w:spacing w:after="0" w:line="124" w:lineRule="exact"/>
        <w:rPr>
          <w:sz w:val="20"/>
          <w:szCs w:val="20"/>
          <w:color w:val="auto"/>
        </w:rPr>
      </w:pPr>
    </w:p>
    <w:p>
      <w:pPr>
        <w:jc w:val="both"/>
        <w:ind w:left="200" w:right="580" w:firstLine="441"/>
        <w:spacing w:after="0" w:line="264"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master transaction agreement may be terminated at any time prior to the completion of this offering by Post. The master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agreement may be terminated at any time after the completion of this offering only with the mutual consent of each of Post, BellRing Brands, Inc. and BellRing Brands, LLC.</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b w:val="1"/>
          <w:bCs w:val="1"/>
          <w:i w:val="1"/>
          <w:iCs w:val="1"/>
          <w:color w:val="auto"/>
        </w:rPr>
        <w:t>Employee Matters Agreement</w:t>
      </w:r>
      <w:r>
        <w:rPr>
          <w:rFonts w:ascii="Arial" w:cs="Arial" w:eastAsia="Arial" w:hAnsi="Arial"/>
          <w:sz w:val="18"/>
          <w:szCs w:val="18"/>
          <w:color w:val="auto"/>
        </w:rPr>
        <w:t>. As part of the formation transactions and this offering, BellRing Brands, Inc. and BellRing Brands, LLC will enter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the employee matters agreement with Post. The employee matters agreement will cover a wide range of compensation and benefit matters, including the following:</w:t>
      </w:r>
    </w:p>
    <w:p>
      <w:pPr>
        <w:spacing w:after="0" w:line="87" w:lineRule="exact"/>
        <w:rPr>
          <w:sz w:val="20"/>
          <w:szCs w:val="20"/>
          <w:color w:val="auto"/>
        </w:rPr>
      </w:pPr>
    </w:p>
    <w:p>
      <w:pPr>
        <w:ind w:left="1180" w:right="180" w:hanging="544"/>
        <w:spacing w:after="0" w:line="259" w:lineRule="auto"/>
        <w:tabs>
          <w:tab w:leader="none" w:pos="11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will continue participating in certain Post employee benefit plans and programs, with such participation to cease December 31, 2019 unless otherwise determined by Post. Effective January 1, 2020, we will establish and adopt certain replacement employee benefit plans, including our own 401(k) plan, and permit and facilitate the participation in such plans by our eligible employees (and their eligible dependents and beneficiaries);</w:t>
      </w:r>
    </w:p>
    <w:p>
      <w:pPr>
        <w:spacing w:after="0" w:line="92" w:lineRule="exact"/>
        <w:rPr>
          <w:rFonts w:ascii="Arial" w:cs="Arial" w:eastAsia="Arial" w:hAnsi="Arial"/>
          <w:sz w:val="18"/>
          <w:szCs w:val="18"/>
          <w:color w:val="auto"/>
        </w:rPr>
      </w:pPr>
    </w:p>
    <w:p>
      <w:pPr>
        <w:ind w:left="1180" w:right="40" w:hanging="544"/>
        <w:spacing w:after="0" w:line="297" w:lineRule="auto"/>
        <w:tabs>
          <w:tab w:leader="none" w:pos="11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BellRing Brands, LLC will be responsible for any liabilities associated with the participation by our employees, former employees and their dependents and beneficiaries in the Post Holdings, Inc. Health and Welfare Benefit Plan prior to terminating their participation in such plan, and should we or any of our subsidiaries adopt a nonqualified deferred compensation plan, we, or the applicable subsidiary, will assume all liabilities associated with payment of account balances attributable to our employees or former employees under the Post Holdings, Inc. Deferred Compensation Plan for Key Employees and the Post Holdings, Inc. Executive Savings Investment Plan;</w:t>
      </w:r>
    </w:p>
    <w:p>
      <w:pPr>
        <w:spacing w:after="0" w:line="63" w:lineRule="exact"/>
        <w:rPr>
          <w:rFonts w:ascii="Arial" w:cs="Arial" w:eastAsia="Arial" w:hAnsi="Arial"/>
          <w:sz w:val="16"/>
          <w:szCs w:val="16"/>
          <w:color w:val="auto"/>
        </w:rPr>
      </w:pPr>
    </w:p>
    <w:p>
      <w:pPr>
        <w:ind w:left="1180" w:right="40" w:hanging="544"/>
        <w:spacing w:after="0" w:line="255" w:lineRule="auto"/>
        <w:tabs>
          <w:tab w:leader="none" w:pos="11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Except as otherwise provided in the employee matters agreement, BellRing Brands, LLC will, or will cause its subsidiaries, to assume or retain, to pay, perform, fulfill and discharge: (i) all liabilities under all employee benefit plans and arrangements sponsored or maintained or contributed to by us, and all employee benefit plans and arrangements assumed or adopted by us, and (ii) all liabilities, whenever incurred, with respect to the employment or termination of employment of our employees and our former employees and their dependents and beneficiaries; provided, that if any employee or former employee to which any such liability relates is or was an employee exclusively of BellRing Brands, Inc. at the time such liability arose, BellRing Brands, Inc. will pay, perform, fulfill and discharge such liability in due course and in full; and</w:t>
      </w:r>
    </w:p>
    <w:p>
      <w:pPr>
        <w:spacing w:after="0" w:line="94" w:lineRule="exact"/>
        <w:rPr>
          <w:rFonts w:ascii="Arial" w:cs="Arial" w:eastAsia="Arial" w:hAnsi="Arial"/>
          <w:sz w:val="18"/>
          <w:szCs w:val="18"/>
          <w:color w:val="auto"/>
        </w:rPr>
      </w:pPr>
    </w:p>
    <w:p>
      <w:pPr>
        <w:ind w:left="1180" w:right="20" w:hanging="544"/>
        <w:spacing w:after="0" w:line="308" w:lineRule="auto"/>
        <w:tabs>
          <w:tab w:leader="none" w:pos="11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we will establish a non-qualified deferred compensation plan for eligible members of the BellRing Brands, Inc. board of directors effective January 1, 2020, and permit and facilitate the participation in such plan by eligible directors of BellRing Brands, Inc.</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00"/>
          </w:cols>
          <w:pgMar w:left="24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Additionally, under the employee matters agreement, we will use commercially reasonable efforts to maintain effective registration statements with the SEC with respect to the 2019 LTIP or any successor plan, and any equity awards issued thereunder. Restricted stock unit awards and nonqualified stock option awards issued to employees of BellRing Brands, LLC or its subsidiaries (or their predecessors) under certain Post long-term incentive plans which remain unsettled or outstanding as of the date of this offering, and any such awards issued to our employees after the date of this offering, will (i) vest or continue to vest and be settled or forfeited according to their terms, or (ii) later, if legally permissible as determined by Post and the Post board of directors or its corporate governance and compensation committee and agreed to by the BellRing Brands, Inc. board of directors, be converted into awards issued under the 2019 LTIP or any successor thereto. The corporate governance and compensation committee of the Post board of directors will have the exclusive authority to determine the treatment of any outstanding Post equity awards in the event of a subsequent spinoff or sale of Post’s retained interest in us, consistent with the terms of Post’s long-term incentive plans and any applicable award agreements thereunder. BellRing Brands, LLC and its subsidiaries will bear the monthly actual expense and the employer related payroll expense of any such outstanding awards while outstanding and due to their settlement or exercise.</w:t>
      </w:r>
    </w:p>
    <w:p>
      <w:pPr>
        <w:spacing w:after="0" w:line="173"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We and Post may terminate the employee matters agreement by mutual consent, and Post may terminate the employee matters agreement in the event of a change of control of Post, or a change of control of BellRing Brands, Inc. or the sale of all or substantially all of its consolidated assets. In the event that BellRing Brands, Inc. directly or indirectly acquires or creates a subsidiary which is not otherwise a direct or indirect subsidiary of BellRing Brands, LLC and which employs employees, Post, BellRing Brands, Inc. and BellRing Brands, LLC will re-negotiate the employee matters agreement in good faith in order to, among other items, reflect that such new subsidiary will be responsible for liabilities associated with its employees.</w:t>
      </w:r>
    </w:p>
    <w:p>
      <w:pPr>
        <w:spacing w:after="0" w:line="158" w:lineRule="exact"/>
        <w:rPr>
          <w:sz w:val="20"/>
          <w:szCs w:val="20"/>
          <w:color w:val="auto"/>
        </w:rPr>
      </w:pPr>
    </w:p>
    <w:p>
      <w:pPr>
        <w:ind w:left="200" w:right="300" w:firstLine="441"/>
        <w:spacing w:after="0" w:line="279" w:lineRule="auto"/>
        <w:rPr>
          <w:sz w:val="20"/>
          <w:szCs w:val="20"/>
          <w:color w:val="auto"/>
        </w:rPr>
      </w:pPr>
      <w:r>
        <w:rPr>
          <w:rFonts w:ascii="Arial" w:cs="Arial" w:eastAsia="Arial" w:hAnsi="Arial"/>
          <w:sz w:val="17"/>
          <w:szCs w:val="17"/>
          <w:b w:val="1"/>
          <w:bCs w:val="1"/>
          <w:i w:val="1"/>
          <w:iCs w:val="1"/>
          <w:color w:val="auto"/>
        </w:rPr>
        <w:t xml:space="preserve">Investor Rights Agreement. </w:t>
      </w:r>
      <w:r>
        <w:rPr>
          <w:rFonts w:ascii="Arial" w:cs="Arial" w:eastAsia="Arial" w:hAnsi="Arial"/>
          <w:sz w:val="17"/>
          <w:szCs w:val="17"/>
          <w:color w:val="auto"/>
        </w:rPr>
        <w:t>As part of the formation transactions and this offering, BellRing Brands, Inc. will enter into the investor rights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with Post. The investor rights agreement will provide Post with certain demand, shelf and piggyback registration rights with respect to its shares of BellRing Brands, Inc. Class A common stock and also will provide Post with certain governance rights, depending on the percentage of the total voting power of BellRing Brands, Inc. outstanding common stock held by Post.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registration rights provisions of the investor rights agreement:</w:t>
      </w:r>
    </w:p>
    <w:p>
      <w:pPr>
        <w:spacing w:after="0" w:line="131" w:lineRule="exact"/>
        <w:rPr>
          <w:sz w:val="20"/>
          <w:szCs w:val="20"/>
          <w:color w:val="auto"/>
        </w:rPr>
      </w:pPr>
    </w:p>
    <w:p>
      <w:pPr>
        <w:ind w:left="1180" w:right="540" w:hanging="544"/>
        <w:spacing w:after="0" w:line="342" w:lineRule="auto"/>
        <w:tabs>
          <w:tab w:leader="none" w:pos="11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after the completion of this offering, Post and its affiliates will have the right to cause us to conduct an unlimited number of demand registrations, subject to certain customary restrictions, which demand registrations may take the form of a shelf registration;</w:t>
      </w:r>
    </w:p>
    <w:p>
      <w:pPr>
        <w:spacing w:after="0" w:line="29" w:lineRule="exact"/>
        <w:rPr>
          <w:rFonts w:ascii="Arial" w:cs="Arial" w:eastAsia="Arial" w:hAnsi="Arial"/>
          <w:sz w:val="16"/>
          <w:szCs w:val="16"/>
          <w:color w:val="auto"/>
        </w:rPr>
      </w:pPr>
    </w:p>
    <w:p>
      <w:pPr>
        <w:ind w:left="1180" w:right="320" w:hanging="544"/>
        <w:spacing w:after="0" w:line="308" w:lineRule="auto"/>
        <w:tabs>
          <w:tab w:leader="none" w:pos="11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once we are eligible to do so, Post and its affiliates will have the right to cause us to file and have declared effective a shelf registration statement on Form S-3 with respect to all of their shares of BellRing Brands, Inc. Class A common stock; and</w:t>
      </w:r>
    </w:p>
    <w:p>
      <w:pPr>
        <w:spacing w:after="0" w:line="51" w:lineRule="exact"/>
        <w:rPr>
          <w:rFonts w:ascii="Arial" w:cs="Arial" w:eastAsia="Arial" w:hAnsi="Arial"/>
          <w:sz w:val="17"/>
          <w:szCs w:val="17"/>
          <w:color w:val="auto"/>
        </w:rPr>
      </w:pPr>
    </w:p>
    <w:p>
      <w:pPr>
        <w:ind w:left="1180" w:hanging="544"/>
        <w:spacing w:after="0"/>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Post and its affiliates will have the right to participate in certain registered offerings by us.</w:t>
      </w:r>
    </w:p>
    <w:p>
      <w:pPr>
        <w:spacing w:after="0" w:line="225"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The registration rights provisions also will contain customary provisions relating to cooperation with the registration process, black-out periods and customary securities law indemnity provisions in favor of the selling stockholders. With certain customary exceptions, we will be required to bear all registration expenses, other than underwriting discounts and commissions and transfer taxes, associated with any registration of shares pursuant to the investor rights agreement. Registration rights may be transferred by Post and its affiliates, subject to certain restrictions. No predetermined penalties or liquidated damages will be payable by us if we fail to comply with the registration rights provisions of the investor rights agreement.</w:t>
      </w:r>
    </w:p>
    <w:p>
      <w:pPr>
        <w:spacing w:after="0" w:line="15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As of the completion of this offering, our Board of Directors will have five members, divided into three classes. The investor rights agreement will provide that Post, subject to applicable corporate governance rules of the SEC and the NYSE (which may require Post to designate independent directors), will have the right to</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240" w:top="460"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designate: (i) a majority of the directors (and if the number of directors is even, one director more than 50% of the number of directors) if the votes that may be cast by Post under our amended and restated certificate of incorporation are more than 50% of the total voting power of our outstanding common stock, (ii) one less than a majority of the directors (and if the number of directors is even, 50% of the number of directors) if the votes that may be cast by Post under our amended and restated certificate of incorporation are more than 25% but 50% or less of the total voting power of our outstanding common stock and (iii) one-third of the directors (rounded down to the nearest whole number) if the votes that may be cast by Post under our amended and restated certificate of incorporation are more than 10% but 25% or less of the total voting power of our outstanding common stock. Post will lose the right to designate directors if the votes that may be cast by Post under our amended and restated certificate of incorporation are 10% or less of the total voting power of our outstanding common stock. If a vacancy is created on our Board of Directors as a result of the death, disability, retirement, resignation or removal of a director who was designated by Post, Post will have the right to designate such person’s replacement. For so long as the votes that may be cast by Post under our amended and restated certificate of incorporation are 25% or more of the outstanding BellRing Brands, Inc. common stock, Post will have the right, subject to applicable corporate governance rules of the SEC and the NYSE, to designate the members of the committees of our Board of Directors. For any person designated by Post as provided above, BellRing Brands, Inc. will ensure that such person so designated will be nominated for election and will use reasonable best efforts to cause such person to be elected as a director.</w:t>
      </w:r>
    </w:p>
    <w:p>
      <w:pPr>
        <w:spacing w:after="0" w:line="175"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The investor rights agreement will terminate when Post and its permitted transferees hold less than 2.5% of the total voting power of our outstanding common stock.</w:t>
      </w:r>
    </w:p>
    <w:p>
      <w:pPr>
        <w:spacing w:after="0" w:line="166" w:lineRule="exact"/>
        <w:rPr>
          <w:sz w:val="20"/>
          <w:szCs w:val="20"/>
          <w:color w:val="auto"/>
        </w:rPr>
      </w:pPr>
    </w:p>
    <w:p>
      <w:pPr>
        <w:ind w:left="200" w:firstLine="441"/>
        <w:spacing w:after="0" w:line="261" w:lineRule="auto"/>
        <w:rPr>
          <w:sz w:val="20"/>
          <w:szCs w:val="20"/>
          <w:color w:val="auto"/>
        </w:rPr>
      </w:pPr>
      <w:r>
        <w:rPr>
          <w:rFonts w:ascii="Arial" w:cs="Arial" w:eastAsia="Arial" w:hAnsi="Arial"/>
          <w:sz w:val="18"/>
          <w:szCs w:val="18"/>
          <w:b w:val="1"/>
          <w:bCs w:val="1"/>
          <w:i w:val="1"/>
          <w:iCs w:val="1"/>
          <w:color w:val="auto"/>
        </w:rPr>
        <w:t>Amended and Restated Limited Liability Company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 formation transactions and this offering, BellRing Brands,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Post and BellRing Brands, LLC will enter into the amended and restated limited liability company agreement, which will govern the operations of BellRing Brands, LLC and the rights and obligations of its members (which will initially be Post and us). We will operate our business through BellRing Brands, LLC and its consolidated subsidiaries.</w:t>
      </w:r>
    </w:p>
    <w:p>
      <w:pPr>
        <w:spacing w:after="0" w:line="184"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i w:val="1"/>
          <w:iCs w:val="1"/>
          <w:color w:val="auto"/>
        </w:rPr>
        <w:t>Reorganization</w:t>
      </w:r>
      <w:r>
        <w:rPr>
          <w:rFonts w:ascii="Arial" w:cs="Arial" w:eastAsia="Arial" w:hAnsi="Arial"/>
          <w:sz w:val="18"/>
          <w:szCs w:val="18"/>
          <w:color w:val="auto"/>
        </w:rPr>
        <w:t>. As part of the formation transactions, BellRing Brands, LLC will establish two new classes of its common units, a voting</w:t>
      </w:r>
      <w:r>
        <w:rPr>
          <w:rFonts w:ascii="Arial" w:cs="Arial" w:eastAsia="Arial" w:hAnsi="Arial"/>
          <w:sz w:val="18"/>
          <w:szCs w:val="18"/>
          <w:i w:val="1"/>
          <w:iCs w:val="1"/>
          <w:color w:val="auto"/>
        </w:rPr>
        <w:t xml:space="preserve"> </w:t>
      </w:r>
      <w:r>
        <w:rPr>
          <w:rFonts w:ascii="Arial" w:cs="Arial" w:eastAsia="Arial" w:hAnsi="Arial"/>
          <w:sz w:val="18"/>
          <w:szCs w:val="18"/>
          <w:color w:val="auto"/>
        </w:rPr>
        <w:t>membership unit and nonvoting common units (such nonvoting common units are referred to as BellRing Brands, LLC Units). BellRing Brands, LLC will issue one voting membership unit to BellRing Brands, Inc., which will confer the right to appoint all members of the Board of Managers of BellRing Brands, LLC. All of the existing membership interests in BellRing Brands, LLC owned by Post prior to the formation transactions will be reclassified into 97,474,179 BellRing Brands, LLC Units in connection with the formation transactions. In connection with the formation transactions and this offering, additional BellRing Brands, LLC Units will be issued to BellRing Brands, Inc. as described under “Prospectus Summary—Formation Transactions.” The Board of Managers may cause BellRing Brands, LLC to issue from time to time such additional units or other equity securities as it may determine.</w:t>
      </w:r>
    </w:p>
    <w:p>
      <w:pPr>
        <w:spacing w:after="0" w:line="192"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i w:val="1"/>
          <w:iCs w:val="1"/>
          <w:color w:val="auto"/>
        </w:rPr>
        <w:t>Governance</w:t>
      </w:r>
      <w:r>
        <w:rPr>
          <w:rFonts w:ascii="Arial" w:cs="Arial" w:eastAsia="Arial" w:hAnsi="Arial"/>
          <w:sz w:val="17"/>
          <w:szCs w:val="17"/>
          <w:color w:val="auto"/>
        </w:rPr>
        <w:t>. BellRing Brands, LLC will be managed by its Board of Managers. The number of managers of BellRing Brands, LLC will be fixed</w:t>
      </w:r>
      <w:r>
        <w:rPr>
          <w:rFonts w:ascii="Arial" w:cs="Arial" w:eastAsia="Arial" w:hAnsi="Arial"/>
          <w:sz w:val="17"/>
          <w:szCs w:val="17"/>
          <w:i w:val="1"/>
          <w:iCs w:val="1"/>
          <w:color w:val="auto"/>
        </w:rPr>
        <w:t xml:space="preserve"> </w:t>
      </w:r>
      <w:r>
        <w:rPr>
          <w:rFonts w:ascii="Arial" w:cs="Arial" w:eastAsia="Arial" w:hAnsi="Arial"/>
          <w:sz w:val="17"/>
          <w:szCs w:val="17"/>
          <w:color w:val="auto"/>
        </w:rPr>
        <w:t>from time to time exclusively by BellRing Brands, Inc., as the owner of the sole voting membership unit of BellRing Brands, LLC, but in no event will it consist of less than five nor more than twelve managers. As the owner of the sole voting membership unit, BellRing Brands, Inc. will have the sole power to appoint and remove all of the members of the Board of Managers, with or without cause. No other members of BellRing Brands, LLC, in their capacity as such, will have any authority or right to appoint members to the Board of Managers, and therefore will not control BellRing Brands, LLC. The Board of Managers will be responsible for the oversight of BellRing Brands, LLC’s operations and overall performance and strategy, while the management of the day-to-day operations of the business of BellRing Brands, LLC and the execution of business strategy will be the responsibility of the officers and employees of BellRing Brands, LLC and its subsidiaries. None of the members of BellRing Brands, LLC will have any authority or right to control the management of BellRing Brands, LLC or to bind it in connection with any matter. Post, however, will have the ability to exercise majority voting control over BellRing Brands, Inc. by virtue of its ownership of our Class B</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00"/>
          </w:cols>
          <w:pgMar w:left="240" w:top="460"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common stock (for so long as Post or its affiliates (other than us) directly own more than 50% of the BellRing Brands, LLC Units as set forth in this prospectus) and the investor rights agreement, which will give Post the ability to designate a majority of our Board of Directors (for so long as the votes that may be cast by Post under our amended and restated certificate of incorporation are more than 50% of the total voting power of our outstanding common stock).</w:t>
      </w:r>
    </w:p>
    <w:p>
      <w:pPr>
        <w:spacing w:after="0" w:line="18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i w:val="1"/>
          <w:iCs w:val="1"/>
          <w:color w:val="auto"/>
        </w:rPr>
        <w:t xml:space="preserve">Economic and Voting Rights of Members. </w:t>
      </w:r>
      <w:r>
        <w:rPr>
          <w:rFonts w:ascii="Arial" w:cs="Arial" w:eastAsia="Arial" w:hAnsi="Arial"/>
          <w:sz w:val="16"/>
          <w:szCs w:val="16"/>
          <w:color w:val="auto"/>
        </w:rPr>
        <w:t>Each BellRing Brands, LLC Unit will entitle the holder to economic rights equal to the economic rights</w:t>
      </w:r>
      <w:r>
        <w:rPr>
          <w:rFonts w:ascii="Arial" w:cs="Arial" w:eastAsia="Arial" w:hAnsi="Arial"/>
          <w:sz w:val="16"/>
          <w:szCs w:val="16"/>
          <w:i w:val="1"/>
          <w:iCs w:val="1"/>
          <w:color w:val="auto"/>
        </w:rPr>
        <w:t xml:space="preserve"> </w:t>
      </w:r>
      <w:r>
        <w:rPr>
          <w:rFonts w:ascii="Arial" w:cs="Arial" w:eastAsia="Arial" w:hAnsi="Arial"/>
          <w:sz w:val="16"/>
          <w:szCs w:val="16"/>
          <w:color w:val="auto"/>
        </w:rPr>
        <w:t>of each other BellRing Brands, LLC Unit. Other than the rights of BellRing Brands, Inc., as the holder of the sole voting membership unit, to fix the number of, and to appoint and remove, the members of the Board of Managers, the members of BellRing Brands, LLC will have no voting rights, or power or authority to vote, approve or consent to any matter or action taken, or requested to be taken, by BellRing Brands, LLC, except for certain approval rights of Post, as described below under “—Coordination of BellRing Brands, Inc. and BellRing Brands, LLC,” and the members’ rights to approve certain amendments to the amended and restated limited liability company agreement, as described below under “—Amendments.”</w:t>
      </w:r>
    </w:p>
    <w:p>
      <w:pPr>
        <w:spacing w:after="0" w:line="165" w:lineRule="exact"/>
        <w:rPr>
          <w:sz w:val="20"/>
          <w:szCs w:val="20"/>
          <w:color w:val="auto"/>
        </w:rPr>
      </w:pPr>
    </w:p>
    <w:p>
      <w:pPr>
        <w:jc w:val="both"/>
        <w:ind w:left="200" w:right="140" w:firstLine="441"/>
        <w:spacing w:after="0" w:line="302" w:lineRule="auto"/>
        <w:rPr>
          <w:sz w:val="20"/>
          <w:szCs w:val="20"/>
          <w:color w:val="auto"/>
        </w:rPr>
      </w:pPr>
      <w:r>
        <w:rPr>
          <w:rFonts w:ascii="Arial" w:cs="Arial" w:eastAsia="Arial" w:hAnsi="Arial"/>
          <w:sz w:val="16"/>
          <w:szCs w:val="16"/>
          <w:i w:val="1"/>
          <w:iCs w:val="1"/>
          <w:color w:val="auto"/>
        </w:rPr>
        <w:t xml:space="preserve">Other BellRing Brands, LLC Securities. </w:t>
      </w:r>
      <w:r>
        <w:rPr>
          <w:rFonts w:ascii="Arial" w:cs="Arial" w:eastAsia="Arial" w:hAnsi="Arial"/>
          <w:sz w:val="16"/>
          <w:szCs w:val="16"/>
          <w:color w:val="auto"/>
        </w:rPr>
        <w:t>Under the amended and restated limited liability company agreement, the Board of Managers may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future cause BellRing Brands, LLC to issue additional BellRing Brands, LLC Units or other, newly created classes of BellRing Brands, LLC securities having such rights, preferences and other terms as the Board of Managers determines, and in such amounts as the Board of Managers may determine. Any such issuance would have a dilutive effect on the economic interest BellRing Brands, Inc. holds in BellRing Brands, LLC.</w:t>
      </w:r>
    </w:p>
    <w:p>
      <w:pPr>
        <w:spacing w:after="0" w:line="154"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i w:val="1"/>
          <w:iCs w:val="1"/>
          <w:color w:val="auto"/>
        </w:rPr>
        <w:t xml:space="preserve">Distributions and Allocations. </w:t>
      </w:r>
      <w:r>
        <w:rPr>
          <w:rFonts w:ascii="Arial" w:cs="Arial" w:eastAsia="Arial" w:hAnsi="Arial"/>
          <w:sz w:val="17"/>
          <w:szCs w:val="17"/>
          <w:color w:val="auto"/>
        </w:rPr>
        <w:t>In general, under the amended and restated limited liability company agreement, BellRing Brands, LLC may make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distributions to its members from time to time at the discretion of the Board of Managers. Such distributions will be made to the members on a pro rata basis in proportion to the number of BellRing Brands, LLC Units held by each member, except that the Board of Managers may cause BellRing Brands, LLC to make non-proportionate distributions to BellRing Brands, Inc. in connection with any cash redemption of our Class A common stock. Net profits and net losses of BellRing Brands, LLC generally will be allocated to holders of BellRing Brands, LLC Units on a pro rata basis in proportion to the number of BellRing Brands, LLC units held by each member. The amended and restated limited liability company agreement will provide, to the extent cash is available, for distributions pro rata to the holders of BellRing Brands, LLC Units such that members receive an amount of cash sufficient to cover the taxes payable by them as a result of the allocation of BellRing Brands, LLC’s net profits and losses and to cover obligations of BellRing Brands, Inc. under the tax receivable agreement. In addition, the amended and restated limited liability company agreement will provide that BellRing Brands, LLC will reimburse BellRing Brands, Inc. for any reasonable out-of-pocket expenses incurred on behalf of the Company, including all fees, costs and expenses of BellRing Brands, Inc. associated with being a public company and maintaining its corporate existence. If and to the extent any such reimbursements constitute gross income to BellRing Brands, Inc. or any of its affiliates, such amounts will be treated as “guaranteed payments” within the meaning of Code Section 707(c) and will not be treated as distributions for purposes of computing the capital accounts of BellRing Brands, LLC’s members.</w:t>
      </w:r>
    </w:p>
    <w:p>
      <w:pPr>
        <w:spacing w:after="0" w:line="185"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i w:val="1"/>
          <w:iCs w:val="1"/>
          <w:color w:val="auto"/>
        </w:rPr>
        <w:t>Coordination of BellRing Brands, Inc. and BellRing Brands, LLC</w:t>
      </w:r>
      <w:r>
        <w:rPr>
          <w:rFonts w:ascii="Arial" w:cs="Arial" w:eastAsia="Arial" w:hAnsi="Arial"/>
          <w:sz w:val="17"/>
          <w:szCs w:val="17"/>
          <w:color w:val="auto"/>
        </w:rPr>
        <w:t>. Under the amended and restated limited liability company agreement, any time</w:t>
      </w:r>
      <w:r>
        <w:rPr>
          <w:rFonts w:ascii="Arial" w:cs="Arial" w:eastAsia="Arial" w:hAnsi="Arial"/>
          <w:sz w:val="17"/>
          <w:szCs w:val="17"/>
          <w:i w:val="1"/>
          <w:iCs w:val="1"/>
          <w:color w:val="auto"/>
        </w:rPr>
        <w:t xml:space="preserve"> </w:t>
      </w:r>
      <w:r>
        <w:rPr>
          <w:rFonts w:ascii="Arial" w:cs="Arial" w:eastAsia="Arial" w:hAnsi="Arial"/>
          <w:sz w:val="17"/>
          <w:szCs w:val="17"/>
          <w:color w:val="auto"/>
        </w:rPr>
        <w:t>BellRing Brands, Inc. issues a share of Class A common stock or any other equity security entitled to any economic rights (including, without limitation, in this offering or pursuant to equity compensation plans or outstanding options, rights, warrants or other awards thereunder), which such securities we refer to collectively as “economic company securities,” BellRing Brands, LLC must issue to BellRing Brands, Inc. one BellRing Brands, LLC Unit (if BellRing Brands, Inc. issues a share of Class A common stock) or such other equity security (if BellRing Brands, Inc. issues an economic company security other than Class A common stock) corresponding to the economic company security BellRing Brands, Inc. issues, and with substantially the same rights to dividends and distributions; provided, that the net proceeds BellRing Brands, Inc. receives with respect to the corresponding economic company security, if any, must be</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60"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concurrently contributed to BellRing Brands, LLC, subject to certain exceptions; provided further, that if BellRing Brands, Inc. issues any shares of Class A common stock in order to purchase or fund the purchase from any person other than a member of BellRing Brands, LLC of a number of BellRing Brands, LLC Units or to purchase or fund the purchase of shares of Class A common stock, then BellRing Brands, LLC is not required to issue any new BellRing Brands, LLC Units and BellRing Brands, Inc. is not required to contribute such net proceeds to BellRing Brands, LLC. BellRing Brands, LLC may not issue any additional BellRing Brands, LLC Units to BellRing Brands, Inc. or to any of our subsidiaries unless substantially simultaneously therewith BellRing Brands, Inc. or such subsidiary issues or sells an equal number of shares of Class A common stock to another person, and BellRing Brands, LLC may not issue any other equity securities to BellRing Brands, Inc. or to any of our subsidiaries unless substantially simultaneously, BellRing Brands, Inc. or such subsidiary issues or sells to another person an equal number of shares of a new class or series of the equity of BellRing Brands, Inc. or such subsidiary with substantially the same rights to dividends and distributions and other economic rights as those of such BellRing Brands, LLC equity securities.</w:t>
      </w:r>
    </w:p>
    <w:p>
      <w:pPr>
        <w:spacing w:after="0" w:line="178"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Conversely, subject to certain exceptions, neither BellRing Brands, Inc. nor any of our subsidiaries may redeem, repurchase or otherwise acquire any shares of Class A common stock unless substantially simultaneously BellRing Brands, LLC redeems, repurchases or otherwise acquires from BellRing Brands, Inc. or such subsidiary an equal number of BellRing Brands, LLC Units for the same price per security (or, if BellRing Brands, Inc. uses funds received from distributions from BellRing Brands, LLC or other funds available to it that were not provided by BellRing Brands, LLC or the net proceeds from an issuance of Class A common stock to fund such redemption, repurchase or acquisition, then BellRing Brands, LLC will cancel an equal number of BellRing Brands, LLC Units for no consideration). The amended and restated limited liability company agreement contains similar provisions with respect to redemptions, repurchases or acquisitions by us or our subsidiaries of other equity securities.</w:t>
      </w:r>
    </w:p>
    <w:p>
      <w:pPr>
        <w:spacing w:after="0" w:line="16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If we determine that (i) the terms of any of our or our subsidiaries’ debt does not permit us to comply with the provisions of the amended and restated limited liability company agreement described above in connection with the issuance, redemption or repurchase of any shares of Class A common stock or other equity securities of BellRing Brands, Inc. (or similar securities of our subsidiaries), or any BellRing Brands, LLC Units or other equity securities of BellRing Brands, LLC, or (ii) if (x) BellRing Brands Inc. incurs any indebtedness and desires to transfer the proceeds of such indebtedness to BellRing Brands, LLC and (y) BellRing Brands, Inc. is unable to lend the proceeds of such indebtedness to BellRing Brands, LLC on an equivalent basis because of restrictions in any debt instrument of BellRing Brands, Inc., then we may implement an economically equivalent alternative arrangement without complying with such provisions. Any such arrangement is be subject to the prior written consent of Post for so long as Post holds at least 10% of the BellRing Brands, LLC Units.</w:t>
      </w:r>
    </w:p>
    <w:p>
      <w:pPr>
        <w:spacing w:after="0" w:line="17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i w:val="1"/>
          <w:iCs w:val="1"/>
          <w:color w:val="auto"/>
        </w:rPr>
        <w:t>Transfer of BellRing Brands, LLC Units</w:t>
      </w:r>
      <w:r>
        <w:rPr>
          <w:rFonts w:ascii="Arial" w:cs="Arial" w:eastAsia="Arial" w:hAnsi="Arial"/>
          <w:sz w:val="16"/>
          <w:szCs w:val="16"/>
          <w:color w:val="auto"/>
        </w:rPr>
        <w:t>. No member of BellRing Brands, LLC may directly or indirectly transfer all or any part of its BellRing</w:t>
      </w:r>
      <w:r>
        <w:rPr>
          <w:rFonts w:ascii="Arial" w:cs="Arial" w:eastAsia="Arial" w:hAnsi="Arial"/>
          <w:sz w:val="16"/>
          <w:szCs w:val="16"/>
          <w:i w:val="1"/>
          <w:iCs w:val="1"/>
          <w:color w:val="auto"/>
        </w:rPr>
        <w:t xml:space="preserve"> </w:t>
      </w:r>
      <w:r>
        <w:rPr>
          <w:rFonts w:ascii="Arial" w:cs="Arial" w:eastAsia="Arial" w:hAnsi="Arial"/>
          <w:sz w:val="16"/>
          <w:szCs w:val="16"/>
          <w:color w:val="auto"/>
        </w:rPr>
        <w:t>Brands, LLC Units or any right or economic interest pertaining to such units, including the right to receive or have any economic interest in distributions or advances from BellRing Brands, LLC, or the voting membership unit, without the Board of Managers’ prior written consent, unless the transfer falls within a category of permitted transfers. The Board of Managers’ consent is not required in connection with the following permitted transfers:</w:t>
      </w:r>
    </w:p>
    <w:p>
      <w:pPr>
        <w:spacing w:after="0" w:line="60" w:lineRule="exact"/>
        <w:rPr>
          <w:sz w:val="20"/>
          <w:szCs w:val="20"/>
          <w:color w:val="auto"/>
        </w:rPr>
      </w:pPr>
    </w:p>
    <w:p>
      <w:pPr>
        <w:ind w:left="1180" w:right="280" w:hanging="544"/>
        <w:spacing w:after="0" w:line="277" w:lineRule="auto"/>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transfers pursuant to a tender offer, share exchange offer, issuer bid, take-over bid, recapitalization or similar transaction with respect to Class A common stock or a merger, consolidation or other business combination of BellRing Brands, Inc.;</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transfers by Post to another person;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transfers in connection with a redemption of BellRing Brands, LLC Units (as described below under “—Redemption Rights”);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transfers of restricted securities (as defined in the investor rights agreement) in accordance with the investor rights agreement;</w:t>
      </w:r>
    </w:p>
    <w:p>
      <w:pPr>
        <w:spacing w:after="0" w:line="1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80" w:hanging="544"/>
        <w:spacing w:after="0" w:line="264" w:lineRule="auto"/>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transfers by Post in connection with any distribution of its beneficial retained interest in BellRing Brands, LLC to its shareholders (including transfers to a subsidiary of Post in connection therewith (whether or not accompanied by a merger of such subsidiary with BellRing Brands, Inc. or any of its subsidiaries)); and</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other transfer of shares of our Class A common stock.</w:t>
      </w:r>
    </w:p>
    <w:p>
      <w:pPr>
        <w:spacing w:after="0" w:line="225"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In connection with any (i) transfer by Post or any of its affiliates (other than us) of any BellRing Brands, LLC Units to any person other than us or Post’s affiliates, or (ii) issuance of additional BellRing Brands, LLC Units by BellRing Brands, LLC to any person other than us, Post or Post’s affiliates, in either case, Post or such affiliate must grant to the transferee a written proxy, or enter into a written voting agreement or other voting arrangement with such transferee; provided, that no such proxy, voting agreement or other voting arrangement will be required in connection with a transfer by Post</w:t>
      </w:r>
    </w:p>
    <w:p>
      <w:pPr>
        <w:spacing w:after="0" w:line="2" w:lineRule="exact"/>
        <w:rPr>
          <w:sz w:val="20"/>
          <w:szCs w:val="20"/>
          <w:color w:val="auto"/>
        </w:rPr>
      </w:pPr>
    </w:p>
    <w:p>
      <w:pPr>
        <w:ind w:left="200" w:firstLine="4"/>
        <w:spacing w:after="0" w:line="273" w:lineRule="auto"/>
        <w:tabs>
          <w:tab w:leader="none" w:pos="41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pursuant to a tender offer, share exchange offer, issuer bid, take-over bid, recapitalization or similar transaction with respect to Class A common stock or a merger, consolidation or other business combination of BellRing Brands, Inc., (ii) as part of a redemption of BellRing Brands, LLC Units, (iii) of “registrable securities” (as defined in the investor rights agreement) in accordance with the investor rights agreement, (iv) as part of any distribution of its beneficial retained interest in BellRing Brands, LLC to its shareholders or (v) of shares of our Class A common stock.</w:t>
      </w:r>
    </w:p>
    <w:p>
      <w:pPr>
        <w:spacing w:after="0" w:line="17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Each such proxy, agreement or arrangement will set forth a specific number or percentage of votes to which the share of Class B common stock is entitled that it covers for each applicable transferee, and:</w:t>
      </w:r>
    </w:p>
    <w:p>
      <w:pPr>
        <w:spacing w:after="0" w:line="76" w:lineRule="exact"/>
        <w:rPr>
          <w:sz w:val="20"/>
          <w:szCs w:val="20"/>
          <w:color w:val="auto"/>
        </w:rPr>
      </w:pPr>
    </w:p>
    <w:p>
      <w:pPr>
        <w:ind w:left="1180" w:right="120" w:hanging="544"/>
        <w:spacing w:after="0" w:line="264" w:lineRule="auto"/>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so long as Post or its applicable affiliate, as the holder of the share of Class B common stock, holds in the aggregate more than 50% of the BellRing Brands, LLC Units, whether the transferee will have the right to exercise any voting rights under such proxy, agreement or other arrangement;</w:t>
      </w:r>
    </w:p>
    <w:p>
      <w:pPr>
        <w:spacing w:after="0" w:line="86" w:lineRule="exact"/>
        <w:rPr>
          <w:rFonts w:ascii="Arial" w:cs="Arial" w:eastAsia="Arial" w:hAnsi="Arial"/>
          <w:sz w:val="18"/>
          <w:szCs w:val="18"/>
          <w:color w:val="auto"/>
        </w:rPr>
      </w:pPr>
    </w:p>
    <w:p>
      <w:pPr>
        <w:ind w:left="1180" w:right="20" w:hanging="544"/>
        <w:spacing w:after="0" w:line="259" w:lineRule="auto"/>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that, in the event that Post or its applicable affiliate, as the holder of the share of Class B common stock, holds in the aggregate 50% or less of the BellRing Brands, LLC Units, the transferee will have the right to direct the holder of such share of Class B common stock to cast a number of votes to which the outstanding share of Class B common stock is entitled equal to the number of BellRing Brands, LLC Units held by such transferee; and</w:t>
      </w:r>
    </w:p>
    <w:p>
      <w:pPr>
        <w:spacing w:after="0" w:line="92" w:lineRule="exact"/>
        <w:rPr>
          <w:rFonts w:ascii="Arial" w:cs="Arial" w:eastAsia="Arial" w:hAnsi="Arial"/>
          <w:sz w:val="18"/>
          <w:szCs w:val="18"/>
          <w:color w:val="auto"/>
        </w:rPr>
      </w:pPr>
    </w:p>
    <w:p>
      <w:pPr>
        <w:ind w:left="1180" w:right="140" w:hanging="544"/>
        <w:spacing w:after="0" w:line="297" w:lineRule="auto"/>
        <w:tabs>
          <w:tab w:leader="none" w:pos="11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that, in the event of a subsequent transfer of BellRing Brands, LLC Units by such transferee to another person, such transferee’s rights under the proxy, agreement or other arrangement will automatically be deemed assigned or transferred, in whole or in part, to the subsequent acquiring person to the extent such person acquires associated BellRing Brands, LLC Units; except that any subsequent transfer of BellRing Brands, LLC Units to the holder of the share of Class B common stock or us will constitute a revocation of the rights granted under such proxy, agreement or other arrangement with respect to the BellRing Brands, LLC Units so transferred.</w:t>
      </w:r>
    </w:p>
    <w:p>
      <w:pPr>
        <w:spacing w:after="0" w:line="158"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i w:val="1"/>
          <w:iCs w:val="1"/>
          <w:color w:val="auto"/>
        </w:rPr>
        <w:t>Redemption Rights</w:t>
      </w:r>
      <w:r>
        <w:rPr>
          <w:rFonts w:ascii="Arial" w:cs="Arial" w:eastAsia="Arial" w:hAnsi="Arial"/>
          <w:sz w:val="17"/>
          <w:szCs w:val="17"/>
          <w:color w:val="auto"/>
        </w:rPr>
        <w:t>. Each member (other than us) will have the right to cause BellRing Brands, LLC to redeem its BellRing Brands, LLC Units in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for, at BellRing Brands, LLC’s option (as determined by its Board of Managers), (i) shares of our Class A common stock or (ii) cash (based on the market price of the shares of our Class A common stock). The redemption of BellRing Brands, LLC Units in exchange for shares of Class A common stock will be at an initial redemption rate of one share of Class A common stock for one BellRing Brands, LLC Unit, subject to customary redemption rate adjustments for stock splits, stock dividends and reclassifications. Any decision to redeem BellRing Brands, LLC Units for cash rather than shares of our Class A common stock will ultimately be determined by the BellRing Brands, LLC Board of Managers.</w:t>
      </w:r>
    </w:p>
    <w:p>
      <w:pPr>
        <w:spacing w:after="0" w:line="178"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i w:val="1"/>
          <w:iCs w:val="1"/>
          <w:color w:val="auto"/>
        </w:rPr>
        <w:t xml:space="preserve">Exculpation and Indemnification. </w:t>
      </w:r>
      <w:r>
        <w:rPr>
          <w:rFonts w:ascii="Arial" w:cs="Arial" w:eastAsia="Arial" w:hAnsi="Arial"/>
          <w:sz w:val="17"/>
          <w:szCs w:val="17"/>
          <w:color w:val="auto"/>
        </w:rPr>
        <w:t>Neither any member of the Board of Managers nor any member of BellRing Brands, LLC (including Post and</w:t>
      </w:r>
      <w:r>
        <w:rPr>
          <w:rFonts w:ascii="Arial" w:cs="Arial" w:eastAsia="Arial" w:hAnsi="Arial"/>
          <w:sz w:val="17"/>
          <w:szCs w:val="17"/>
          <w:i w:val="1"/>
          <w:iCs w:val="1"/>
          <w:color w:val="auto"/>
        </w:rPr>
        <w:t xml:space="preserve"> </w:t>
      </w:r>
      <w:r>
        <w:rPr>
          <w:rFonts w:ascii="Arial" w:cs="Arial" w:eastAsia="Arial" w:hAnsi="Arial"/>
          <w:sz w:val="17"/>
          <w:szCs w:val="17"/>
          <w:color w:val="auto"/>
        </w:rPr>
        <w:t>BellRing Brands, Inc.) nor their respective officers, directors, employees or other persons described in the amended and restated limited liability company agreement, which we refer to collectively as “covered persons,” will be liable, including under any legal or equitable theory of fiduciary duty or other theory of liability, to BellRing Brands, LLC or to any other covered person for any losses,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color w:val="auto"/>
        </w:rPr>
        <w:t>claims, damages or liabilities incurred by reason of any act or omission performed or omitted by such covered person in good faith on behalf of BellRing Brands, LLC.</w:t>
      </w:r>
    </w:p>
    <w:p>
      <w:pPr>
        <w:spacing w:after="0" w:line="170"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BellRing Brands, LLC will indemnify each covered person against any losses, claims, damages, liabilities, expenses and other amounts arising from claims or proceedings in which such covered person may be involved or become subject to in connection with any matter arising out of or in connection with BellRing Brands, LLC’s business or affairs or the amended and restated limited liability company agreement or any related document, unless such loss or other amount is a result of a covered person not acting in good faith on behalf of BellRing Brands, LLC or arose as a result of the willful commission of any act that is dishonest and materially injurious to BellRing Brands, LLC, results from its contractual obligations under any related document to be performed in a capacity other than as a covered person or results from the breach by any member of BellRing Brands, LLC (in such capacity) of its contractual obligations under the amended and restated limited liability company agreement.</w:t>
      </w:r>
    </w:p>
    <w:p>
      <w:pPr>
        <w:spacing w:after="0" w:line="167"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i w:val="1"/>
          <w:iCs w:val="1"/>
          <w:color w:val="auto"/>
        </w:rPr>
        <w:t xml:space="preserve">Dissolution. </w:t>
      </w:r>
      <w:r>
        <w:rPr>
          <w:rFonts w:ascii="Arial" w:cs="Arial" w:eastAsia="Arial" w:hAnsi="Arial"/>
          <w:sz w:val="17"/>
          <w:szCs w:val="17"/>
          <w:color w:val="auto"/>
        </w:rPr>
        <w:t>BellRing Brands, LLC will be dissolved and its business wound up only upon the earliest to occur of forty-five days after the sale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disposition of all or substantially all of the assets of BellRing Brands, LLC or upon the approval of the Board of Managers.</w:t>
      </w:r>
    </w:p>
    <w:p>
      <w:pPr>
        <w:spacing w:after="0" w:line="14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auto"/>
        </w:rPr>
        <w:t xml:space="preserve">Amendments. </w:t>
      </w:r>
      <w:r>
        <w:rPr>
          <w:rFonts w:ascii="Arial" w:cs="Arial" w:eastAsia="Arial" w:hAnsi="Arial"/>
          <w:sz w:val="17"/>
          <w:szCs w:val="17"/>
          <w:color w:val="auto"/>
        </w:rPr>
        <w:t>The amended and restated limited liability company agreement may not be amended without the prior written consent of the Board</w:t>
      </w:r>
      <w:r>
        <w:rPr>
          <w:rFonts w:ascii="Arial" w:cs="Arial" w:eastAsia="Arial" w:hAnsi="Arial"/>
          <w:sz w:val="17"/>
          <w:szCs w:val="17"/>
          <w:i w:val="1"/>
          <w:iCs w:val="1"/>
          <w:color w:val="auto"/>
        </w:rPr>
        <w:t xml:space="preserve"> </w:t>
      </w:r>
      <w:r>
        <w:rPr>
          <w:rFonts w:ascii="Arial" w:cs="Arial" w:eastAsia="Arial" w:hAnsi="Arial"/>
          <w:sz w:val="17"/>
          <w:szCs w:val="17"/>
          <w:color w:val="auto"/>
        </w:rPr>
        <w:t>of Managers and of members holding a majority in interest of BellRing Brands, LLC Units, except that the Board of Managers, acting alone, may amend the amended and restated limited liability company agreement (i) to reflect the admission of new members or transfers of units, as provided by and in accordance with the terms of the amended and restated limited liability company agreement, (ii) to effect any subdivisions or combinations of units made in compliance with the amended and restated limited liability company agreement and (iii) to issue additional BellRing Brands, LLC Units or any new class of units in accordance with the terms of the amended and restated limited liability company agreement.</w:t>
      </w:r>
    </w:p>
    <w:p>
      <w:pPr>
        <w:spacing w:after="0" w:line="17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amended and restated limited liability company agreement specifies that the Board of Managers, acting alone, may amend the amended and restated limited liability company agreement to, among other matters, reflect the admission of new members or transfers of BellRing Brands, LLC Units or any other class of units, effect any subdivisions or combinations of BellRing Brands, LLC Units or any other class of units and issue additional BellRing Brands, LLC Units or any new class of units, each in compliance with the applicable terms of the amended and restated limited liability company agreement.</w:t>
      </w:r>
    </w:p>
    <w:p>
      <w:pPr>
        <w:spacing w:after="0" w:line="188"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b w:val="1"/>
          <w:bCs w:val="1"/>
          <w:i w:val="1"/>
          <w:iCs w:val="1"/>
          <w:color w:val="auto"/>
        </w:rPr>
        <w:t xml:space="preserve">Tax Receivable Agreement. </w:t>
      </w:r>
      <w:r>
        <w:rPr>
          <w:rFonts w:ascii="Arial" w:cs="Arial" w:eastAsia="Arial" w:hAnsi="Arial"/>
          <w:sz w:val="16"/>
          <w:szCs w:val="16"/>
          <w:color w:val="auto"/>
        </w:rPr>
        <w:t>Post (or certain of its transferees or assignees) may redeem BellRing Brands, LLC Units for, at the option of BellRing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Brands, LLC (as determined by its Board of Managers), shares of our Class A common stock or cash pursuant to the amended and restated limited liability company agreement. See “—Amended and Restated Limited Liability Company Agreement.” These redemptions, certain formation transactions and certain actual or deemed distributions from BellRing Brands, LLC to Post (or certain of its transferees or assignees) or deemed sales by Post (or certain of its transferees or assignees) to BellRing Brands, Inc. or BellRing Brands, LLC of BellRing Brands, LLC Units or assets, may result in increases in our share of the tax basis of BellRing Brands, LLC’s assets that otherwise would not have been available to us. Such increases in tax basis are likely to increase (for tax purposes) depreciation and amortization deductions allocable to us and therefore reduce the amount of income tax attributable to BellRing Brands, LLC’s operations we would otherwise be required to pay in the future and also may decrease gain (or increase loss) otherwise allocable to us from BellRing Brands, LLC on future dispositions of certain of BellRing Brands, LLC’s assets to the extent the increased tax basis is allocated to those assets. Furthermore, under Section 704(c) of the Code, we will be entitled to certain tax benefits generated by the tax basis in BellRing Brands, LLC’s assets in excess of our pro rata share of such basis at the time of the partnership’s formation. The IRS may challenge all or part of these tax basis increases and tax benefits and no assurances can be made regarding the availability of these tax basis increases or other tax benefits.</w:t>
      </w:r>
    </w:p>
    <w:p>
      <w:pPr>
        <w:spacing w:after="0" w:line="16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Upon the closing of this offering, BellRing Brands, Inc. will enter into the tax receivable agreement with Post and BellRing Brands, LLC. Under the tax receivable agreement, we will be required to make cash payments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240" w:top="460"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auto"/>
        </w:rPr>
        <w:t>to Post (or certain of its transferees or other assignees) equal to 85% of the amount of cash savings, if any, in U.S. federal income tax, as well as state and local income tax and franchise tax (using an assumed tax rate on a base equal to the U.S. federal taxable income of BellRing Brands, Inc.), that we realize (or, in some circumstances, we are deemed to realize) as a result of (a) the increase in the tax basis of the assets of BellRing Brands, LLC attributable to (i) the redemption of BellRing Brands, LLC Units by Post (or certain of its transferees or assignees) pursuant to the amended and restated limited liability company agreement, (ii) deemed sales by Post (or certain of its transferees or assignees) of BellRing Brands, LLC Units or assets to BellRing Brands, Inc. or BellRing Brands, LLC, (iii) certain actual or deemed distributions from BellRing Brands, LLC to Post (or certain of its transferees or assignees) and (iv) certain formation transactions, (b) disproportionate allocations of tax benefits to BellRing Brands, Inc. as a result of Section 704(c) of the Code and (c) certain tax benefits (e.g., basis adjustments, deductions, etc.) attributable to payments under the tax receivable agreement. Any payments made by us under the tax receivable agreement will generally reduce the amount of overall cash flow that might have otherwise been available to us. There can be no assurance that we will be able to fund or finance our obligations under the tax receivable agreement. Furthermore, our future obligation to make payments under the tax receivable agreement could make us a less attractive target for an acquisition, particularly in the case of an acquirer that cannot use some or all of the tax benefits that are subject to the tax receivable agreement. BellRing Brands, LLC will have in effect an election under Section 754 of the Code effective for each taxable year in which a redemption of BellRing Brands, LLC Units for shares of our Class A common stock or cash occurs. Payments under the tax receivable agreement are not conditioned on Post’s continued ownership of BellRing Brands, LLC Units or our Class A common stock or Class B common stock after this offering. The rights of Post under the tax receivable agreement are assignable to transferees of Post’s BellRing Brands, LLC Units (other than us as transferee pursuant to subsequent redemptions of the transferred BellRing Brands, LLC Units). Actual tax benefits realized by us may differ from the tax benefits calculated pursuant to the terms of the tax receivable agreement, including as a result of the use of certain assumptions in the tax receivable agreement, including the use of an assumed state and local income tax rate on a base equal to the U.S. federal taxable income of BellRing Brands, Inc. to calculate tax benefits. We expect to benefit from the remaining 15% of tax benefits, if any, that we may realize (or in some cases, are deemed to realize). The payment obligations under the tax receivable agreement are obligations of BellRing Brands, Inc. and not of BellRing Brands, LLC.</w:t>
      </w:r>
    </w:p>
    <w:p>
      <w:pPr>
        <w:spacing w:after="0" w:line="182"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actual increase in tax basis and the amount and timing of any payments under the tax receivable agreement will vary depending upon a number of factors, including:</w:t>
      </w:r>
    </w:p>
    <w:p>
      <w:pPr>
        <w:spacing w:after="0" w:line="76" w:lineRule="exact"/>
        <w:rPr>
          <w:sz w:val="20"/>
          <w:szCs w:val="20"/>
          <w:color w:val="auto"/>
        </w:rPr>
      </w:pPr>
    </w:p>
    <w:p>
      <w:pPr>
        <w:ind w:left="1180" w:right="80" w:hanging="544"/>
        <w:spacing w:after="0" w:line="264" w:lineRule="auto"/>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the price of shares of our Class A common stock in connection with this offering and at the time of redemptions</w:t>
      </w:r>
      <w:r>
        <w:rPr>
          <w:rFonts w:ascii="Arial" w:cs="Arial" w:eastAsia="Arial" w:hAnsi="Arial"/>
          <w:sz w:val="18"/>
          <w:szCs w:val="18"/>
          <w:color w:val="auto"/>
        </w:rPr>
        <w:t>—the basis adjustments,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any related increase in any tax deductions, is directly related to the price of shares of our Class A common stock at the time of the closing of this offering and each redemption;</w:t>
      </w:r>
    </w:p>
    <w:p>
      <w:pPr>
        <w:spacing w:after="0" w:line="86" w:lineRule="exact"/>
        <w:rPr>
          <w:rFonts w:ascii="Arial" w:cs="Arial" w:eastAsia="Arial" w:hAnsi="Arial"/>
          <w:sz w:val="18"/>
          <w:szCs w:val="18"/>
          <w:color w:val="auto"/>
        </w:rPr>
      </w:pPr>
    </w:p>
    <w:p>
      <w:pPr>
        <w:ind w:left="1180" w:right="60" w:hanging="544"/>
        <w:spacing w:after="0" w:line="277" w:lineRule="auto"/>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the timing of any redemptions</w:t>
      </w:r>
      <w:r>
        <w:rPr>
          <w:rFonts w:ascii="Arial" w:cs="Arial" w:eastAsia="Arial" w:hAnsi="Arial"/>
          <w:sz w:val="18"/>
          <w:szCs w:val="18"/>
          <w:color w:val="auto"/>
        </w:rPr>
        <w:t>—for instance, the increase in any tax deductions will vary depending on the fair value, which may fluctuate</w:t>
      </w:r>
      <w:r>
        <w:rPr>
          <w:rFonts w:ascii="Arial" w:cs="Arial" w:eastAsia="Arial" w:hAnsi="Arial"/>
          <w:sz w:val="18"/>
          <w:szCs w:val="18"/>
          <w:i w:val="1"/>
          <w:iCs w:val="1"/>
          <w:color w:val="auto"/>
        </w:rPr>
        <w:t xml:space="preserve"> </w:t>
      </w:r>
      <w:r>
        <w:rPr>
          <w:rFonts w:ascii="Arial" w:cs="Arial" w:eastAsia="Arial" w:hAnsi="Arial"/>
          <w:sz w:val="18"/>
          <w:szCs w:val="18"/>
          <w:color w:val="auto"/>
        </w:rPr>
        <w:t>over time, of the depreciable or amortizable assets of BellRing Brands, LLC at the time of each redemption;</w:t>
      </w:r>
    </w:p>
    <w:p>
      <w:pPr>
        <w:spacing w:after="0" w:line="75" w:lineRule="exact"/>
        <w:rPr>
          <w:rFonts w:ascii="Arial" w:cs="Arial" w:eastAsia="Arial" w:hAnsi="Arial"/>
          <w:sz w:val="18"/>
          <w:szCs w:val="18"/>
          <w:color w:val="auto"/>
        </w:rPr>
      </w:pPr>
    </w:p>
    <w:p>
      <w:pPr>
        <w:ind w:left="1180" w:right="480" w:hanging="544"/>
        <w:spacing w:after="0" w:line="277" w:lineRule="auto"/>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the extent to which such redemptions are taxable</w:t>
      </w:r>
      <w:r>
        <w:rPr>
          <w:rFonts w:ascii="Arial" w:cs="Arial" w:eastAsia="Arial" w:hAnsi="Arial"/>
          <w:sz w:val="18"/>
          <w:szCs w:val="18"/>
          <w:color w:val="auto"/>
        </w:rPr>
        <w:t>—if a redemption is not taxable for any reason, increased tax deductions will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w:t>
      </w:r>
    </w:p>
    <w:p>
      <w:pPr>
        <w:spacing w:after="0" w:line="75" w:lineRule="exact"/>
        <w:rPr>
          <w:rFonts w:ascii="Arial" w:cs="Arial" w:eastAsia="Arial" w:hAnsi="Arial"/>
          <w:sz w:val="18"/>
          <w:szCs w:val="18"/>
          <w:color w:val="auto"/>
        </w:rPr>
      </w:pPr>
    </w:p>
    <w:p>
      <w:pPr>
        <w:ind w:left="1180" w:hanging="544"/>
        <w:spacing w:after="0" w:line="293" w:lineRule="auto"/>
        <w:tabs>
          <w:tab w:leader="none" w:pos="1180"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the amount and timing of our income</w:t>
      </w:r>
      <w:r>
        <w:rPr>
          <w:rFonts w:ascii="Arial" w:cs="Arial" w:eastAsia="Arial" w:hAnsi="Arial"/>
          <w:sz w:val="16"/>
          <w:szCs w:val="16"/>
          <w:color w:val="auto"/>
        </w:rPr>
        <w:t>—the tax receivable agreement generally will require us to pay 85% of the tax benefits as and when</w:t>
      </w:r>
      <w:r>
        <w:rPr>
          <w:rFonts w:ascii="Arial" w:cs="Arial" w:eastAsia="Arial" w:hAnsi="Arial"/>
          <w:sz w:val="16"/>
          <w:szCs w:val="16"/>
          <w:i w:val="1"/>
          <w:iCs w:val="1"/>
          <w:color w:val="auto"/>
        </w:rPr>
        <w:t xml:space="preserve"> </w:t>
      </w:r>
      <w:r>
        <w:rPr>
          <w:rFonts w:ascii="Arial" w:cs="Arial" w:eastAsia="Arial" w:hAnsi="Arial"/>
          <w:sz w:val="16"/>
          <w:szCs w:val="16"/>
          <w:color w:val="auto"/>
        </w:rPr>
        <w:t>those benefits are treated as realized under the terms of the tax receivable agreement. If we do not have taxable income, we generally will not be required (absent a change of control or other circumstances requiring an early termination payment) to make payments under the tax receivable agreement for that taxable year because no tax benefits will have been actually realized. However, any tax benefits that do not result in realized tax benefits in a given taxable year will likely generate tax attributes that may be utilized to generate tax benefits in previous or future taxable years. The utilization of any such tax attributes will result in payments under the tax receivable agreement;</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00"/>
          </w:cols>
          <w:pgMar w:left="240" w:top="460"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80" w:hanging="544"/>
        <w:spacing w:after="0" w:line="277" w:lineRule="auto"/>
        <w:tabs>
          <w:tab w:leader="none" w:pos="118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any future changes in federal tax laws</w:t>
      </w:r>
      <w:r>
        <w:rPr>
          <w:rFonts w:ascii="Arial" w:cs="Arial" w:eastAsia="Arial" w:hAnsi="Arial"/>
          <w:sz w:val="18"/>
          <w:szCs w:val="18"/>
          <w:color w:val="auto"/>
        </w:rPr>
        <w:t>—if future changes in federal tax laws result in changes in the amount and timing of payments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example, changes to interest expense limitations); and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03"/>
        </w:numPr>
        <w:rPr>
          <w:rFonts w:ascii="Arial" w:cs="Arial" w:eastAsia="Arial" w:hAnsi="Arial"/>
          <w:sz w:val="18"/>
          <w:szCs w:val="18"/>
          <w:i w:val="1"/>
          <w:iCs w:val="1"/>
          <w:color w:val="auto"/>
        </w:rPr>
      </w:pPr>
      <w:r>
        <w:rPr>
          <w:rFonts w:ascii="Arial" w:cs="Arial" w:eastAsia="Arial" w:hAnsi="Arial"/>
          <w:sz w:val="18"/>
          <w:szCs w:val="18"/>
          <w:i w:val="1"/>
          <w:iCs w:val="1"/>
          <w:color w:val="auto"/>
        </w:rPr>
        <w:t>any future changes in federal corporate income tax rates.</w:t>
      </w:r>
    </w:p>
    <w:p>
      <w:pPr>
        <w:spacing w:after="0" w:line="225"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For purposes of the tax receivable agreement, cash savings in income tax will be computed by comparing our actual income tax liability (using assumed state and local tax rates on a base equal to the U.S. federal taxable income of BellRing Brands, Inc.) to the amount of such taxes that we would have been required to pay had there been no basis adjustments, or disproportionate allocations of tax benefits to BellRing Brands, Inc. as a result of Section 704(c) of the Code, and had the tax receivable agreement not been entered into. The tax receivable agreement will generally apply to each of our taxable years, beginning with the first taxable year ending after the consummation of this offering. There is no maximum term for the tax receivable agreement; however, the tax receivable agreement may be voluntarily terminated by a majority of our independent directors pursuant to an early termination procedure and will be terminated upon the occurrence of certain mergers, asset sales, other forms of business combination or other changes of control (but specifically excluding any distributions by Post of its retained beneficial interest in BellRing Brands, LLC by means of a spin-off to its shareholders) or our material breach of our material obligations under the tax receivable agreement, and in each case we will be obligated to pay Post (and its transferees and assignees) an agreed upon amount equal to the estimated present value of the remaining payments to be made under the tax receivable agreement (calculated based on certain assumptions, including regarding tax rates and utilization of the basis adjustments).</w:t>
      </w:r>
    </w:p>
    <w:p>
      <w:pPr>
        <w:spacing w:after="0" w:line="173"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Post has advised us that, except under the circumstances described under “Use of Proceeds,” it has no definitive plans to exit its interests in BellRing Brands, Inc. or BellRing Brands, LLC, and it does not currently expect that any such exit would include the redemption of its BellRing Brands, LLC Units, as described above, due to unfavorable tax consequences that it could incur as a result, particularly in light of the availability of more tax-efficient exit alternatives – including tax-free “spin-off” or “split-off” transactions (which are not expected to result in adjustments to the tax basis of the assets of BellRing Brands, LLC). Post (or its transferees or assignees) may nevertheless determine to engage in redemptions or exchanges in its sole discretion. For an illustration of the amount, based upon certain assumptions, that would be payable by BellRing Brands, Inc. under the tax receivable agreement if all of Post’s (and its transferees’ and assignees’) BellRing Brands, LLC Units were redeemed, see “Unaudited Pro Forma Condensed Consolidated Financial Information.”</w:t>
      </w:r>
    </w:p>
    <w:p>
      <w:pPr>
        <w:spacing w:after="0" w:line="192"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Decisions made by us in the course of running our business, such as with respect to mergers, asset sales, other forms of business combinations or other changes in control, may influence the timing and amount of payments that are received by Post (or its assignees or transferees) under the tax receivable agreement. For example, the earlier disposition of assets following a transaction that results in a basis adjustment will generally accelerate payments under the tax receivable agreement and increase the present value of such payments.</w:t>
      </w:r>
    </w:p>
    <w:p>
      <w:pPr>
        <w:spacing w:after="0" w:line="17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tax receivable agreement will provide that, upon a merger, asset sale or other form of business combination or certain other changes of control or if, at any time, a majority of our independent directors elect an early termination of the tax receivable agreement or materially breach any of our material obligations under the tax receivable agreement, our (or our successor’s) future obligations under the tax receivable agreement would accelerate and become due and payable based on certain assumptions, including that we would have sufficient taxable income to fully utilize all potential future tax benefits that are subject to the tax receivable agreement, and that, as of the effective date of the acceleration, any BellRing Brands, LLC Units that Post (or its transferees or assignees) has not yet redeemed will be deemed to have been redeemed by Post (and its transferees and assignees) for an amount based on the closing trading price of our Class A common stock at the time of termination, even if we do not receive the corresponding tax benefits until a later date when the BellRing Brands, LLC Units are actually redeemed. As a result of the foregoing, we would be required to make an immediate cash payment equal to the estimated present value of the anticipated future tax benefits that are the subject of the tax receivable agreement (using a discount rate equal to the lesser of 6.5% per annum, compounded annually, and LIBOR plus 300 basis points), which payment may be made significantly in advance of the actual realization, if</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240" w:top="460"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any, of those future tax benefits and, therefore, we could be required to make payments under the tax receivable agreement that are greater than the specified percentage of the actual tax benefits we ultimately realize.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Such obligations under the tax receivable agreement, however, would not arise if Post distributes its beneficial retained interest in BellRing Brands, LLC by means of a spin-off to its shareholders. For an illustration of the amount, based upon certain assumptions, that would be payable by BellRing Brands, Inc. under the tax receivable agreement if a majority of our independent directors were to elect to terminate the tax receivable agreement immediately after this offering, see “Unaudited Pro Forma Condensed Consolidated Financial Information.”</w:t>
      </w:r>
    </w:p>
    <w:p>
      <w:pPr>
        <w:spacing w:after="0" w:line="16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Payments under the tax receivable agreement will be based on the tax reporting positions that we determine, and the IRS or another tax authority may challenge all or part of the tax basis increases, as well as other related tax positions we take, and a court could sustain any such challenge. If the outcome of any such challenge would reasonably be expected to materially affect a recipient’s payments under the tax receivable agreement, then we will not be permitted to settle or to fail to contest such challenge without the consent (not to be unreasonably withheld or delayed) of Post (and its transferees and assignees), and any such restrictions will apply for as long as the tax receivable agreement remains in effect. Post (and its transferees and assignees) will not reimburse us for any payments that may previously have been made under the tax receivable agreement even if the IRS or another tax authority subsequently disallows the tax basis increase or any other relevant tax item. Instead, any excess cash payments made by us to Post (or its transferees or assignees) will be netted against any future cash payments that we might otherwise be required to make under the terms of the tax receivable agreement. However, we might not determine that we have effectively made an excess cash payment to Post (or its transferees or assignees) for a number of years following the initial time of such payment. As a result, in certain circumstances, we could make payments to Post under the tax receivable agreement in excess of our cash tax savings and become aware of that fact only at a time when there are no further payments against which to offset that excess amount.</w:t>
      </w:r>
    </w:p>
    <w:p>
      <w:pPr>
        <w:spacing w:after="0" w:line="180"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Payments will generally be due under the tax receivable agreement within a specified period of time following the filing of our tax return for the taxable year with respect to which the payment obligation arises, although interest on such payments will begin to accrue at a rate of LIBOR plus 100 basis points from the due date (without extensions) of such tax return. Any late payments that may be made under the tax receivable agreement will continue to accrue interest at LIBOR plus 500 basis points until such payments are made, including any late payments that we may subsequently make because we did not have enough available cash to satisfy our payment obligations at the time at which they originally arose.</w:t>
      </w:r>
    </w:p>
    <w:p>
      <w:pPr>
        <w:spacing w:after="0" w:line="158"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6"/>
          <w:szCs w:val="16"/>
          <w:color w:val="auto"/>
        </w:rPr>
        <w:t>Upon consummation of this offering, BellRing Brands, Inc. will be a holding company, will have no material assets other than its ownership of BellRing Brands, LLC Units, and will have no independent means of generating revenue or cash flow. We expect that BellRing Brands, LLC will make distributions pro rata to holders of BellRing Brands, LLC Units in an amount sufficient to allow us to pay our tax obligations in respect of taxable income allocated to us from BellRing Brands, LLC, any payments due under the tax receivable agreement and our operating expenses, which could be significant. In addition, the amended and restated limited liability company agreement will provide that BellRing Brands, LLC will reimburse BellRing Brands, Inc. for any reasonable out-of-pocket expenses incurred on behalf of the Company, including all fees, costs and expenses of BellRing Brands, Inc. associated with being a public company and maintaining its corporate existence. However, BellRing Brands, LLC’s ability to make such distributions or reimbursement payments may be subject to various limitations and restrictions including, but not limited to, restrictions on distributions that would either violate any contract or agreement to which BellRing Brands, LLC is then a party, including any debt agreements, or any applicable law, or that would have the effect of rendering BellRing Brands, LLC insolvent. Actual tax benefits realized by us may differ from the tax benefits calculated pursuant to the terms of the tax receivable agreement, including as a result of the use of certain assumptions in the tax receivable agreement, including the use of an assumed state and local income tax rate on a base equal to the U.S. federal taxable income of BellRing Brands, Inc. to calculate tax benefits. If BellRing Brands, LLC does not distribute sufficient funds for us to pay</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24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our operating expenses, including taxes and any payments due under the tax receivable agreement, we may have to borrow funds, which could materially adversely affect our liquidity and subject us to various restrictions imposed by any such lenders. To the extent that we are unable to make payments under the tax receivable agreement for any reason, such payments will be deferred and will accrue interest until paid; except that nonpayment for a specified period may constitute a material breach of a material obligation under the tax receivable agreement and therefore could result in the acceleration of payments due under the tax receivable agreement.</w:t>
      </w:r>
    </w:p>
    <w:p>
      <w:pPr>
        <w:spacing w:after="0" w:line="188"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Our organizational structure, including the fact that Post will own more than 50% of the voting power of our voting stock and hold its economic interest in BellRing Brands, LLC directly, confers certain benefits upon Post that will not benefit the holders of our Class A common stock to the same extent as it will benefit Post. Although we will retain 15% of the amount of the tax benefits described above, it is possible that the interests of Post may in some circumstances conflict with our interests and the interests of our other stockholders, including you. For example, Post may have different tax positions from us, especially in light of the tax receivable agreement, that could influence its decisions regarding whether and when we should dispose of assets, whether and when we should incur new or refinance existing indebtedness, and whether and when we should terminate the tax receivable agreement and accelerate our obligations thereunder. In addition, changes in tax laws, the determination of future tax reporting positions, the structuring of future transactions (including dispositions of Post’s interests in us or in BellRing Brands, LLC, such as a through a tax-free spin-off to its shareholders) and related restrictions on us, and the handling of any future challenges by any taxing authority to our tax reporting positions, may take into consideration Post’s tax plans and objectives or other considerations, which may differ from the considerations of us or our other stockholders. In the event Post is sold, the acquiring party will succeed to the rights and obligations of BellRing Brands, LLC under the tax receivable agreement.</w:t>
      </w:r>
    </w:p>
    <w:p>
      <w:pPr>
        <w:spacing w:after="0" w:line="17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b w:val="1"/>
          <w:bCs w:val="1"/>
          <w:i w:val="1"/>
          <w:iCs w:val="1"/>
          <w:color w:val="auto"/>
        </w:rPr>
        <w:t xml:space="preserve">Tax Matters Agreement. </w:t>
      </w:r>
      <w:r>
        <w:rPr>
          <w:rFonts w:ascii="Arial" w:cs="Arial" w:eastAsia="Arial" w:hAnsi="Arial"/>
          <w:sz w:val="18"/>
          <w:szCs w:val="18"/>
          <w:color w:val="auto"/>
        </w:rPr>
        <w:t>As part of the formation transactions and this offering, BellRing Brands, Inc. and BellRing Brands, LLC will enter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tax matters agreement with Post that will govern our respective rights, responsibilities and obligations with respect to tax matters, including responsibility for taxes attributable to BellRing Brands, LLC and its subsidiaries, entitlement to refunds, allocation of tax attributes, preparation of tax returns, certain tax elections, control of tax contests and other matters.</w:t>
      </w:r>
    </w:p>
    <w:p>
      <w:pPr>
        <w:spacing w:after="0" w:line="18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Under the tax matters agreement, Post will be responsible for all taxes for Post’s Active Nutrition business which relate to pre-offering periods, and BellRing Brands, LLC generally will be responsible for: (i) all taxes imposed with respect to any consolidated, combined or unitary tax return of Post or any of its subsidiaries that includes BellRing Brands, LLC or any of its subsidiaries to the extent such taxes relate to post-offering periods, and are attributable to BellRing Brands, LLC or any of its subsidiaries, as determined under the tax matters agreement, and (ii) all taxes that relate to post-offering periods imposed with respect to consolidated, combined, unitary or separate tax returns of BellRing Brands, LLC or any of its subsidiaries as determined under the tax matters agreement. In the event that BellRing Brands, Inc. is included in any consolidated, combined or unitary tax return of Post or any of its subsidiaries, then to the extent Post is required to pay any taxes of BellRing Brands, Inc. that are not otherwise attributable to BellRing Brands, LLC or its subsidiaries, or any separate tax attributes of Post or its subsidiaries (other than us) are used to offset such taxes, Post and BellRing Brands, Inc. will be responsible for such taxes as if BellRing Brands, Inc. were BellRing Brands, LLC.</w:t>
      </w:r>
    </w:p>
    <w:p>
      <w:pPr>
        <w:spacing w:after="0" w:line="16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Under the tax matters agreement, for so long as BellRing Brands, LLC or any of its subsidiaries are includable in any consolidated income tax return required to be filed by Post, Post will maintain separate calculations of the separate taxes and tax attributes of BellRing Brands, LLC and its subsidiaries, on the one hand, and Post and each person required to join in a tax return on a consolidated, combined or unitary basis (other than BellRing Brands, LLC and its subsidiaries), on the other hand. To the extent that BellRing Brands, LLC or any of its subsidiaries are required to be included in any consolidated income tax return required to be filed by Post, Post will prepare and file (or cause to be prepared and filed) each such return and will pay or cause to be paid all taxes due in respect thereof. In such event, BellRing Brands, LLC will pay to Post an amount of any taxes attributable to BellRing Brands, LLC and its subsidiaries that are actually paid by Post in respect of any</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80"/>
          </w:cols>
          <w:pgMar w:left="240" w:top="460"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such return, subject to certain offsets or additional payments relating to tax liability that is reduced by separate tax attributes of one group or another to the extent the tax liability for a later tax period is greater than it would have been had such separate tax attribute not been used to reduce tax liability in a prior tax period. In the event of an audit of Post, on the one hand, or BellRing Brands, LLC or any of its subsidiaries, on the other hand, the entity being audited will notify the other party of, and keep it reasonably informed with respect to, the portion of such audit the outcome of which is reasonably expected to affect the other party’s rights and obligations under the tax matters agreement. The other party will have the right to participate in (but not control) and to monitor any such portion of such audit at its own expense, and the audited party will not settle or fail to contest any issue reasonably expected to materially affect the other party’s rights or obligations under the agreement without the other party’s prior written consent, such consent not to be unreasonably withheld, conditioned or delayed.</w:t>
      </w:r>
    </w:p>
    <w:p>
      <w:pPr>
        <w:spacing w:after="0" w:line="179"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Master Services Agreement. </w:t>
      </w:r>
      <w:r>
        <w:rPr>
          <w:rFonts w:ascii="Arial" w:cs="Arial" w:eastAsia="Arial" w:hAnsi="Arial"/>
          <w:sz w:val="18"/>
          <w:szCs w:val="18"/>
          <w:color w:val="auto"/>
        </w:rPr>
        <w:t>As part of the formation transactions and this offering, BellRing Brands, Inc. and BellRing Brands, LLC will enter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the master services agreement with Post, pursuant to which we and Post currently expect that Post will provide some combination of the following services, among others, to us following completion of this offering:</w:t>
      </w:r>
    </w:p>
    <w:p>
      <w:pPr>
        <w:spacing w:after="0" w:line="87" w:lineRule="exact"/>
        <w:rPr>
          <w:sz w:val="20"/>
          <w:szCs w:val="20"/>
          <w:color w:val="auto"/>
        </w:rPr>
      </w:pPr>
    </w:p>
    <w:p>
      <w:pPr>
        <w:ind w:left="1180" w:right="600" w:hanging="544"/>
        <w:spacing w:after="0" w:line="277" w:lineRule="auto"/>
        <w:tabs>
          <w:tab w:leader="none" w:pos="1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assistance with certain legal, finance, internal audit, treasury, information technology support, insurance and tax matters, including assistance with certain public company reporting obligations;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use of office and/or data center space;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payroll processing services;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tax compliance services;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such other services as to which Post and we may agree.</w:t>
      </w:r>
    </w:p>
    <w:p>
      <w:pPr>
        <w:spacing w:after="0" w:line="225"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The charges for these services will be agreed upon prior to the completion of this offering. In general, the services to be provided by Post will begin on the date of the completion of this offering and will continue for the periods specified in the master services agreement, subject to any subsequent extension or truncation agreed to by us and Post. In addition, Post may terminate (i) the master services agreement or any services provided thereunder in the event of a change of control of Post, or a change of control of BellRing Brands, Inc. or the sale of all or substantially all of the consolidated assets of Post or BellRing Brands, Inc., (ii) any services provided to a subsidiary of BellRing Brands, Inc. in the event of a change of control of the subsidiary or the sale of all or substantially all of its assets, (iii) any services provided to a business line or operating division of BellRing Brands, Inc. or its subsidiaries in the event of a sale of such business line or operating division and (iv) any services provided by Post’s Canadian subsidiary, Post Foods Canada Inc., in the event of a change in control of Post Foods Canada Inc. We may terminate the master services agreement with respect to one or more particular services being received upon such notice as will be provided for in the master services agreement.</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and Procedures Regarding Related Party Transactions</w:t>
      </w:r>
    </w:p>
    <w:p>
      <w:pPr>
        <w:spacing w:after="0" w:line="12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Upon completion of this offering, we expect that our Board of Directors will adopt a written code of conduct that complies with all applicable requirements of the SEC and the NYSE and that contains conflict of interest policies governing transactions involving any director, executive officer or beneficial owner of more than 5% of any class of our voting securities that could be deemed to present a conflict of interest, including transactions in which we participate where the amount involved exceeds $120,000 and in which any of our directors or executive officers, or any beneficial owner of more than 5% of any class of our voting securities, has or will have a direct or indirect material interest.</w:t>
      </w:r>
    </w:p>
    <w:p>
      <w:pPr>
        <w:spacing w:after="0" w:line="173"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expect that our Corporate Governance and Compensation Committee will be responsible for reviewing and either approving, ratifying or disapproving such transactions. In considering a related party transaction, we believe that our Corporate Governance and Compensation Committee will take into account relevant facts and circumstances, including the following:</w:t>
      </w:r>
    </w:p>
    <w:p>
      <w:pPr>
        <w:spacing w:after="0" w:line="87" w:lineRule="exact"/>
        <w:rPr>
          <w:sz w:val="20"/>
          <w:szCs w:val="20"/>
          <w:color w:val="auto"/>
        </w:rPr>
      </w:pPr>
    </w:p>
    <w:p>
      <w:pPr>
        <w:ind w:left="1180" w:right="220" w:hanging="544"/>
        <w:spacing w:after="0" w:line="277" w:lineRule="auto"/>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terms generally available to an unaffiliated third party under similar circumstances;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80"/>
          </w:cols>
          <w:pgMar w:left="240" w:top="460" w:right="4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360" w:hanging="544"/>
        <w:spacing w:after="0" w:line="277" w:lineRule="auto"/>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materiality of the director’s, executive officer’s or beneficial owner’s interest in the transaction, including any actual or perceived conflicts of interest; and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importance of the transaction and the benefit (or lack thereof) of such transaction to us.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expect that our Corporate Governance and Compensation Committee will not approve or ratify such transaction unless, after considering all facts and circumstances, including the factors listed above, it determines that the transaction is in, or is not inconsistent with, the best interests of us and our stockholders.</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240" w:top="459" w:right="5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MATERIAL U.S. FEDERAL INCOME TAX CONSIDERATIONS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NON-U.S. HOLDERS</w:t>
      </w:r>
    </w:p>
    <w:p>
      <w:pPr>
        <w:spacing w:after="0" w:line="21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following is a general discussion of material U.S. federal income tax considerations with respect to the ownership and disposition of our Class A common stock applicable to non-U.S. holders who acquire such shares in this offering. This discussion is based on current provisions of the Code, U.S. Treasury regulations promulgated under the Code, and administrative rulings and court decisions in effect as of the date of this prospectus, all of which are subject to change at any time, possibly with retroactive effect.</w:t>
      </w:r>
    </w:p>
    <w:p>
      <w:pPr>
        <w:spacing w:after="0" w:line="18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For purposes of this discussion, the term “non-U.S. holder” means a beneficial owner of our Class A common stock that is not, for U.S. federal income tax purposes, a partnership or any of the following:</w:t>
      </w:r>
    </w:p>
    <w:p>
      <w:pPr>
        <w:spacing w:after="0" w:line="76" w:lineRule="exact"/>
        <w:rPr>
          <w:sz w:val="20"/>
          <w:szCs w:val="20"/>
          <w:color w:val="auto"/>
        </w:rPr>
      </w:pPr>
    </w:p>
    <w:p>
      <w:pPr>
        <w:ind w:left="1180" w:hanging="544"/>
        <w:spacing w:after="0"/>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citizen or individual resident of the U.S.;</w:t>
      </w:r>
    </w:p>
    <w:p>
      <w:pPr>
        <w:spacing w:after="0" w:line="130" w:lineRule="exact"/>
        <w:rPr>
          <w:rFonts w:ascii="Arial" w:cs="Arial" w:eastAsia="Arial" w:hAnsi="Arial"/>
          <w:sz w:val="18"/>
          <w:szCs w:val="18"/>
          <w:color w:val="auto"/>
        </w:rPr>
      </w:pPr>
    </w:p>
    <w:p>
      <w:pPr>
        <w:ind w:left="1180" w:right="220" w:hanging="544"/>
        <w:spacing w:after="0" w:line="277" w:lineRule="auto"/>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the U.S. or under the laws of the U.S., any state thereof or the District of Columbia;</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estate, the income of which subject to U.S. federal income tax regardless of its source; or</w:t>
      </w:r>
    </w:p>
    <w:p>
      <w:pPr>
        <w:spacing w:after="0" w:line="130" w:lineRule="exact"/>
        <w:rPr>
          <w:rFonts w:ascii="Arial" w:cs="Arial" w:eastAsia="Arial" w:hAnsi="Arial"/>
          <w:sz w:val="18"/>
          <w:szCs w:val="18"/>
          <w:color w:val="auto"/>
        </w:rPr>
      </w:pPr>
    </w:p>
    <w:p>
      <w:pPr>
        <w:ind w:left="1180" w:right="360" w:hanging="544"/>
        <w:spacing w:after="0" w:line="291" w:lineRule="auto"/>
        <w:tabs>
          <w:tab w:leader="none" w:pos="11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 trust if (1) a court within the U.S. is able to exercise primary supervision over the administration of the trust and one or more “U.S. persons” (within the meaning of Section 7701(2)(30) of the Code) have the authority to control all substantial decisions of the trust, or</w:t>
      </w:r>
    </w:p>
    <w:p>
      <w:pPr>
        <w:ind w:left="1180" w:right="320" w:hanging="4"/>
        <w:spacing w:after="0" w:line="261" w:lineRule="auto"/>
        <w:tabs>
          <w:tab w:leader="none" w:pos="143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it has a valid election in effect under applicable U.S. Treasury regulations to be treated as a U.S. person for U.S. federal income tax purposes.</w:t>
      </w:r>
    </w:p>
    <w:p>
      <w:pPr>
        <w:spacing w:after="0" w:line="184" w:lineRule="exact"/>
        <w:rPr>
          <w:sz w:val="20"/>
          <w:szCs w:val="20"/>
          <w:color w:val="auto"/>
        </w:rPr>
      </w:pPr>
    </w:p>
    <w:p>
      <w:pPr>
        <w:ind w:left="200" w:right="340" w:firstLine="441"/>
        <w:spacing w:after="0" w:line="312" w:lineRule="auto"/>
        <w:rPr>
          <w:sz w:val="20"/>
          <w:szCs w:val="20"/>
          <w:color w:val="auto"/>
        </w:rPr>
      </w:pPr>
      <w:r>
        <w:rPr>
          <w:rFonts w:ascii="Arial" w:cs="Arial" w:eastAsia="Arial" w:hAnsi="Arial"/>
          <w:sz w:val="16"/>
          <w:szCs w:val="16"/>
          <w:color w:val="auto"/>
        </w:rPr>
        <w:t>If an entity or arrangement treated as a partnership for U.S. federal income tax purposes holds shares of our Class A common stock, the tax treatment of a person treated as a partner generally will depend on the status of the partner and the activities of the partnership. Persons that for U.S. federal income tax purposes are treated as a partner in a partnership holding shares of our Class A common stock should consult their tax advisors.</w:t>
      </w:r>
    </w:p>
    <w:p>
      <w:pPr>
        <w:spacing w:after="0" w:line="14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This discussion assumes that a non-U.S. holder holds shares of our Class A common stock as a capital asset within the meaning of Section 1221 of the Code (generally, property held for investment). This discussion does not address all aspects of U.S. federal income taxation that may be important to a non-U.S. holder in light of that holder’s particular circumstances or that may be applicable to holders subject to special treatment under U.S. federal income tax law (including, for example, financial institutions, brokers or dealers in securities, traders in securities that elect mark-to-market treatment, insurance companies, controlled foreign corporations, passive investment companies, tax-exempt entities, holders who acquired our Class A common stock pursuant to the exercise of employee stock options or otherwise as compensation, entities or arrangements treated as partnerships for U.S. federal income tax purposes, holders liable for the alternative minimum tax, certain former citizens or former long-term residents of the U.S., holders who hold our Class A common stock as part of a hedge, straddle, constructive sale, conversion transaction or other risk-reduction transaction, persons subject to special tax accounting rules as a result of any item of gross income with respect to the Class A common stock being taken into account in an applicable financial statement, tax-qualified retirement plans, tax-exempt organizations or governmental organizations, persons deemed to sell our common stock under the constructive sale provisions of the Code, “qualified foreign pension funds” as defined in 897(1)(2) of the Code and entities all of the interests of which are held by qualified foreign pension funds and holders who own or have owned (directly, indirectly or constructively) 5% or more of our Class A common stock (by vote or value)). In addition, this discussion does not address U.S. federal tax laws other than those pertaining to the U.S. federal income tax, nor does it address any aspects of the Medicare contribution tax on net investment income, or U.S. state or local or non-U.S. taxes. Accordingly, prospective investors should consult with their own tax advisors regarding the U.S. federal, state or local, non-U.S. income and other tax considerations of acquiring, holding and disposing of shares of our Class A common stock.</w:t>
      </w:r>
    </w:p>
    <w:p>
      <w:pPr>
        <w:spacing w:after="0" w:line="17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THIS SUMMARY IS NOT INTENDED TO CONSTITUTE A COMPLETE DESCRIPTION OF ALL TAX CONSEQUENCES RELATING TO THE OWNERSHIP AND DISPOSITION OF OUR CLASS A COMMON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00"/>
          </w:cols>
          <w:pgMar w:left="240" w:top="460"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STOCK. WE RECOMMEND THAT PROSPECTIVE HOLDERS OF OUR CLASS A COMMON STOCK CONSULT WITH THEIR TAX ADVISORS REGARDING THE TAX CONSEQUENCES TO THEM (INCLUDING THE APPLICATION AND EFFECT OF ANY STATE, LOCAL, NON-U.S. INCOME AND OTHER TAX LAWS) OF THE OWNERSHIP AND DISPOSITION OF OUR CLASS A COMMON STOCK.</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As described in this prospectus under “Dividend Policy,” we do not anticipate declaring or paying dividends to holders of our Class A common stock in the foreseeable future. In general, any distributions we make to a non-U.S. holder with respect to shares of our Class A common stock that constitute dividends for U.S. federal income tax purposes will be subject to U.S. withholding tax at a rate of 30% of the gross amount (or a reduced rate prescribed by an applicable income tax treaty), unless the dividends are effectively connected with a trade or business carried on by the non-U.S. holder within the U.S. (and, if required by an applicable income tax treaty, are attributable to a permanent establishment of the non-U.S. holder within the U.S.). A distribution will constitute a dividend for U.S. federal income tax purposes to the extent of our current or accumulated earnings and profits as determined for U.S. federal income tax purposes. Any distribution not constituting a dividend will be treated as first reducing the adjusted basis in the non-U.S. holder’s shares of our Class A common stock, but not below zero, and, to the extent it exceeds the adjusted basis in the non-U.S. holder’s shares of our Class A common stock, as capital gain and will be treated as described below under “—Gain on Sale or Other Disposition of Our Class A Common Stock.” However, except to the extent that we elect (or the paying agent or other intermediary through which you hold your shares of Class A common stock elects) to withhold with respect to the taxable portion of the distribution only, we (or the intermediary) must generally withhold on the entire distribution, in which case you generally would be entitled to a refund from the IRS, to the extent the withholding exceeds your tax liability with respect to the distribution.</w:t>
      </w:r>
    </w:p>
    <w:p>
      <w:pPr>
        <w:spacing w:after="0" w:line="18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A non-U.S. holder who wishes to claim the benefit of an applicable treaty rate and avoid backup withholding, as discussed below, on dividends will be required (a) to provide the applicable withholding agent with a properly executed IRS Form W-8BEN or IRS Form W-8BEN-E (or other applicable form) certifying under penalties of perjury that such holder is not a U.S. person as defined under the Code and is eligible for treaty benefits or</w:t>
      </w:r>
    </w:p>
    <w:p>
      <w:pPr>
        <w:ind w:left="200" w:right="220" w:firstLine="4"/>
        <w:spacing w:after="0" w:line="271" w:lineRule="auto"/>
        <w:tabs>
          <w:tab w:leader="none" w:pos="45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if our Class A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 If a non-U.S. holder is eligible for a reduced rate of U.S. federal withholding tax under an income tax treaty, the non-U.S. holder may obtain a refund or credit of any excess amounts withheld by filing an appropriate claim for a refund with the IRS. Non-U.S. holders are urged to consult their own tax advisors regarding their possible entitlement to benefits under an applicable income tax treaty.</w:t>
      </w:r>
    </w:p>
    <w:p>
      <w:pPr>
        <w:spacing w:after="0" w:line="179"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Dividends effectively connected with a non-U.S. holder’s conduct of a U.S. trade or business (and, if required by an applicable income tax treaty, attributable to such non-U.S. holder’s U.S. permanent establishment) generally will not be subject to U.S. withholding tax if the non-U.S. holder complies with applicable certification and disclosure requirements. Instead, such dividends generally will be subject to U.S. federal income tax on a net income basis, at the regular graduated rates. A non-U.S. holder that is a corporation may be subject to an additional “branch profits tax” at a rate of 30% (or such lower rate as may be specified by an applicable income tax treaty) on its “effectively connected earnings and profits,” subject to certain adjustments. To claim this exemption, the non-U.S. holder must furnish to the applicable withholding agent a valid IRS Form W-8ECI, certifying that the dividends are effectively connected with the non-U.S. holder’s conduct of a trade or business within the U.S.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00"/>
          </w:cols>
          <w:pgMar w:left="24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Gain on Sale or Other Disposition of Our Class A Common Stock</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general, a non-U.S. holder will not be subject to U.S. federal income tax or, subject to the discussion below under “—Information Reporting and Backup Withholding” and “—Foreign Account Tax Compliance Act,” withholding tax on any gain realized upon the sale or other disposition of our Class A common stock unless:</w:t>
      </w:r>
    </w:p>
    <w:p>
      <w:pPr>
        <w:spacing w:after="0" w:line="87" w:lineRule="exact"/>
        <w:rPr>
          <w:sz w:val="20"/>
          <w:szCs w:val="20"/>
          <w:color w:val="auto"/>
        </w:rPr>
      </w:pPr>
    </w:p>
    <w:p>
      <w:pPr>
        <w:ind w:left="1180" w:hanging="544"/>
        <w:spacing w:after="0" w:line="277" w:lineRule="auto"/>
        <w:tabs>
          <w:tab w:leader="none" w:pos="1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carried on by the non-U.S. holder within the U.S. and, if required by an applicable income tax treaty, is attributable to a U.S. permanent establishment of the non-U.S. holder;</w:t>
      </w:r>
    </w:p>
    <w:p>
      <w:pPr>
        <w:spacing w:after="0" w:line="75" w:lineRule="exact"/>
        <w:rPr>
          <w:rFonts w:ascii="Arial" w:cs="Arial" w:eastAsia="Arial" w:hAnsi="Arial"/>
          <w:sz w:val="18"/>
          <w:szCs w:val="18"/>
          <w:color w:val="auto"/>
        </w:rPr>
      </w:pPr>
    </w:p>
    <w:p>
      <w:pPr>
        <w:ind w:left="1180" w:right="180" w:hanging="544"/>
        <w:spacing w:after="0" w:line="277" w:lineRule="auto"/>
        <w:tabs>
          <w:tab w:leader="none" w:pos="1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and is present in the U.S. for 183 days or more in the taxable year of disposition and certain other conditions are satisfied; or</w:t>
      </w:r>
    </w:p>
    <w:p>
      <w:pPr>
        <w:spacing w:after="0" w:line="75" w:lineRule="exact"/>
        <w:rPr>
          <w:rFonts w:ascii="Arial" w:cs="Arial" w:eastAsia="Arial" w:hAnsi="Arial"/>
          <w:sz w:val="18"/>
          <w:szCs w:val="18"/>
          <w:color w:val="auto"/>
        </w:rPr>
      </w:pPr>
    </w:p>
    <w:p>
      <w:pPr>
        <w:ind w:left="1180" w:right="180" w:hanging="544"/>
        <w:spacing w:after="0" w:line="264" w:lineRule="auto"/>
        <w:tabs>
          <w:tab w:leader="none" w:pos="1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(“USRPHC”) for U.S. federal income tax purposes at any time within the shorter of the five-year period ending on the date of the disposition and the non-U.S. holder’s holding period and certain other conditions are satisfied.</w:t>
      </w:r>
    </w:p>
    <w:p>
      <w:pPr>
        <w:spacing w:after="0" w:line="18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Gain that is effectively connected with the conduct of a trade or business in the U.S. generally will be subject to U.S. federal income tax, net of certain deductions, at regular U.S. federal income tax rates. If the non-U.S. holder is a foreign corporation, the branch profits tax described above also may apply to such effectively connected gain. A nonresident alien individual non-U.S. holder who is subject to U.S. federal income tax because the non-U.S. holder was present in the U.S. for 183 days or more during the year of sale or other disposition of our Class A common stock will be subject to tax at a rate of 30% (or a reduced rate under an applicable income tax treaty) on the gain derived from such sale or other disposition, which may be offset by U.S. source capital losses, provided the non-U.S. holder has timely filed U.S. federal income tax returns with respect to such losses.</w:t>
      </w:r>
    </w:p>
    <w:p>
      <w:pPr>
        <w:spacing w:after="0" w:line="165"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must report annually to the IRS and to each non-U.S. holder the amount of dividends paid to, and the tax withheld with respect to, each non-U.S. holder of our Class A common stock. These reporting requirements apply regardless of whether withholding was reduced or eliminated by an applicable tax treaty. Copies of this information also may be made available under the provisions of a specific treaty or agreement with the tax authorities in the country in which the non-U.S. holder resides or is established.</w:t>
      </w:r>
    </w:p>
    <w:p>
      <w:pPr>
        <w:spacing w:after="0" w:line="187" w:lineRule="exact"/>
        <w:rPr>
          <w:sz w:val="20"/>
          <w:szCs w:val="20"/>
          <w:color w:val="auto"/>
        </w:rPr>
      </w:pPr>
    </w:p>
    <w:p>
      <w:pPr>
        <w:ind w:left="200" w:right="300" w:firstLine="441"/>
        <w:spacing w:after="0" w:line="297" w:lineRule="auto"/>
        <w:rPr>
          <w:sz w:val="20"/>
          <w:szCs w:val="20"/>
          <w:color w:val="auto"/>
        </w:rPr>
      </w:pPr>
      <w:r>
        <w:rPr>
          <w:rFonts w:ascii="Arial" w:cs="Arial" w:eastAsia="Arial" w:hAnsi="Arial"/>
          <w:sz w:val="16"/>
          <w:szCs w:val="16"/>
          <w:color w:val="auto"/>
        </w:rPr>
        <w:t>U.S. backup withholding tax is imposed on certain payments to persons that fail to furnish the information required under the U.S. information reporting rules. Backup withholding is generally imposed at a rate of 24%. Backup withholding is not an additional tax. The amount of any backup withholding from a payment to you generally will be allowed as a credit against U.S. federal income tax provided that you provide the required information to the IRS in a timely manner. Dividends paid to a non-U.S. holder generally will be exempt from backup withholding if the non-U.S. holder provides a properly executed IRS Form W-8BEN, IRS Form W-8BEN-E or IRS Form W-8ECI, or otherwise establishes an exemption.</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Under U.S. Treasury regulations, the payment of proceeds from the disposition of our Class A common stock by a non-U.S. holder effected at a U.S. office of a broker generally will be subject to information reporting and backup withholding, unless the beneficial owner, under penalties of perjury, certifies, among other things, its status as a non-U.S. holder or otherwise establishes an exemption. The payment of proceeds from the disposition of our Class A common stock by a non-U.S. holder effected at a non-U.S. office of a broker generally will not be subject to backup withholding and information reporting, except as noted below. In the case of proceeds from a disposition of our Class A common stock by a non-U.S. holder effected at a non-U.S. office of a broker that is:</w:t>
      </w:r>
    </w:p>
    <w:p>
      <w:pPr>
        <w:spacing w:after="0" w:line="99" w:lineRule="exact"/>
        <w:rPr>
          <w:sz w:val="20"/>
          <w:szCs w:val="20"/>
          <w:color w:val="auto"/>
        </w:rPr>
      </w:pPr>
    </w:p>
    <w:p>
      <w:pPr>
        <w:ind w:left="1180" w:hanging="544"/>
        <w:spacing w:after="0"/>
        <w:tabs>
          <w:tab w:leader="none" w:pos="11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U.S. person;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 foreign person 50% or more of whose gross income from certain periods is effectively connected with a U.S. trade or business; or</w:t>
      </w:r>
    </w:p>
    <w:p>
      <w:pPr>
        <w:spacing w:after="0" w:line="142" w:lineRule="exact"/>
        <w:rPr>
          <w:rFonts w:ascii="Arial" w:cs="Arial" w:eastAsia="Arial" w:hAnsi="Arial"/>
          <w:sz w:val="17"/>
          <w:szCs w:val="17"/>
          <w:color w:val="auto"/>
        </w:rPr>
      </w:pPr>
    </w:p>
    <w:p>
      <w:pPr>
        <w:ind w:left="1180" w:hanging="544"/>
        <w:spacing w:after="0" w:line="342" w:lineRule="auto"/>
        <w:tabs>
          <w:tab w:leader="none" w:pos="11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124"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information reporting will apply unless the broker has documentary evidence in its files that the owner is a non-U.S. holder and certain other conditions are satisfied, or the beneficial owner otherwise establishes an exemption (and the broker has no knowledge or reason to know to the contrary). Backup withholding will apply if the sale is subject to information reporting and the broker has actual knowledge that you are a U.S. person.</w:t>
      </w:r>
    </w:p>
    <w:p>
      <w:pPr>
        <w:spacing w:after="0" w:line="14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can be refunded or credited against the non-U.S. holder’s U.S. federal income tax liability, if any, provided that the required information is furnished to the IRS in a timely manner.</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225"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Under Sections 1471 through 1474 of the Code and the Treasury regulations promulgated thereunder (collectively, “FATCA”), a U.S. federal withholding tax of 30% generally will be imposed on certain payments made to a “foreign financial institution” (as specifically defined under these rules) unless such institution enters into an agreement with the U.S. tax authorities to withhold on certain payments and to collect and provide to the U.S. tax authorities substantial information regarding U.S. account holders of such institution or meets other exceptions. Under FATCA and administrative guidance, a U.S. federal withholding tax of 30% generally also will be imposed on certain payments made to a non-financial foreign entity unless such entity provides the withholding agent with a certification identifying its direct and indirect U.S. owners or meets other exceptions. Foreign entities located in jurisdictions that have an intergovernmental agreement with the U.S. governing these withholding and reporting requirements may be subject to different rules. Under certain circumstances, a non-U.S. holder might be eligible for refunds or credits of such taxes. These withholding taxes would be imposed on dividends with respect to our Class A common stock to foreign financial institutions or non-financial foreign entities (including in their capacity as agents or custodians for beneficial owners of our Class A common stock) that fail to satisfy the above requirements. In general, withholding on gross proceeds on disposition of our common stock is subject to withholding under FATCA as well. However, recently proposed Treasury regulations, which tax payers may generally rely upon until final regulations are issued, eliminate withholding on payments of gross proceeds. There can be no assurances, however, that future guidance will not restore the obligation to withhold on gross proceeds. Prospective non-U.S. holders should consult with their tax advisors regarding the possible implications of FATCA on their investment in our Class A common stock.</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20"/>
          </w:cols>
          <w:pgMar w:left="240" w:top="460"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Citigroup Global Markets Inc., J.P. Morgan Securities LLC and Goldman Sachs &amp; Co. LLC are acting as representatives, have severally agreed to purchase, and we have agreed to sell to them, severally, the number of shares of Class A common stock indicated below:</w:t>
      </w:r>
    </w:p>
    <w:p>
      <w:pPr>
        <w:spacing w:after="0" w:line="193" w:lineRule="exact"/>
        <w:rPr>
          <w:sz w:val="20"/>
          <w:szCs w:val="20"/>
          <w:color w:val="auto"/>
        </w:rPr>
      </w:pPr>
    </w:p>
    <w:tbl>
      <w:tblPr>
        <w:tblLayout w:type="fixed"/>
        <w:tblInd w:w="4220" w:type="dxa"/>
        <w:tblCellMar>
          <w:top w:w="0" w:type="dxa"/>
          <w:left w:w="0" w:type="dxa"/>
          <w:bottom w:w="0" w:type="dxa"/>
          <w:right w:w="0" w:type="dxa"/>
        </w:tblCellMar>
      </w:tblPr>
      <w:tr>
        <w:trPr>
          <w:trHeight w:val="161"/>
        </w:trPr>
        <w:tc>
          <w:tcPr>
            <w:tcW w:w="208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3500" w:type="dxa"/>
            <w:vAlign w:val="bottom"/>
          </w:tcPr>
          <w:p>
            <w:pPr>
              <w:jc w:val="center"/>
              <w:ind w:left="1648"/>
              <w:spacing w:after="0"/>
              <w:rPr>
                <w:sz w:val="20"/>
                <w:szCs w:val="20"/>
                <w:color w:val="auto"/>
              </w:rPr>
            </w:pPr>
            <w:r>
              <w:rPr>
                <w:rFonts w:ascii="Arial" w:cs="Arial" w:eastAsia="Arial" w:hAnsi="Arial"/>
                <w:sz w:val="14"/>
                <w:szCs w:val="14"/>
                <w:b w:val="1"/>
                <w:bCs w:val="1"/>
                <w:color w:val="auto"/>
                <w:w w:val="92"/>
              </w:rPr>
              <w:t>Number of Shares of Class A</w:t>
            </w:r>
          </w:p>
        </w:tc>
        <w:tc>
          <w:tcPr>
            <w:tcW w:w="0" w:type="dxa"/>
            <w:vAlign w:val="bottom"/>
          </w:tcPr>
          <w:p>
            <w:pPr>
              <w:spacing w:after="0"/>
              <w:rPr>
                <w:sz w:val="1"/>
                <w:szCs w:val="1"/>
                <w:color w:val="auto"/>
              </w:rPr>
            </w:pPr>
          </w:p>
        </w:tc>
      </w:tr>
      <w:tr>
        <w:trPr>
          <w:trHeight w:val="186"/>
        </w:trPr>
        <w:tc>
          <w:tcPr>
            <w:tcW w:w="2080" w:type="dxa"/>
            <w:vAlign w:val="bottom"/>
            <w:vMerge w:val="continue"/>
          </w:tcPr>
          <w:p>
            <w:pPr>
              <w:spacing w:after="0"/>
              <w:rPr>
                <w:sz w:val="16"/>
                <w:szCs w:val="16"/>
                <w:color w:val="auto"/>
              </w:rPr>
            </w:pPr>
          </w:p>
        </w:tc>
        <w:tc>
          <w:tcPr>
            <w:tcW w:w="3500" w:type="dxa"/>
            <w:vAlign w:val="bottom"/>
          </w:tcPr>
          <w:p>
            <w:pPr>
              <w:jc w:val="center"/>
              <w:ind w:left="1648"/>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-8890</wp:posOffset>
            </wp:positionV>
            <wp:extent cx="5248275" cy="146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48275" cy="14605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BMO Capital Markets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Evercore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SunTrust Robinson Humphrey,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HSBC Securities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Nomura Securities International, Inc.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PNC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Rabo Securities USA, Inc.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tbl>
      <w:tblPr>
        <w:tblLayout w:type="fixed"/>
        <w:tblInd w:w="2220" w:type="dxa"/>
        <w:tblCellMar>
          <w:top w:w="0" w:type="dxa"/>
          <w:left w:w="0" w:type="dxa"/>
          <w:bottom w:w="0" w:type="dxa"/>
          <w:right w:w="0" w:type="dxa"/>
        </w:tblCellMar>
      </w:tblP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30,000,000</w:t>
            </w:r>
          </w:p>
        </w:tc>
      </w:tr>
      <w:tr>
        <w:trPr>
          <w:trHeight w:val="20"/>
        </w:trPr>
        <w:tc>
          <w:tcPr>
            <w:tcW w:w="58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option to purchase additional shares described below.</w:t>
      </w:r>
    </w:p>
    <w:p>
      <w:pPr>
        <w:spacing w:after="0" w:line="165" w:lineRule="exact"/>
        <w:rPr>
          <w:sz w:val="20"/>
          <w:szCs w:val="20"/>
          <w:color w:val="auto"/>
        </w:rPr>
      </w:pPr>
    </w:p>
    <w:p>
      <w:pPr>
        <w:ind w:left="200" w:right="240" w:firstLine="441"/>
        <w:spacing w:after="0" w:line="291" w:lineRule="auto"/>
        <w:rPr>
          <w:sz w:val="20"/>
          <w:szCs w:val="20"/>
          <w:color w:val="auto"/>
        </w:rPr>
      </w:pPr>
      <w:r>
        <w:rPr>
          <w:rFonts w:ascii="Arial" w:cs="Arial" w:eastAsia="Arial" w:hAnsi="Arial"/>
          <w:sz w:val="16"/>
          <w:szCs w:val="16"/>
          <w:color w:val="auto"/>
        </w:rPr>
        <w:t>The underwriters initially propose to offer part of the shares of Class A common stock directly to the public at the offering price listed on the cover page of this prospectus and part of the shares of Class A common stock to certain dealers at a price that represents a concession not in excess of</w:t>
      </w:r>
    </w:p>
    <w:p>
      <w:pPr>
        <w:ind w:left="200" w:right="20" w:firstLine="4"/>
        <w:spacing w:after="0" w:line="255" w:lineRule="auto"/>
        <w:tabs>
          <w:tab w:leader="none" w:pos="65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share under the public offering price. After the initial offering of the shares of Class A common stock, the offering price and other selling terms may from time to time be varied by the representatives. Certain of the underwriters may offer and sell the Class A common stock through one or more of their respective affiliates or selling agents.</w:t>
      </w:r>
    </w:p>
    <w:p>
      <w:pPr>
        <w:spacing w:after="0" w:line="19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have granted to the underwriters an option, exercisable for thirty days from the date of this prospectus, to purchase up to 4,500,000 additional shares of Class A common stock from us at the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240" w:top="460"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70"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following tables show the per share and total public offering price, underwriting discounts and commissions, and proceeds before expenses to us. Such amounts are shown assuming both no exercise and full exercise of the underwriters’ option to purchase up to an additional 4,500,000 shares of Class A common stock.</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vMerge w:val="restart"/>
          </w:tcPr>
          <w:p>
            <w:pPr>
              <w:jc w:val="right"/>
              <w:ind w:right="107"/>
              <w:spacing w:after="0"/>
              <w:rPr>
                <w:sz w:val="20"/>
                <w:szCs w:val="20"/>
                <w:color w:val="auto"/>
              </w:rPr>
            </w:pPr>
            <w:r>
              <w:rPr>
                <w:rFonts w:ascii="Arial" w:cs="Arial" w:eastAsia="Arial" w:hAnsi="Arial"/>
                <w:sz w:val="14"/>
                <w:szCs w:val="14"/>
                <w:b w:val="1"/>
                <w:bCs w:val="1"/>
                <w:color w:val="auto"/>
              </w:rPr>
              <w:t>Per Share</w:t>
            </w:r>
          </w:p>
        </w:tc>
        <w:tc>
          <w:tcPr>
            <w:tcW w:w="26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Full 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7"/>
              <w:spacing w:after="0"/>
              <w:rPr>
                <w:sz w:val="20"/>
                <w:szCs w:val="20"/>
                <w:color w:val="auto"/>
              </w:rPr>
            </w:pPr>
            <w:r>
              <w:rPr>
                <w:rFonts w:ascii="Arial" w:cs="Arial" w:eastAsia="Arial" w:hAnsi="Arial"/>
                <w:sz w:val="14"/>
                <w:szCs w:val="14"/>
                <w:b w:val="1"/>
                <w:bCs w:val="1"/>
                <w:color w:val="auto"/>
                <w:w w:val="99"/>
              </w:rPr>
              <w:t>No Exercise</w:t>
            </w: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7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266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660" w:type="dxa"/>
            <w:vAlign w:val="bottom"/>
            <w:gridSpan w:val="2"/>
            <w:shd w:val="clear" w:color="auto" w:fill="CCEEFF"/>
          </w:tcPr>
          <w:p>
            <w:pPr>
              <w:jc w:val="right"/>
              <w:ind w:right="78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8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$8.0 million. We have agreed to reimburse the underwriters for expenses relating to clearance of this offering with the Financial Industry Regulatory Authority, or FINRA, up to $30,000.</w:t>
      </w:r>
    </w:p>
    <w:p>
      <w:pPr>
        <w:spacing w:after="0" w:line="181" w:lineRule="exact"/>
        <w:rPr>
          <w:sz w:val="20"/>
          <w:szCs w:val="20"/>
          <w:color w:val="auto"/>
        </w:rPr>
      </w:pPr>
    </w:p>
    <w:p>
      <w:pPr>
        <w:jc w:val="both"/>
        <w:ind w:left="200" w:right="160" w:firstLine="441"/>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 of the total number of shares of Class A common stock offered by them.</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received approval to have our Class A common stock approved for listing on the NYSE under the trading symbol “BRBR”.</w:t>
      </w:r>
    </w:p>
    <w:p>
      <w:pPr>
        <w:spacing w:after="0" w:line="225" w:lineRule="exact"/>
        <w:rPr>
          <w:sz w:val="20"/>
          <w:szCs w:val="20"/>
          <w:color w:val="auto"/>
        </w:rPr>
      </w:pPr>
    </w:p>
    <w:p>
      <w:pPr>
        <w:jc w:val="both"/>
        <w:ind w:left="200" w:right="140" w:firstLine="441"/>
        <w:spacing w:after="0" w:line="288" w:lineRule="auto"/>
        <w:rPr>
          <w:sz w:val="20"/>
          <w:szCs w:val="20"/>
          <w:color w:val="auto"/>
        </w:rPr>
      </w:pPr>
      <w:r>
        <w:rPr>
          <w:rFonts w:ascii="Arial" w:cs="Arial" w:eastAsia="Arial" w:hAnsi="Arial"/>
          <w:sz w:val="16"/>
          <w:szCs w:val="16"/>
          <w:color w:val="auto"/>
        </w:rPr>
        <w:t>We and all of our directors, certain of our officers and Post have agreed that, without the prior written consent of the representatives on behalf of the underwriters, we and they will not, during the period ending 180 days after the date of this prospectus, provided, that such restricted period will end ten business days prior to the scheduled closure of our trading window for the first full fiscal quarter completed after the date of this prospectus if</w:t>
      </w:r>
    </w:p>
    <w:p>
      <w:pPr>
        <w:ind w:left="200" w:right="200" w:firstLine="4"/>
        <w:spacing w:after="0" w:line="261" w:lineRule="auto"/>
        <w:tabs>
          <w:tab w:leader="none" w:pos="49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such restricted period ends during or within ten business days prior to the scheduled closure of such trading window and (B) such restricted period will end at least 120 days after the date of this prospectus, which we refer to as the “restricted period”:</w:t>
      </w:r>
    </w:p>
    <w:p>
      <w:pPr>
        <w:spacing w:after="0" w:line="89" w:lineRule="exact"/>
        <w:rPr>
          <w:rFonts w:ascii="Arial" w:cs="Arial" w:eastAsia="Arial" w:hAnsi="Arial"/>
          <w:sz w:val="18"/>
          <w:szCs w:val="18"/>
          <w:color w:val="auto"/>
        </w:rPr>
      </w:pPr>
    </w:p>
    <w:p>
      <w:pPr>
        <w:ind w:left="1180" w:right="100" w:hanging="544"/>
        <w:spacing w:after="0" w:line="264" w:lineRule="auto"/>
        <w:tabs>
          <w:tab w:leader="none" w:pos="11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6" w:lineRule="exact"/>
        <w:rPr>
          <w:rFonts w:ascii="Arial" w:cs="Arial" w:eastAsia="Arial" w:hAnsi="Arial"/>
          <w:sz w:val="18"/>
          <w:szCs w:val="18"/>
          <w:color w:val="auto"/>
        </w:rPr>
      </w:pPr>
    </w:p>
    <w:p>
      <w:pPr>
        <w:ind w:left="1180" w:right="360" w:hanging="544"/>
        <w:spacing w:after="0" w:line="277" w:lineRule="auto"/>
        <w:tabs>
          <w:tab w:leader="none" w:pos="11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180" w:right="160" w:hanging="544"/>
        <w:spacing w:after="0" w:line="277" w:lineRule="auto"/>
        <w:tabs>
          <w:tab w:leader="none" w:pos="11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 that, without the prior written consent of the representatives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7" w:lineRule="exact"/>
        <w:rPr>
          <w:sz w:val="20"/>
          <w:szCs w:val="20"/>
          <w:color w:val="auto"/>
        </w:rPr>
      </w:pPr>
    </w:p>
    <w:p>
      <w:pPr>
        <w:jc w:val="both"/>
        <w:ind w:left="200" w:right="640" w:firstLine="441"/>
        <w:spacing w:after="0" w:line="342" w:lineRule="auto"/>
        <w:rPr>
          <w:sz w:val="20"/>
          <w:szCs w:val="20"/>
          <w:color w:val="auto"/>
        </w:rPr>
      </w:pPr>
      <w:r>
        <w:rPr>
          <w:rFonts w:ascii="Arial" w:cs="Arial" w:eastAsia="Arial" w:hAnsi="Arial"/>
          <w:sz w:val="16"/>
          <w:szCs w:val="16"/>
          <w:color w:val="auto"/>
        </w:rPr>
        <w:t>The restrictions in the immediately preceding paragraph do not apply to our directors, officers or other holders of our outstanding Class A common stock or other securities who are parties to the lock-up agreements in certain circumstances including, but not limited to, the following:</w:t>
      </w:r>
    </w:p>
    <w:p>
      <w:pPr>
        <w:spacing w:after="0" w:line="29" w:lineRule="exact"/>
        <w:rPr>
          <w:sz w:val="20"/>
          <w:szCs w:val="20"/>
          <w:color w:val="auto"/>
        </w:rPr>
      </w:pPr>
    </w:p>
    <w:p>
      <w:pPr>
        <w:ind w:left="5580" w:right="2340" w:hanging="4944"/>
        <w:spacing w:after="0" w:line="449" w:lineRule="auto"/>
        <w:tabs>
          <w:tab w:leader="none" w:pos="117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distributions of common stock or BellRing Brands, LLC Units to a party’s limited partners or stockholders; 178</w:t>
      </w:r>
    </w:p>
    <w:p>
      <w:pPr>
        <w:sectPr>
          <w:pgSz w:w="11900" w:h="16838" w:orient="portrait"/>
          <w:cols w:equalWidth="0" w:num="1">
            <w:col w:w="11240"/>
          </w:cols>
          <w:pgMar w:left="240" w:top="460" w:right="4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0" w:hanging="544"/>
        <w:spacing w:after="0" w:line="277" w:lineRule="auto"/>
        <w:tabs>
          <w:tab w:leader="none" w:pos="11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transfers of common stock or BellRing Brands, LLC Units to any trust for the direct or indirect benefit of the party or his or her immediate family;</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establishment of a trading plan pursuant to Rule 10b5-1 under the Exchange Act for the transfer of shares of common stock;</w:t>
      </w:r>
    </w:p>
    <w:p>
      <w:pPr>
        <w:spacing w:after="0" w:line="142" w:lineRule="exact"/>
        <w:rPr>
          <w:rFonts w:ascii="Arial" w:cs="Arial" w:eastAsia="Arial" w:hAnsi="Arial"/>
          <w:sz w:val="17"/>
          <w:szCs w:val="17"/>
          <w:color w:val="auto"/>
        </w:rPr>
      </w:pPr>
    </w:p>
    <w:p>
      <w:pPr>
        <w:jc w:val="both"/>
        <w:ind w:left="1180" w:right="180" w:hanging="544"/>
        <w:spacing w:after="0" w:line="264" w:lineRule="auto"/>
        <w:tabs>
          <w:tab w:leader="none" w:pos="11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surrenders of common stock or BellRing Brands, LLC Units to the Company in payment of the exercise price of any options to purchase common stock or BellRing Brands, LLC Units, or withholdings in respect of tax obligations of common stock or BellRing Brands, LLC Units which were issuable upon such exercise;</w:t>
      </w:r>
    </w:p>
    <w:p>
      <w:pPr>
        <w:spacing w:after="0" w:line="86" w:lineRule="exact"/>
        <w:rPr>
          <w:rFonts w:ascii="Arial" w:cs="Arial" w:eastAsia="Arial" w:hAnsi="Arial"/>
          <w:sz w:val="18"/>
          <w:szCs w:val="18"/>
          <w:color w:val="auto"/>
        </w:rPr>
      </w:pPr>
    </w:p>
    <w:p>
      <w:pPr>
        <w:ind w:left="1180" w:right="600" w:hanging="544"/>
        <w:spacing w:after="0" w:line="277" w:lineRule="auto"/>
        <w:tabs>
          <w:tab w:leader="none" w:pos="11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sales or dispositions of shares of common stock solely for the purpose of sufficiently covering tax obligations which arise from the exercise or vesting of stock options or restricted stock units;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offers and sales of common stock pursuant to this offering;</w:t>
      </w:r>
    </w:p>
    <w:p>
      <w:pPr>
        <w:spacing w:after="0" w:line="130" w:lineRule="exact"/>
        <w:rPr>
          <w:rFonts w:ascii="Arial" w:cs="Arial" w:eastAsia="Arial" w:hAnsi="Arial"/>
          <w:sz w:val="18"/>
          <w:szCs w:val="18"/>
          <w:color w:val="auto"/>
        </w:rPr>
      </w:pPr>
    </w:p>
    <w:p>
      <w:pPr>
        <w:ind w:left="1180" w:right="100" w:hanging="544"/>
        <w:spacing w:after="0" w:line="277" w:lineRule="auto"/>
        <w:tabs>
          <w:tab w:leader="none" w:pos="11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recapitalization of the Company’s capital stock into shares of Class A common stock and one share of Class B common stock, and the redemption of BellRing Brands, LLC Units in exchange for shares of Class A common stock;</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transfers of common stock or BellRing Brands, LLC Units acquired in open market transactions after the completion of this offering; or</w:t>
      </w:r>
    </w:p>
    <w:p>
      <w:pPr>
        <w:spacing w:after="0" w:line="153" w:lineRule="exact"/>
        <w:rPr>
          <w:rFonts w:ascii="Arial" w:cs="Arial" w:eastAsia="Arial" w:hAnsi="Arial"/>
          <w:sz w:val="16"/>
          <w:szCs w:val="16"/>
          <w:color w:val="auto"/>
        </w:rPr>
      </w:pPr>
    </w:p>
    <w:p>
      <w:pPr>
        <w:ind w:left="1180" w:right="440" w:hanging="544"/>
        <w:spacing w:after="0" w:line="277" w:lineRule="auto"/>
        <w:tabs>
          <w:tab w:leader="none" w:pos="11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offers or transfers of common stock pursuant to a bona fide third-party tender offer, merger, consolidation or similar transaction to all holders of the Company’s capital stock involving a change of control of the Company.</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lock-up restrictions described above do not apply to us with respect to certain transactions, including issuances (or contemplated issuances) of common stock (including securities convertible into or exercisable or exchangeable for common stock) in connection with an acquisition or strategic or minority investment transaction.</w:t>
      </w:r>
    </w:p>
    <w:p>
      <w:pPr>
        <w:spacing w:after="0" w:line="181"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Morgan Stanley &amp; Co. LLC, Citigroup Global Markets Inc., J.P. Morgan Securities LLC and Goldman Sachs &amp; Co. LLC, in their sole discretion, may release the common stock and other securities subject to the lock-up agreements described above in whole or in part at any time. When determining whether or not to release our Class A common stock and other securities from lock-up agreements, Morgan Stanley &amp; Co. LLC, Citigroup Global Markets Inc., J.P. Morgan Securities LLC and Goldman Sachs &amp; Co. LLC will consider, among other factors, the holder’s reasons for requesting the release, the number of shares for which the release is being requested and market conditions at the time of the request. In the event of such release or waiver for one of our directors or officers, Morgan Stanley &amp; Co. LLC, Citigroup Global Markets Inc., J.P. Morgan Securities LLC and Goldman Sachs</w:t>
      </w:r>
    </w:p>
    <w:p>
      <w:pPr>
        <w:spacing w:after="0" w:line="5" w:lineRule="exact"/>
        <w:rPr>
          <w:sz w:val="20"/>
          <w:szCs w:val="20"/>
          <w:color w:val="auto"/>
        </w:rPr>
      </w:pPr>
    </w:p>
    <w:p>
      <w:pPr>
        <w:ind w:left="200" w:right="100" w:firstLine="4"/>
        <w:spacing w:after="0" w:line="255" w:lineRule="auto"/>
        <w:tabs>
          <w:tab w:leader="none" w:pos="38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 LLC shall provide us with notice of the impending release or waiver at least three business days before the effective date of such release or waiver and we will announce the impending release or waiver by issuing a press release through a major news service at least two business days before the effective date of the release or waiver.</w:t>
      </w:r>
    </w:p>
    <w:p>
      <w:pPr>
        <w:spacing w:after="0" w:line="190"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option to purchase additional shares. The underwriters can close out a covered short sale by exercising the option to purchase additional shares or purchasing shares in the open market. In determining the source of shares to close out a covered short sale, the underwriters will consider, among other things, the open market price of shares compared to the price available under the option to purchase additional shares. The underwriters also may sell shares in excess of the option to purchase additional shares, creating a naked short position. The underwriters must close out any naked short position by purchasing shares in the open market. A</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00"/>
          </w:cols>
          <w:pgMar w:left="24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naked short position is more likely to be created if the underwriters are concerned that there may be downward pressure on the price of the Class A common stock in the open market after pricing that could adversely affect investors who purchase shares of Class A common stock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the underwriters that may make Internet distributions on the same basis as other allocations.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Affiliates of Morgan Stanley &amp; Co. LLC, Citigroup Global Markets Inc., J.P. Morgan Securities LLC, Goldman Sachs &amp; Co. LLC, BofA Securities, Inc. and Credit Suisse Securities (USA) LLC, each of which is an underwriter in this offering, are lenders under the Post bridge loan. The proceeds received by BellRing Brands, LLC from its sale of BellRing Brands, LLC Units will be used to repay a portion of the Post bridge loan and related interest. Because of the manner in which the proceeds will be used, this offering will be conducted in accordance with Financial Industry Regulatory Authority, Inc., or FINRA, Rule 5121. This rule requires, among other things, that a qualified independent underwriter has participated in the preparation of, and has exercised the usual standards of ‘‘due diligence’’ with respect to, this prospectus and the registration statement of which this prospectus forms a part. Barclays Capital Inc. has agreed to act as qualified independent underwriter for the offering and to undertake the legal responsibilities and liabilities of an underwriter under the Securities Act, specifically including those inherent in Section 11 of the Securities Act. We will agree to indemnify Barclays Capital Inc. against liabilities incurred in connection with acting as qualified independent underwriter, including liabilities under the Securities Act. Moreover, none of Morgan Stanley &amp; Co. LLC, Citigroup Global Markets Inc., J.P. Morgan Securities LLC, Goldman Sachs &amp; Co. LLC, BofA Securities, Inc. and Credit Suisse Securities (USA) LLC is permitted to sell Class A common stock in this offering to an account over which it exercises discretionary authority without the prior specific written approval of the account holder.</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4" w:lineRule="exact"/>
        <w:rPr>
          <w:sz w:val="20"/>
          <w:szCs w:val="20"/>
          <w:color w:val="auto"/>
        </w:rPr>
      </w:pPr>
    </w:p>
    <w:p>
      <w:pPr>
        <w:ind w:left="200" w:right="220" w:firstLine="441"/>
        <w:spacing w:after="0" w:line="276"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accounts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20"/>
          </w:cols>
          <w:pgMar w:left="24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views in respect of such securities or instruments and may at any time hold, or recommend to clients that they acquire, long or short positions in such securities and instruments.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Furthermore, affiliates of Morgan Stanley &amp; Co. LLC, Citigroup Global Markets Inc., J.P. Morgan Securities LLC, Goldman Sachs &amp; Co. LLC, BofA Securities, Inc., Barclays Capital Inc., BMO Capital Markets Corp., Credit Suisse Securities (USA) LLC, SunTrust Robinson Humphrey, Inc., Wells Fargo Securities, LLC, Nomura Securities International, Inc., Rabo Securities USA, Inc. and UBS Securities LLC, each of which is acting as an underwriter in this offering, will act as joint lead arrangers or co-managers under a new term loan facility and a revolving credit facility that we expect to enter in connection with this offering.</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Prior to this offering, there has been no public market for our Class A common stock. The initial public offering price of our Class A common stock was determined through negotiations among us, Post and the underwriters.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 Neither we, Post nor the underwriters can assure investors that an active trading market for the shares will develop, or that after the offering the shares will trade in the public market at or above the initial public offering price.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33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300" w:firstLine="441"/>
        <w:spacing w:after="0" w:line="312"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an offer to the public of our Class A common stock may not be made in that Relevant Member State, except that an offer to the public in that Relevant Member State of our Class A common stock may be made at any time under the following exemptions under the Prospectus Directive:</w:t>
      </w:r>
    </w:p>
    <w:p>
      <w:pPr>
        <w:spacing w:after="0" w:line="52" w:lineRule="exact"/>
        <w:rPr>
          <w:sz w:val="20"/>
          <w:szCs w:val="20"/>
          <w:color w:val="auto"/>
        </w:rPr>
      </w:pPr>
    </w:p>
    <w:p>
      <w:pPr>
        <w:ind w:left="1180" w:hanging="544"/>
        <w:spacing w:after="0"/>
        <w:tabs>
          <w:tab w:leader="none" w:pos="11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any legal entity that is a qualified investor as defined in the Prospectus Directive;</w:t>
      </w:r>
    </w:p>
    <w:p>
      <w:pPr>
        <w:spacing w:after="0" w:line="130" w:lineRule="exact"/>
        <w:rPr>
          <w:rFonts w:ascii="Arial" w:cs="Arial" w:eastAsia="Arial" w:hAnsi="Arial"/>
          <w:sz w:val="18"/>
          <w:szCs w:val="18"/>
          <w:color w:val="auto"/>
        </w:rPr>
      </w:pPr>
    </w:p>
    <w:p>
      <w:pPr>
        <w:ind w:left="1180" w:right="240" w:hanging="544"/>
        <w:spacing w:after="0" w:line="277" w:lineRule="auto"/>
        <w:tabs>
          <w:tab w:leader="none" w:pos="11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provided, that no such offer of shares of our Class A common stock shall result in a requirement for the publication by us or any placement agent of a prospectus pursuant to Article 3 of the Prospectus Directive.</w:t>
      </w:r>
    </w:p>
    <w:p>
      <w:pPr>
        <w:spacing w:after="0" w:line="170"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For the purposes of this provision, the expression of an “offer to the public” in relation to our Class A common stock in any Relevant Member State means the communication in any form and by any means of sufficient information on the terms of the offer and our Class A common stock to be offered so as to enable an investor to decide to purchase our Class A common stock, as the same may be varied in that Relevant Member State by any measure implementing the Prospectus Directive in that Relevant Member State. The expression “Prospectus Directive” means Directive 2003/71/EC (as amended), including by Directive 2010/73/EU, and includes any relevant implementing measure in the Relevant Member State.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In the U.K., this prospectus is only addressed to and directed at qualified investors who are: (i) investment professionals falling within Article 19(5) of the Financial Services and Markets Act 2000 (Financial Promotion)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20"/>
          </w:cols>
          <w:pgMar w:left="240" w:top="460"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Order 2005 (the “Order”); or (ii) high-net-worth entities and other persons to whom it may lawfully be communicated, falling within Article 49(2)(a) to</w:t>
      </w:r>
    </w:p>
    <w:p>
      <w:pPr>
        <w:spacing w:after="0" w:line="46" w:lineRule="exact"/>
        <w:rPr>
          <w:sz w:val="20"/>
          <w:szCs w:val="20"/>
          <w:color w:val="auto"/>
        </w:rPr>
      </w:pPr>
    </w:p>
    <w:p>
      <w:pPr>
        <w:ind w:left="200" w:firstLine="4"/>
        <w:spacing w:after="0" w:line="255" w:lineRule="auto"/>
        <w:tabs>
          <w:tab w:leader="none" w:pos="4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rely on this prospectus or any of its contents.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this offering may be publicly distributed or otherwise made publicly available in Switzerland.</w:t>
      </w:r>
    </w:p>
    <w:p>
      <w:pPr>
        <w:spacing w:after="0" w:line="158"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Neither this prospectus nor any other offering or marketing material relating to this offering, us or the shares has been or will be filed with or approved by any Swiss regulatory authority. In particular, this prospectus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twelve months after the date of allotment under this offering, except in circumstances where disclosure to investors under Chapter 6D of the Corporations Act would not be required pursuant to an exemption under</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00"/>
          </w:cols>
          <w:pgMar w:left="240" w:top="460"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section 708 of the Corporations Act or otherwise or where the offer is pursuant to a disclosure document which complies with Chapter 6D of the Corporations Act. Any person acquiring shares must observe such Australian on-sale restrictions.</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who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54"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with respect to these rights or consult with a legal advisor.</w:t>
      </w:r>
    </w:p>
    <w:p>
      <w:pPr>
        <w:spacing w:after="0" w:line="154"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shares may not be offered or sold in Hong Kong by means of any document other than: (i) in circumstances that do not constitute an offer to the public within the meaning of the Companies (Winding Up and Miscellaneous Provisions) Ordinance (Cap. 32 of the Laws of Hong Kong) (“Companies (Winding Up and Miscellaneous Provisions) Ordinance”) or that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that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that is directed at, or the contents of which are likely to be accessed or read by, the public in Hong Kong (except if permitted to do so under the securities laws of Hong Kong) other than with respect to shares that are, or are intended to be, disposed of only to persons outside of Hong Kong or “professional investors” in Hong Kong.</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20"/>
          </w:cols>
          <w:pgMar w:left="240" w:top="460"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88" w:lineRule="auto"/>
        <w:rPr>
          <w:sz w:val="20"/>
          <w:szCs w:val="20"/>
          <w:color w:val="auto"/>
        </w:rPr>
      </w:pPr>
      <w:r>
        <w:rPr>
          <w:rFonts w:ascii="Arial" w:cs="Arial" w:eastAsia="Arial" w:hAnsi="Arial"/>
          <w:sz w:val="16"/>
          <w:szCs w:val="16"/>
          <w:color w:val="auto"/>
        </w:rPr>
        <w:t>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w:t>
      </w:r>
    </w:p>
    <w:p>
      <w:pPr>
        <w:ind w:left="200" w:right="300" w:firstLine="4"/>
        <w:spacing w:after="0" w:line="261" w:lineRule="auto"/>
        <w:tabs>
          <w:tab w:leader="none" w:pos="51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conditions set forth in the SFA.</w:t>
      </w:r>
    </w:p>
    <w:p>
      <w:pPr>
        <w:spacing w:after="0" w:line="184"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that is a corporation (that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(i) to an institutional investor under Section 274 of the SFA or to a relevant person (as defined in Section 275(2) of the SFA); (ii) where such transfer arises from an offer in that corporation’s securities pursuant to Section 275(1A) of the SFA; (iii) where no consideration is or will be given for the transfer; (iv) where the transfer is by operation of law; (v) as specified in Section 276(7) of the SFA; or (vi) as specified in Regulation 32 of the Securities and Futures (Offers of Investments) (Shares and Debentures) Regulations 2005 of Singapore (“Regulation 32”).</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that is a trust (where the trustee is not an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accredited investor (as defined in Section 4A of the SFA)) whose sole purpose is to hold investments, and each beneficiary of the trust is an accredited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investor, the beneficiaries’ rights and interest (howsoever described) in that trust shall not be transferable for six months after that trust has acquired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shares under Section 275 of the SFA, except: (i) to an institutional investor under Section 274 of the SFA or to a relevant person (as defined in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Section 275(2) of the SFA); (ii) where such transfer arises from an offer that is made on terms that such rights or interest are acquired for consideration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not less than S$200,000 (or its equivalent in a foreign currency) for each transaction (whether such amount is to be paid for in cash or by exchange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securities or other assets); (iii) where no consideration is or will be given for the transfer; (iv) where the transfer is by operation of law; (v) as specified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Section 276(7) of the SFA; or (vi) as specified in Regulation 32.</w:t>
      </w:r>
    </w:p>
    <w:p>
      <w:pPr>
        <w:spacing w:after="0" w:line="21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Solely for the purposes of its obligations pursuant to Sections 309B(1)(a) and 309B(1)(c) of the SFA, the Company has determined, and hereby notify all relevant persons (as defined in Section 309A of the SFA)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(“FIEA”). The securities may not be offered or sold, directly or indirectly, in Japan or to or for the benefit of any resident of Japan (including any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20"/>
          </w:cols>
          <w:pgMar w:left="240" w:top="460"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The validity of the Class A common stock offered hereby and certain other legal matters in connection with this offering will be passed upon for us by Lewis Rice LLC. Certain legal matters in connection with this offering will be passed upon for the underwriters by Latham &amp; Watkins LLP. Lewis Rice LLC has from time to time represented and may continue to represent Post and some of its affiliates in connection with various legal matters.</w:t>
      </w:r>
    </w:p>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The balance sheet of BellRing Brands, Inc. as of August 7, 2019 included in this prospectus has been so included in reliance on the report of PricewaterhouseCoopers LLP, an independent registered public accounting firm, given on the authority of said firm as experts in auditing and accounting.</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financial statements of Post’s Active Nutrition business as of September 30, 2018 and 2017 and for each of the three years in the period ended September 30, 2018 included in this prospectus have been so included in reliance on the report of PricewaterhouseCoopers LLP, an independent registered public accounting firm, given on the authority of said firm as experts in auditing and accounting.</w:t>
      </w:r>
    </w:p>
    <w:p>
      <w:pPr>
        <w:spacing w:after="0" w:line="37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BellRing Brands, Inc. has filed with the SEC a registration statement on Form S-1 under the Securities Act with respect to the shares of Class A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part of the registration statement. Statements contained in this prospectus concerning the contents of any contract or any other document are not necessarily complete, and each such statement is qualified in all respects by reference to the full text of such contract or other document filed as an exhibit to the registration statement.</w:t>
      </w:r>
    </w:p>
    <w:p>
      <w:pPr>
        <w:spacing w:after="0" w:line="189"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The SEC maintains an internet website that contains reports, proxy and information statements, and other information regarding issuers that file electronically with the SEC at www.sec.gov. Our filings with the SEC, including the registration statement, are available to you for free on the SEC’s internet website.</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Upon completion of this offering, BellRing Brands, Inc. will become subject to the informational and reporting requirements of the Exchange Act and, in accordance with those requirements, will file reports and proxy and information statements with the SEC. BellRing Brands, Inc. intends to furnish to its stockholders its annual reports containing audited combined financial statements and the notes thereto certified by an independent public accounting firm.</w:t>
      </w:r>
    </w:p>
    <w:p>
      <w:pPr>
        <w:spacing w:after="0" w:line="187" w:lineRule="exact"/>
        <w:rPr>
          <w:sz w:val="20"/>
          <w:szCs w:val="20"/>
          <w:color w:val="auto"/>
        </w:rPr>
      </w:pPr>
    </w:p>
    <w:p>
      <w:pPr>
        <w:jc w:val="center"/>
        <w:ind w:left="280" w:right="600"/>
        <w:spacing w:after="0" w:line="449" w:lineRule="auto"/>
        <w:rPr>
          <w:sz w:val="20"/>
          <w:szCs w:val="20"/>
          <w:color w:val="auto"/>
        </w:rPr>
      </w:pPr>
      <w:r>
        <w:rPr>
          <w:rFonts w:ascii="Arial" w:cs="Arial" w:eastAsia="Arial" w:hAnsi="Arial"/>
          <w:sz w:val="18"/>
          <w:szCs w:val="18"/>
          <w:color w:val="auto"/>
        </w:rPr>
        <w:t>We also maintain an internet website at www.bellring.com. Information on or accessible through our website is not part of this prospectus. 185</w:t>
      </w:r>
    </w:p>
    <w:p>
      <w:pPr>
        <w:sectPr>
          <w:pgSz w:w="11900" w:h="16838" w:orient="portrait"/>
          <w:cols w:equalWidth="0" w:num="1">
            <w:col w:w="11200"/>
          </w:cols>
          <w:pgMar w:left="24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9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Contents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8"/>
        </w:trPr>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90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BELLRING BRANDS, INC.</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580" w:type="dxa"/>
            <w:vAlign w:val="bottom"/>
            <w:gridSpan w:val="14"/>
          </w:tcPr>
          <w:p>
            <w:pPr>
              <w:spacing w:after="0" w:line="190" w:lineRule="exact"/>
              <w:rPr>
                <w:rFonts w:ascii="Arial" w:cs="Arial" w:eastAsia="Arial" w:hAnsi="Arial"/>
                <w:sz w:val="18"/>
                <w:szCs w:val="18"/>
                <w:color w:val="0000EE"/>
              </w:rPr>
            </w:pPr>
            <w:hyperlink w:anchor="page199">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2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200">
              <w:r>
                <w:rPr>
                  <w:rFonts w:ascii="Arial" w:cs="Arial" w:eastAsia="Arial" w:hAnsi="Arial"/>
                  <w:sz w:val="18"/>
                  <w:szCs w:val="18"/>
                  <w:color w:val="0000EE"/>
                  <w:w w:val="88"/>
                </w:rPr>
                <w:t>Balance Sheet as of August 7, 2019</w:t>
              </w:r>
            </w:hyperlink>
          </w:p>
        </w:tc>
        <w:tc>
          <w:tcPr>
            <w:tcW w:w="1660" w:type="dxa"/>
            <w:vAlign w:val="bottom"/>
            <w:tcBorders>
              <w:top w:val="single" w:sz="8" w:color="0000EE"/>
            </w:tcBorders>
            <w:gridSpan w:val="7"/>
          </w:tcPr>
          <w:p>
            <w:pPr>
              <w:spacing w:after="0"/>
              <w:rPr>
                <w:sz w:val="17"/>
                <w:szCs w:val="17"/>
                <w:color w:val="auto"/>
              </w:rPr>
            </w:pPr>
          </w:p>
        </w:tc>
        <w:tc>
          <w:tcPr>
            <w:tcW w:w="636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168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201">
              <w:r>
                <w:rPr>
                  <w:rFonts w:ascii="Arial" w:cs="Arial" w:eastAsia="Arial" w:hAnsi="Arial"/>
                  <w:sz w:val="18"/>
                  <w:szCs w:val="18"/>
                  <w:color w:val="0000EE"/>
                  <w:w w:val="87"/>
                </w:rPr>
                <w:t>Notes to Balance Sheet</w:t>
              </w:r>
            </w:hyperlink>
          </w:p>
        </w:tc>
        <w:tc>
          <w:tcPr>
            <w:tcW w:w="890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26"/>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ACTIVE NUTRITION</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Combined Financial Statements</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Fiscal Years Ended September 30, 2018, 2017 and 2016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580" w:type="dxa"/>
            <w:vAlign w:val="bottom"/>
            <w:gridSpan w:val="14"/>
          </w:tcPr>
          <w:p>
            <w:pPr>
              <w:spacing w:after="0" w:line="190" w:lineRule="exact"/>
              <w:rPr>
                <w:rFonts w:ascii="Arial" w:cs="Arial" w:eastAsia="Arial" w:hAnsi="Arial"/>
                <w:sz w:val="18"/>
                <w:szCs w:val="18"/>
                <w:color w:val="0000EE"/>
              </w:rPr>
            </w:pPr>
            <w:hyperlink w:anchor="page202">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190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14"/>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Combined Statements of Operations and Comprehensive Income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204">
              <w:r>
                <w:rPr>
                  <w:rFonts w:ascii="Arial" w:cs="Arial" w:eastAsia="Arial" w:hAnsi="Arial"/>
                  <w:sz w:val="18"/>
                  <w:szCs w:val="18"/>
                  <w:color w:val="0000EE"/>
                  <w:w w:val="88"/>
                </w:rPr>
                <w:t>Combined Balance Sheets</w:t>
              </w:r>
            </w:hyperlink>
          </w:p>
        </w:tc>
        <w:tc>
          <w:tcPr>
            <w:tcW w:w="2780" w:type="dxa"/>
            <w:vAlign w:val="bottom"/>
            <w:tcBorders>
              <w:top w:val="single" w:sz="8" w:color="0000EE"/>
            </w:tcBorders>
            <w:gridSpan w:val="10"/>
          </w:tcPr>
          <w:p>
            <w:pPr>
              <w:spacing w:after="0"/>
              <w:rPr>
                <w:sz w:val="17"/>
                <w:szCs w:val="17"/>
                <w:color w:val="auto"/>
              </w:rPr>
            </w:pPr>
          </w:p>
        </w:tc>
        <w:tc>
          <w:tcPr>
            <w:tcW w:w="590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05">
              <w:r>
                <w:rPr>
                  <w:rFonts w:ascii="Arial" w:cs="Arial" w:eastAsia="Arial" w:hAnsi="Arial"/>
                  <w:sz w:val="18"/>
                  <w:szCs w:val="18"/>
                  <w:color w:val="0000EE"/>
                  <w:w w:val="89"/>
                </w:rPr>
                <w:t>Combined Statements of Cash Flows</w:t>
              </w:r>
            </w:hyperlink>
          </w:p>
        </w:tc>
        <w:tc>
          <w:tcPr>
            <w:tcW w:w="790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06">
              <w:r>
                <w:rPr>
                  <w:rFonts w:ascii="Arial" w:cs="Arial" w:eastAsia="Arial" w:hAnsi="Arial"/>
                  <w:sz w:val="18"/>
                  <w:szCs w:val="18"/>
                  <w:color w:val="0000EE"/>
                  <w:w w:val="90"/>
                </w:rPr>
                <w:t>Combined Statements of Parent Company Equity</w:t>
              </w:r>
            </w:hyperlink>
          </w:p>
        </w:tc>
        <w:tc>
          <w:tcPr>
            <w:tcW w:w="702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07">
              <w:r>
                <w:rPr>
                  <w:rFonts w:ascii="Arial" w:cs="Arial" w:eastAsia="Arial" w:hAnsi="Arial"/>
                  <w:sz w:val="18"/>
                  <w:szCs w:val="18"/>
                  <w:color w:val="0000EE"/>
                  <w:w w:val="89"/>
                </w:rPr>
                <w:t>Notes to Combined Financial Statements</w:t>
              </w:r>
            </w:hyperlink>
          </w:p>
        </w:tc>
        <w:tc>
          <w:tcPr>
            <w:tcW w:w="762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326"/>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Condensed Combined Financial Statements (Unaudited)</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Nine Months Ended June 30, 2019 and 2018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580" w:type="dxa"/>
            <w:vAlign w:val="bottom"/>
            <w:gridSpan w:val="14"/>
          </w:tcPr>
          <w:p>
            <w:pPr>
              <w:spacing w:after="0" w:line="190" w:lineRule="exact"/>
              <w:rPr>
                <w:rFonts w:ascii="Arial" w:cs="Arial" w:eastAsia="Arial" w:hAnsi="Arial"/>
                <w:sz w:val="18"/>
                <w:szCs w:val="18"/>
                <w:color w:val="0000EE"/>
              </w:rPr>
            </w:pPr>
            <w:hyperlink w:anchor="page222">
              <w:r>
                <w:rPr>
                  <w:rFonts w:ascii="Arial" w:cs="Arial" w:eastAsia="Arial" w:hAnsi="Arial"/>
                  <w:sz w:val="18"/>
                  <w:szCs w:val="18"/>
                  <w:color w:val="0000EE"/>
                </w:rPr>
                <w:t>Condensed Combined Statements of Operations and Comprehensive Income</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F-25</w:t>
            </w:r>
          </w:p>
        </w:tc>
        <w:tc>
          <w:tcPr>
            <w:tcW w:w="0" w:type="dxa"/>
            <w:vAlign w:val="bottom"/>
          </w:tcPr>
          <w:p>
            <w:pPr>
              <w:spacing w:after="0"/>
              <w:rPr>
                <w:sz w:val="1"/>
                <w:szCs w:val="1"/>
                <w:color w:val="auto"/>
              </w:rPr>
            </w:pPr>
          </w:p>
        </w:tc>
      </w:tr>
      <w:tr>
        <w:trPr>
          <w:trHeight w:val="196"/>
        </w:trPr>
        <w:tc>
          <w:tcPr>
            <w:tcW w:w="27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223">
              <w:r>
                <w:rPr>
                  <w:rFonts w:ascii="Arial" w:cs="Arial" w:eastAsia="Arial" w:hAnsi="Arial"/>
                  <w:sz w:val="18"/>
                  <w:szCs w:val="18"/>
                  <w:color w:val="0000EE"/>
                  <w:w w:val="87"/>
                </w:rPr>
                <w:t>Condensed Combined Balance Sheets</w:t>
              </w:r>
            </w:hyperlink>
          </w:p>
        </w:tc>
        <w:tc>
          <w:tcPr>
            <w:tcW w:w="2780" w:type="dxa"/>
            <w:vAlign w:val="bottom"/>
            <w:tcBorders>
              <w:top w:val="single" w:sz="8" w:color="0000EE"/>
            </w:tcBorders>
            <w:gridSpan w:val="8"/>
          </w:tcPr>
          <w:p>
            <w:pPr>
              <w:spacing w:after="0"/>
              <w:rPr>
                <w:sz w:val="17"/>
                <w:szCs w:val="17"/>
                <w:color w:val="auto"/>
              </w:rPr>
            </w:pPr>
          </w:p>
        </w:tc>
        <w:tc>
          <w:tcPr>
            <w:tcW w:w="50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24">
              <w:r>
                <w:rPr>
                  <w:rFonts w:ascii="Arial" w:cs="Arial" w:eastAsia="Arial" w:hAnsi="Arial"/>
                  <w:sz w:val="18"/>
                  <w:szCs w:val="18"/>
                  <w:color w:val="0000EE"/>
                  <w:w w:val="88"/>
                </w:rPr>
                <w:t>Condensed Combined Statements of Cash Flows</w:t>
              </w:r>
            </w:hyperlink>
          </w:p>
        </w:tc>
        <w:tc>
          <w:tcPr>
            <w:tcW w:w="706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196"/>
        </w:trPr>
        <w:tc>
          <w:tcPr>
            <w:tcW w:w="10580" w:type="dxa"/>
            <w:vAlign w:val="bottom"/>
            <w:gridSpan w:val="14"/>
          </w:tcPr>
          <w:p>
            <w:pPr>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Condensed Combined Statements of Parent Company Equity</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196"/>
        </w:trPr>
        <w:tc>
          <w:tcPr>
            <w:tcW w:w="44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26">
              <w:r>
                <w:rPr>
                  <w:rFonts w:ascii="Arial" w:cs="Arial" w:eastAsia="Arial" w:hAnsi="Arial"/>
                  <w:sz w:val="18"/>
                  <w:szCs w:val="18"/>
                  <w:color w:val="0000EE"/>
                </w:rPr>
                <w:t>Notes to Condensed Combined Financial Statements</w:t>
              </w:r>
            </w:hyperlink>
          </w:p>
        </w:tc>
        <w:tc>
          <w:tcPr>
            <w:tcW w:w="618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385"/>
        </w:trPr>
        <w:tc>
          <w:tcPr>
            <w:tcW w:w="16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00" w:type="dxa"/>
            <w:vAlign w:val="bottom"/>
            <w:gridSpan w:val="2"/>
          </w:tcPr>
          <w:p>
            <w:pPr>
              <w:ind w:left="70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Shareholders of Post Holdings,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Statement—Balance Sheet</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We have audited the accompanying balance sheet of BellRing Brands, Inc. (the “Company”) as of August 7, 2019, including the related notes (collectively referred to as the “financial statement”). In our opinion, the financial statement presents fairly, in all material respects, the financial position of the Company as of August 7, 2019 in conformity with accounting principles generally accepted in the United States of America.</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We conducted our audit of this financial statement in accordance with the standards of the PCAOB. Those standards require that we plan and perform the audit to obtain reasonable assurance about whether the financial statement is free of material misstatement, whether due to error or fraud.</w:t>
      </w:r>
    </w:p>
    <w:p>
      <w:pPr>
        <w:spacing w:after="0" w:line="124"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August 8, 2019</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2019.</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240" w:top="460"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20" w:type="dxa"/>
            <w:vAlign w:val="bottom"/>
          </w:tcPr>
          <w:p>
            <w:pPr>
              <w:jc w:val="center"/>
              <w:ind w:left="2290"/>
              <w:spacing w:after="0"/>
              <w:rPr>
                <w:sz w:val="20"/>
                <w:szCs w:val="20"/>
                <w:color w:val="auto"/>
              </w:rPr>
            </w:pPr>
            <w:r>
              <w:rPr>
                <w:rFonts w:ascii="Arial" w:cs="Arial" w:eastAsia="Arial" w:hAnsi="Arial"/>
                <w:sz w:val="18"/>
                <w:szCs w:val="18"/>
                <w:b w:val="1"/>
                <w:bCs w:val="1"/>
                <w:color w:val="auto"/>
                <w:w w:val="99"/>
              </w:rPr>
              <w:t>BELLRING BRANDS, INC.</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jc w:val="center"/>
              <w:ind w:left="2290"/>
              <w:spacing w:after="0"/>
              <w:rPr>
                <w:sz w:val="20"/>
                <w:szCs w:val="20"/>
                <w:color w:val="auto"/>
              </w:rPr>
            </w:pPr>
            <w:r>
              <w:rPr>
                <w:rFonts w:ascii="Arial" w:cs="Arial" w:eastAsia="Arial" w:hAnsi="Arial"/>
                <w:sz w:val="18"/>
                <w:szCs w:val="18"/>
                <w:b w:val="1"/>
                <w:bCs w:val="1"/>
                <w:color w:val="auto"/>
                <w:w w:val="99"/>
              </w:rPr>
              <w:t>BALANCE SHEET</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620" w:type="dxa"/>
            <w:vAlign w:val="bottom"/>
          </w:tcPr>
          <w:p>
            <w:pPr>
              <w:jc w:val="center"/>
              <w:ind w:left="2270"/>
              <w:spacing w:after="0"/>
              <w:rPr>
                <w:sz w:val="20"/>
                <w:szCs w:val="20"/>
                <w:color w:val="auto"/>
              </w:rPr>
            </w:pPr>
            <w:r>
              <w:rPr>
                <w:rFonts w:ascii="Arial" w:cs="Arial" w:eastAsia="Arial" w:hAnsi="Arial"/>
                <w:sz w:val="18"/>
                <w:szCs w:val="18"/>
                <w:b w:val="1"/>
                <w:bCs w:val="1"/>
                <w:color w:val="auto"/>
                <w:w w:val="89"/>
              </w:rPr>
              <w:t>($ in millions, except per share data)</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4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August 7,</w:t>
            </w:r>
          </w:p>
        </w:tc>
      </w:tr>
      <w:tr>
        <w:trPr>
          <w:trHeight w:val="171"/>
        </w:trPr>
        <w:tc>
          <w:tcPr>
            <w:tcW w:w="20" w:type="dxa"/>
            <w:vAlign w:val="bottom"/>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Common Stock, par value $0.01 per share, 1,000 shares authorized and outstanding</w:t>
            </w:r>
          </w:p>
        </w:tc>
        <w:tc>
          <w:tcPr>
            <w:tcW w:w="1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Balance Sheet.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BALANCE SHEET</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 in millions, except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1—BACKGROUND</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BellRing Brands, Inc. (the “Corporation”) was formed as a Delaware corporation on March 20, 2019 for the purpose of completing a public offering and related transactions in order to carry on the Active Nutrition business of Post Holdings, Inc. The Corporation had no operations through the submission date.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i w:val="1"/>
          <w:iCs w:val="1"/>
          <w:color w:val="auto"/>
        </w:rPr>
        <w:t>Basis of Accounting</w:t>
      </w:r>
      <w:r>
        <w:rPr>
          <w:rFonts w:ascii="Arial" w:cs="Arial" w:eastAsia="Arial" w:hAnsi="Arial"/>
          <w:sz w:val="18"/>
          <w:szCs w:val="18"/>
          <w:color w:val="auto"/>
        </w:rPr>
        <w:t>—The balance sheet is presented in accordance with accounting principles generally accepted in the United States.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operations, comprehensive income, changes in stockholder’s equity, and cash flows have not been presented in the financial statements because there have been no significant activities in this entity.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3—STOCKHOLDERS’ EQUITY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Corporation is authorized to issue 1,000 shares of common stock, par value $0.01 per share, all of which are issued and outstanding.</w:t>
      </w:r>
    </w:p>
    <w:p>
      <w:pPr>
        <w:spacing w:after="0" w:line="16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60"/>
          </w:cols>
          <w:pgMar w:left="240" w:top="460" w:right="4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Shareholders of Post Holdings,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audited the accompanying combined balance sheets of Active Nutrition (the combination of Premier Nutrition Corporation, Dymatize Enterprises, LLC and Active Nutrition International GmbH of Post Holdings, Inc.) (the “Company”) as of September 30, 2018 and 2017, and the related combined statements of operations and comprehensive income, of parent company equity and of cash flows for each of the three years in the period ended September 30, 2018, including the related notes (collectively referred to as the “combined financial statements”). In our opinion, the combined financial statements present fairly, in all material respects, the financial position of the Company as of September 30, 2018 and 2017, and the results of its operations and its cash flows for each of the three years in the period ended September 30, 2018 in conformity with accounting principles generally accepted in the United States of America.</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400" w:firstLine="441"/>
        <w:spacing w:after="0" w:line="279" w:lineRule="auto"/>
        <w:rPr>
          <w:sz w:val="20"/>
          <w:szCs w:val="20"/>
          <w:color w:val="auto"/>
        </w:rPr>
      </w:pPr>
      <w:r>
        <w:rPr>
          <w:rFonts w:ascii="Arial" w:cs="Arial" w:eastAsia="Arial" w:hAnsi="Arial"/>
          <w:sz w:val="17"/>
          <w:szCs w:val="17"/>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conducted our audits of these combined financial statements in accordance with the standards of the PCAOB. Those standards require that we plan and perform the audit to obtain reasonable assurance about whether the combined financial statements are free of material misstatement, whether due to error or fraud.</w:t>
      </w:r>
    </w:p>
    <w:p>
      <w:pPr>
        <w:spacing w:after="0" w:line="18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5, 2019</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2018.</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80"/>
          </w:cols>
          <w:pgMar w:left="240" w:top="459" w:right="4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COMBINED STATEMENTS OF OPERATIONS AND COMPREHENSIVE INCOME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10"/>
          </w:tcPr>
          <w:p>
            <w:pPr>
              <w:ind w:left="16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827.5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574.7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549.8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467.4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395.5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Impairment of 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Earnings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119.8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Net Earnings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COMBINED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95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580" w:type="dxa"/>
            <w:vAlign w:val="bottom"/>
            <w:shd w:val="clear" w:color="auto" w:fill="CCEEFF"/>
          </w:tcPr>
          <w:p>
            <w:pPr>
              <w:ind w:left="5100"/>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165.8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Property,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318.7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341.5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560.4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583.2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20"/>
              <w:spacing w:after="0"/>
              <w:rPr>
                <w:sz w:val="20"/>
                <w:szCs w:val="20"/>
                <w:color w:val="auto"/>
              </w:rPr>
            </w:pPr>
            <w:r>
              <w:rPr>
                <w:rFonts w:ascii="Arial" w:cs="Arial" w:eastAsia="Arial" w:hAnsi="Arial"/>
                <w:sz w:val="18"/>
                <w:szCs w:val="18"/>
                <w:b w:val="1"/>
                <w:bCs w:val="1"/>
                <w:color w:val="auto"/>
              </w:rPr>
              <w:t>LIABILITIES AND PARENT COMPANY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58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Parent Company Equity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parent investment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485.4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Parent Company Equity</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451.7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484.4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Parent Company Equity</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560.4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583.2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60" w:right="41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COMBINED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10"/>
          </w:tcPr>
          <w:p>
            <w:pPr>
              <w:jc w:val="right"/>
              <w:ind w:right="38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3"/>
              </w:rPr>
              <w:t>2017</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3"/>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Net earnings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96.1</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flow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Non-cash allocated expense from parent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held for 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Other changes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receivables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700"/>
              <w:spacing w:after="0"/>
              <w:rPr>
                <w:sz w:val="20"/>
                <w:szCs w:val="20"/>
                <w:color w:val="auto"/>
              </w:rPr>
            </w:pPr>
            <w:r>
              <w:rPr>
                <w:rFonts w:ascii="Arial" w:cs="Arial" w:eastAsia="Arial" w:hAnsi="Arial"/>
                <w:sz w:val="18"/>
                <w:szCs w:val="18"/>
                <w:color w:val="auto"/>
              </w:rPr>
              <w:t>Decrease (increase) in inventories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Decrease (increase) in 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700"/>
              <w:spacing w:after="0"/>
              <w:rPr>
                <w:sz w:val="20"/>
                <w:szCs w:val="20"/>
                <w:color w:val="auto"/>
              </w:rPr>
            </w:pPr>
            <w:r>
              <w:rPr>
                <w:rFonts w:ascii="Arial" w:cs="Arial" w:eastAsia="Arial" w:hAnsi="Arial"/>
                <w:sz w:val="18"/>
                <w:szCs w:val="18"/>
                <w:color w:val="auto"/>
              </w:rPr>
              <w:t>Increase in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accounts payable and 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700"/>
              <w:spacing w:after="0"/>
              <w:rPr>
                <w:sz w:val="20"/>
                <w:szCs w:val="20"/>
                <w:color w:val="auto"/>
              </w:rPr>
            </w:pPr>
            <w:r>
              <w:rPr>
                <w:rFonts w:ascii="Arial" w:cs="Arial" w:eastAsia="Arial" w:hAnsi="Arial"/>
                <w:sz w:val="18"/>
                <w:szCs w:val="18"/>
                <w:color w:val="auto"/>
              </w:rPr>
              <w:t>Increase (decrease) in non-current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Proceeds from sale of property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Provided by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Change in net parent investment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(133.0)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(84.0)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(133.0)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(84.0)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(34.8)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7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59" w:right="4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COMBINED STATEMENTS OF PARENT COMPANY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20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Total Parent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Parent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rPr>
              <w:t>Other</w:t>
            </w:r>
          </w:p>
        </w:tc>
        <w:tc>
          <w:tcPr>
            <w:tcW w:w="12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4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Comprehensive</w:t>
            </w:r>
          </w:p>
        </w:tc>
        <w:tc>
          <w:tcPr>
            <w:tcW w:w="320" w:type="dxa"/>
            <w:vAlign w:val="bottom"/>
          </w:tcPr>
          <w:p>
            <w:pPr>
              <w:spacing w:after="0"/>
              <w:rPr>
                <w:sz w:val="12"/>
                <w:szCs w:val="12"/>
                <w:color w:val="auto"/>
              </w:rPr>
            </w:pP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Loss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2015</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36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net parent investment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September 30, 2016</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529.8</w:t>
            </w:r>
          </w:p>
        </w:tc>
        <w:tc>
          <w:tcPr>
            <w:tcW w:w="3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3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527.8</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net parent investment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September 30, 2017</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485.4</w:t>
            </w:r>
          </w:p>
        </w:tc>
        <w:tc>
          <w:tcPr>
            <w:tcW w:w="3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3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net parent investment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September 30, 2018</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453.1</w:t>
            </w:r>
          </w:p>
        </w:tc>
        <w:tc>
          <w:tcPr>
            <w:tcW w:w="3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3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60" w:right="4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in millions, except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1—Background</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On November 15, 2018, Post Holdings, Inc. (“Post”) announced that Post’s Board of Directors approved a plan to separate its Active Nutrition business (herein referred to as “Active Nutrition” or “the Company”) into a distinct, publicly traded company.</w:t>
      </w:r>
    </w:p>
    <w:p>
      <w:pPr>
        <w:spacing w:after="0" w:line="170"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 xml:space="preserve">In connection with this offering, BellRing Brands, Inc. was formed as a Delaware corporation on March 20, 2019. BellRing Brands, Inc. and Post intend to complete a series of formation transactions, whereby Active Nutrition will be transferred to BellRing Brands, LLC, a subsidiary of BellRing Brands, Inc. Active Nutrition is comprised of Premier Nutrition Corporation (“Premier Nutrition”), which Post acquired in fiscal 2013; Dymatize Enterprises, LLC (“Dymatize”), which Post acquired in fiscal 2014; and the assets related to the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 (“</w:t>
      </w:r>
      <w:r>
        <w:rPr>
          <w:rFonts w:ascii="Arial" w:cs="Arial" w:eastAsia="Arial" w:hAnsi="Arial"/>
          <w:sz w:val="17"/>
          <w:szCs w:val="17"/>
          <w:i w:val="1"/>
          <w:iCs w:val="1"/>
          <w:color w:val="auto"/>
        </w:rPr>
        <w:t>PowerBar</w:t>
      </w:r>
      <w:r>
        <w:rPr>
          <w:rFonts w:ascii="Arial" w:cs="Arial" w:eastAsia="Arial" w:hAnsi="Arial"/>
          <w:sz w:val="17"/>
          <w:szCs w:val="17"/>
          <w:color w:val="auto"/>
        </w:rPr>
        <w:t>”), which Post acquired in an asset purchase in fiscal 2015 and included Active Nutrition International GmbH (formerly known as PowerBar Europe GmbH), which today manufactures and sells products of the Active Nutrition business in certain international markets.</w:t>
      </w:r>
    </w:p>
    <w:p>
      <w:pPr>
        <w:spacing w:after="0" w:line="178"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The Company has a single operating segment and is a provider of highly nutritious, great-tasting products including ready-to-drink (“RTD”) protein shakes, other RTD beverages, powders, nutrition bars and supplements in the convenient nutrition category. At September 30, 2018 and 2017, there were no shares of common or preferred stock of the Company authorized or outstanding.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i w:val="1"/>
          <w:iCs w:val="1"/>
          <w:color w:val="auto"/>
        </w:rPr>
        <w:t>Principles of Combination</w:t>
      </w:r>
      <w:r>
        <w:rPr>
          <w:rFonts w:ascii="Arial" w:cs="Arial" w:eastAsia="Arial" w:hAnsi="Arial"/>
          <w:sz w:val="18"/>
          <w:szCs w:val="18"/>
          <w:color w:val="auto"/>
        </w:rPr>
        <w:t>—These combined financial statements have been prepared on a stand-alone basis and are derived from the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of Post. The combined financial statements reflect the historical results of operations, financial position and cash flows of Post’s Active Nutrition business and the allocation to the Company of certain Post corporate expenses. For the purposes of these financial statements, income taxes have been computed for the Company on a stand-alone, separate tax return basis.</w:t>
      </w:r>
    </w:p>
    <w:p>
      <w:pPr>
        <w:spacing w:after="0" w:line="18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Transactions between the Company and Post and its subsidiaries (excluding the Company) are included in these financial statements. All intercompany transactions between the Company and Post and its subsidiaries (excluding the Company) are considered to be effectively settled for cash, excluding the allocation of certain Post non-cash corporate expenses. The total net effect of the settlement of these intercompany transactions is reflected in the Combined Statements of Cash Flows as a financing activity and on the Combined Balance Sheets as “Net parent investment.”</w:t>
      </w:r>
    </w:p>
    <w:p>
      <w:pPr>
        <w:spacing w:after="0" w:line="154"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These combined financial statements may not reflect the actual expenses that would have been incurred had Active Nutrition operated as a stand-alone company. Actual costs that would have been incurred had the Company operated as a separate company during the periods presented would depend on a number of factors, including the organizational structure and strategic decisions made in various areas, such as human resources, legal, finance, information technology and infrastructure, among others.</w:t>
      </w:r>
    </w:p>
    <w:p>
      <w:pPr>
        <w:spacing w:after="0" w:line="18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i w:val="1"/>
          <w:iCs w:val="1"/>
          <w:color w:val="auto"/>
        </w:rPr>
        <w:t>Use of Estimates and Allocations</w:t>
      </w:r>
      <w:r>
        <w:rPr>
          <w:rFonts w:ascii="Arial" w:cs="Arial" w:eastAsia="Arial" w:hAnsi="Arial"/>
          <w:sz w:val="17"/>
          <w:szCs w:val="17"/>
          <w:color w:val="auto"/>
        </w:rPr>
        <w:t>—The combined financial statements of the Company are prepared in conformity with accounting principles</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accepted in the United States (“GAAP”), which require certain elections as to accounting policy, estimates and assumptions that affect the reported amounts of assets and liabilities, the disclosure of contingent liabilities at the dates of the financial statements and the reported amount of net revenues and expenses during the reporting periods. Significant accounting policy elections, estimates and assumptions include, among others, valuation assumptions of goodwill and other intangible assets and income taxes. Actual results could differ from those estimates.</w:t>
      </w:r>
    </w:p>
    <w:p>
      <w:pPr>
        <w:spacing w:after="0" w:line="173"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The Company uses the acquisition method of accounting for acquired businesses. Under the acquisition method,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reflect the operations of an acquired business starting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color w:val="auto"/>
        </w:rPr>
        <w:t>from the completion of the acquisition. The assets acquired and liabilities assumed are recorded at their respective estimated fair values at the date of the acquisition. Any excess of the purchase price over the estimated fair values of the identifiable net assets acquired is recorded as goodwill.</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—Cash equivalents include all highly liquid investments with original maturities of less than three months.</w:t>
      </w:r>
    </w:p>
    <w:p>
      <w:pPr>
        <w:spacing w:after="0" w:line="225"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i w:val="1"/>
          <w:iCs w:val="1"/>
          <w:color w:val="auto"/>
        </w:rPr>
        <w:t>Receivables—</w:t>
      </w:r>
      <w:r>
        <w:rPr>
          <w:rFonts w:ascii="Arial" w:cs="Arial" w:eastAsia="Arial" w:hAnsi="Arial"/>
          <w:sz w:val="17"/>
          <w:szCs w:val="17"/>
          <w:color w:val="auto"/>
        </w:rPr>
        <w:t>Receivables are reported at net realizable value. This value includes appropriate allowances for doubtful accounts, cash discounts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amounts which the Company does not ultimately expect to collect. The Company determines its allowance for doubtful accounts based on historical losses as well as the economic status of, and its relationship with, its customers, especially those identified as “at risk.” A receivable is considered past due if payments have not been received within the agreed upon invoice terms. Receivables are written off against the allowance when deemed to be uncollectible based upon the Company’s evaluation of the customer’s solvency.</w:t>
      </w:r>
    </w:p>
    <w:p>
      <w:pPr>
        <w:spacing w:after="0" w:line="17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Inventories</w:t>
      </w:r>
      <w:r>
        <w:rPr>
          <w:rFonts w:ascii="Arial" w:cs="Arial" w:eastAsia="Arial" w:hAnsi="Arial"/>
          <w:sz w:val="18"/>
          <w:szCs w:val="18"/>
          <w:color w:val="auto"/>
        </w:rPr>
        <w:t>—Inventories are generally valued at the lower of average cost (determined on a first-in, first-out basis) or net realizable value</w:t>
      </w:r>
      <w:r>
        <w:rPr>
          <w:rFonts w:ascii="Arial" w:cs="Arial" w:eastAsia="Arial" w:hAnsi="Arial"/>
          <w:sz w:val="18"/>
          <w:szCs w:val="18"/>
          <w:i w:val="1"/>
          <w:iCs w:val="1"/>
          <w:color w:val="auto"/>
        </w:rPr>
        <w:t xml:space="preserve"> </w:t>
      </w:r>
      <w:r>
        <w:rPr>
          <w:rFonts w:ascii="Arial" w:cs="Arial" w:eastAsia="Arial" w:hAnsi="Arial"/>
          <w:sz w:val="18"/>
          <w:szCs w:val="18"/>
          <w:color w:val="auto"/>
        </w:rPr>
        <w:t>(“NRV”). Reported amounts have been reduced by a write-down for obsolete product and packaging materials based on a review of inventories on hand compared to estimated future usage and sales.</w:t>
      </w:r>
    </w:p>
    <w:p>
      <w:pPr>
        <w:spacing w:after="0" w:line="181"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i w:val="1"/>
          <w:iCs w:val="1"/>
          <w:color w:val="auto"/>
        </w:rPr>
        <w:t>Restructuring Expenses</w:t>
      </w:r>
      <w:r>
        <w:rPr>
          <w:rFonts w:ascii="Arial" w:cs="Arial" w:eastAsia="Arial" w:hAnsi="Arial"/>
          <w:sz w:val="17"/>
          <w:szCs w:val="17"/>
          <w:color w:val="auto"/>
        </w:rPr>
        <w:t>—Restructuring charges principally consist of severance. The Company recognizes restructuring obligations and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for exit and disposal activities at fair value in the period the liability is incurred. Employee severance costs are expensed when they become probable and reasonably estimable under established severance plans. See Note 4 for information about restructuring expenses.</w:t>
      </w:r>
    </w:p>
    <w:p>
      <w:pPr>
        <w:spacing w:after="0" w:line="166" w:lineRule="exact"/>
        <w:rPr>
          <w:sz w:val="20"/>
          <w:szCs w:val="20"/>
          <w:color w:val="auto"/>
        </w:rPr>
      </w:pPr>
    </w:p>
    <w:p>
      <w:pPr>
        <w:jc w:val="center"/>
        <w:ind w:right="200"/>
        <w:spacing w:after="0" w:line="342" w:lineRule="auto"/>
        <w:rPr>
          <w:sz w:val="20"/>
          <w:szCs w:val="20"/>
          <w:color w:val="auto"/>
        </w:rPr>
      </w:pPr>
      <w:r>
        <w:rPr>
          <w:rFonts w:ascii="Arial" w:cs="Arial" w:eastAsia="Arial" w:hAnsi="Arial"/>
          <w:sz w:val="16"/>
          <w:szCs w:val="16"/>
          <w:i w:val="1"/>
          <w:iCs w:val="1"/>
          <w:color w:val="auto"/>
        </w:rPr>
        <w:t>Held for Sale Assets</w:t>
      </w:r>
      <w:r>
        <w:rPr>
          <w:rFonts w:ascii="Arial" w:cs="Arial" w:eastAsia="Arial" w:hAnsi="Arial"/>
          <w:sz w:val="16"/>
          <w:szCs w:val="16"/>
          <w:color w:val="auto"/>
        </w:rPr>
        <w:t>—Assets are classified as held for sale if the Company has committed to a plan for selling the assets, is actively and</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marketing them and the sale of such assets is reasonably expected within one year. See Note 4 for information about assets held for sale.</w:t>
      </w:r>
    </w:p>
    <w:p>
      <w:pPr>
        <w:spacing w:after="0" w:line="124"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i w:val="1"/>
          <w:iCs w:val="1"/>
          <w:color w:val="auto"/>
        </w:rPr>
        <w:t>Property</w:t>
      </w:r>
      <w:r>
        <w:rPr>
          <w:rFonts w:ascii="Arial" w:cs="Arial" w:eastAsia="Arial" w:hAnsi="Arial"/>
          <w:sz w:val="17"/>
          <w:szCs w:val="17"/>
          <w:color w:val="auto"/>
        </w:rPr>
        <w:t>—Property is recorded at cost, and depreciation expense is generally provided on a straight-line basis over the estimated useful life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Estimated useful lives range from 1 to 10 years for machinery and equipment; 1 to 30 years for buildings, building improvements and leasehold improvements; and 1 to 5 years for software. Total depreciation expense was $3.1, $2.5 and $2.2 in fiscal 2018, 2017 and 2016, respectively. Any gains and losses incurred on the sale or disposal of assets are included in “Other operating expenses, net” in the Combined Statements of Operations and Comprehensive Income. Repair and maintenance costs incurred in connection with on-going and planned major maintenance activities are accounted for under the direct expensing method. Property consisted of:</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September 30,</w:t>
            </w:r>
          </w:p>
        </w:tc>
      </w:tr>
      <w:tr>
        <w:trPr>
          <w:trHeight w:val="142"/>
        </w:trPr>
        <w:tc>
          <w:tcPr>
            <w:tcW w:w="20" w:type="dxa"/>
            <w:vAlign w:val="bottom"/>
          </w:tcPr>
          <w:p>
            <w:pPr>
              <w:spacing w:after="0"/>
              <w:rPr>
                <w:sz w:val="12"/>
                <w:szCs w:val="12"/>
                <w:color w:val="auto"/>
              </w:rPr>
            </w:pPr>
          </w:p>
        </w:tc>
        <w:tc>
          <w:tcPr>
            <w:tcW w:w="9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4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40" w:type="dxa"/>
            <w:vAlign w:val="bottom"/>
          </w:tcPr>
          <w:p>
            <w:pPr>
              <w:spacing w:after="0"/>
              <w:rPr>
                <w:sz w:val="20"/>
                <w:szCs w:val="20"/>
                <w:color w:val="auto"/>
              </w:rPr>
            </w:pPr>
            <w:r>
              <w:rPr>
                <w:rFonts w:ascii="Arial" w:cs="Arial" w:eastAsia="Arial" w:hAnsi="Arial"/>
                <w:sz w:val="18"/>
                <w:szCs w:val="18"/>
                <w:color w:val="auto"/>
              </w:rPr>
              <w:t>Software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15.1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(5.2)</w:t>
            </w:r>
          </w:p>
        </w:tc>
      </w:tr>
      <w:tr>
        <w:trPr>
          <w:trHeight w:val="223"/>
        </w:trPr>
        <w:tc>
          <w:tcPr>
            <w:tcW w:w="20" w:type="dxa"/>
            <w:vAlign w:val="bottom"/>
          </w:tcPr>
          <w:p>
            <w:pPr>
              <w:spacing w:after="0"/>
              <w:rPr>
                <w:sz w:val="19"/>
                <w:szCs w:val="19"/>
                <w:color w:val="auto"/>
              </w:rPr>
            </w:pPr>
          </w:p>
        </w:tc>
        <w:tc>
          <w:tcPr>
            <w:tcW w:w="97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920" w:firstLine="441"/>
        <w:spacing w:after="0" w:line="277" w:lineRule="auto"/>
        <w:rPr>
          <w:sz w:val="20"/>
          <w:szCs w:val="20"/>
          <w:color w:val="auto"/>
        </w:rPr>
      </w:pPr>
      <w:r>
        <w:rPr>
          <w:rFonts w:ascii="Arial" w:cs="Arial" w:eastAsia="Arial" w:hAnsi="Arial"/>
          <w:sz w:val="18"/>
          <w:szCs w:val="18"/>
          <w:i w:val="1"/>
          <w:iCs w:val="1"/>
          <w:color w:val="auto"/>
        </w:rPr>
        <w:t>Other Intangible Assets</w:t>
      </w:r>
      <w:r>
        <w:rPr>
          <w:rFonts w:ascii="Arial" w:cs="Arial" w:eastAsia="Arial" w:hAnsi="Arial"/>
          <w:sz w:val="18"/>
          <w:szCs w:val="18"/>
          <w:color w:val="auto"/>
        </w:rPr>
        <w:t>—Other intangible assets consist primarily of definite-lived customer relationships and trademarks and brands.</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expense related to definite-lived intangible assets, which is provided 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240" w:top="460" w:right="41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a straight-line basis (as it approximates the economic benefit) over the estimated useful lives of the assets, was $22.8 in each of fiscal 2018, 2017 and 2016. For the definite-lived intangible assets recorded as of September 30, 2018, amortization expense of $22.2 is expected in each of the next five fiscal years. Other intangible assets consisted of:</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center"/>
              <w:ind w:left="314"/>
              <w:spacing w:after="0"/>
              <w:rPr>
                <w:sz w:val="20"/>
                <w:szCs w:val="20"/>
                <w:color w:val="auto"/>
              </w:rPr>
            </w:pPr>
            <w:r>
              <w:rPr>
                <w:rFonts w:ascii="Arial" w:cs="Arial" w:eastAsia="Arial" w:hAnsi="Arial"/>
                <w:sz w:val="14"/>
                <w:szCs w:val="14"/>
                <w:b w:val="1"/>
                <w:bCs w:val="1"/>
                <w:color w:val="auto"/>
                <w:w w:val="91"/>
              </w:rPr>
              <w:t>September 30, 2018</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1"/>
              </w:rPr>
              <w:t>September 30, 2017</w:t>
            </w:r>
          </w:p>
        </w:tc>
      </w:tr>
      <w:tr>
        <w:trPr>
          <w:trHeight w:val="119"/>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rPr>
              <w:t>Accum.</w:t>
            </w:r>
          </w:p>
        </w:tc>
        <w:tc>
          <w:tcPr>
            <w:tcW w:w="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56"/>
              <w:spacing w:after="0" w:line="119" w:lineRule="exact"/>
              <w:rPr>
                <w:sz w:val="20"/>
                <w:szCs w:val="20"/>
                <w:color w:val="auto"/>
              </w:rPr>
            </w:pPr>
            <w:r>
              <w:rPr>
                <w:rFonts w:ascii="Arial" w:cs="Arial" w:eastAsia="Arial" w:hAnsi="Arial"/>
                <w:sz w:val="13"/>
                <w:szCs w:val="13"/>
                <w:b w:val="1"/>
                <w:bCs w:val="1"/>
                <w:color w:val="auto"/>
              </w:rPr>
              <w:t>Net</w:t>
            </w:r>
          </w:p>
        </w:tc>
        <w:tc>
          <w:tcPr>
            <w:tcW w:w="280" w:type="dxa"/>
            <w:vAlign w:val="bottom"/>
          </w:tcPr>
          <w:p>
            <w:pPr>
              <w:spacing w:after="0"/>
              <w:rPr>
                <w:sz w:val="10"/>
                <w:szCs w:val="10"/>
                <w:color w:val="auto"/>
              </w:rPr>
            </w:pPr>
          </w:p>
        </w:tc>
        <w:tc>
          <w:tcPr>
            <w:tcW w:w="5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92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Accum.</w:t>
            </w: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7"/>
              </w:rPr>
              <w:t>Amort.</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Amort.</w:t>
            </w:r>
          </w:p>
        </w:tc>
        <w:tc>
          <w:tcPr>
            <w:tcW w:w="72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209.4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$155.4</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209.4</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$(42.5)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$166.9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Trademarks and brands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213.4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(50.1)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163.3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213.4</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(39.3)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174.1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425.9</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(107.2</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318.7</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425.9</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(84.4</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341.5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920" w:firstLine="441"/>
        <w:spacing w:after="0" w:line="277" w:lineRule="auto"/>
        <w:rPr>
          <w:sz w:val="20"/>
          <w:szCs w:val="20"/>
          <w:color w:val="auto"/>
        </w:rPr>
      </w:pPr>
      <w:r>
        <w:rPr>
          <w:rFonts w:ascii="Arial" w:cs="Arial" w:eastAsia="Arial" w:hAnsi="Arial"/>
          <w:sz w:val="18"/>
          <w:szCs w:val="18"/>
          <w:i w:val="1"/>
          <w:iCs w:val="1"/>
          <w:color w:val="auto"/>
        </w:rPr>
        <w:t>Recoverability of Assets</w:t>
      </w:r>
      <w:r>
        <w:rPr>
          <w:rFonts w:ascii="Arial" w:cs="Arial" w:eastAsia="Arial" w:hAnsi="Arial"/>
          <w:sz w:val="18"/>
          <w:szCs w:val="18"/>
          <w:color w:val="auto"/>
        </w:rPr>
        <w:t>—The Company continually evaluates whether events or circumstances have occurred which might impair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recoverability of the carrying value of its assets, including property, identifiable intangibles and goodwill.</w:t>
      </w:r>
    </w:p>
    <w:p>
      <w:pPr>
        <w:spacing w:after="0" w:line="170"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In addition, definite-lived asset groups are reassessed as needed whenever events or changes in circumstances indicate that the carrying amount of an asset group may not be recoverable or the estimated useful life is no longer appropriate. If circumstances require that a definite-lived asset group be tested for possible impairment, the Company will compare the undiscounted cash flows expected to be generated by the asset group to the carrying amount of the asset group. If the carrying amount of the definite-lived asset is not recoverable on an undiscounted cash flow basis, an impairment is recognized to the extent that the carrying amount exceeds its fair value.</w:t>
      </w:r>
    </w:p>
    <w:p>
      <w:pPr>
        <w:spacing w:after="0" w:line="173"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i w:val="1"/>
          <w:iCs w:val="1"/>
          <w:color w:val="auto"/>
        </w:rPr>
        <w:t>Net Parent Investment</w:t>
      </w:r>
      <w:r>
        <w:rPr>
          <w:rFonts w:ascii="Arial" w:cs="Arial" w:eastAsia="Arial" w:hAnsi="Arial"/>
          <w:sz w:val="18"/>
          <w:szCs w:val="18"/>
          <w:color w:val="auto"/>
        </w:rPr>
        <w:t>—Net parent investment in the Combined Balance Sheets represents Post’s historical investment in its Active Nutrition</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segment, its accumulated net income and the net effect of the transactions with and allocations from Post.</w:t>
      </w:r>
    </w:p>
    <w:p>
      <w:pPr>
        <w:spacing w:after="0" w:line="170"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—Revenue is recognized when title of goods and risk of loss is transferred to the customer, as specified by the shipping terms. 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reflect gross sales, including amounts billed to customers for shipping and handling, less sales discounts and trade allowances (including promotional price buy downs and new item promotional funding). Customer trade allowances are generally computed as a percentage of gross sales. Products are generally sold with no right of return, except in the case of goods which do not meet product specifications or are damaged. Related reserves are maintained based on return history. Estimated reductions to revenue for customer incentive offerings are based upon customer redemption history.</w:t>
      </w:r>
    </w:p>
    <w:p>
      <w:pPr>
        <w:spacing w:after="0" w:line="158"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—Cost of goods sold includes, among other things, inbound and outbound freight costs and depreciation expense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assets used in production, while storage and other warehousing costs are included in “Selling, general and administrative expenses” in the Combined Statements of Operations and Comprehensive Income. Storage and other warehousing costs totaled $11.8, $12.0 and $10.6 in fiscal 2018, 2017 and 2016, respectively.</w:t>
      </w:r>
    </w:p>
    <w:p>
      <w:pPr>
        <w:spacing w:after="0" w:line="187"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i w:val="1"/>
          <w:iCs w:val="1"/>
          <w:color w:val="auto"/>
        </w:rPr>
        <w:t>Advertising</w:t>
      </w:r>
      <w:r>
        <w:rPr>
          <w:rFonts w:ascii="Arial" w:cs="Arial" w:eastAsia="Arial" w:hAnsi="Arial"/>
          <w:sz w:val="17"/>
          <w:szCs w:val="17"/>
          <w:color w:val="auto"/>
        </w:rPr>
        <w:t>—Advertising costs are expensed as incurred, except for costs of producing media advertising such as television commercials or</w:t>
      </w:r>
      <w:r>
        <w:rPr>
          <w:rFonts w:ascii="Arial" w:cs="Arial" w:eastAsia="Arial" w:hAnsi="Arial"/>
          <w:sz w:val="17"/>
          <w:szCs w:val="17"/>
          <w:i w:val="1"/>
          <w:iCs w:val="1"/>
          <w:color w:val="auto"/>
        </w:rPr>
        <w:t xml:space="preserve"> </w:t>
      </w:r>
      <w:r>
        <w:rPr>
          <w:rFonts w:ascii="Arial" w:cs="Arial" w:eastAsia="Arial" w:hAnsi="Arial"/>
          <w:sz w:val="17"/>
          <w:szCs w:val="17"/>
          <w:color w:val="auto"/>
        </w:rPr>
        <w:t>magazine advertisements, which are deferred until the first time the advertising takes place. The amounts reported as assets on the Combined Balance Sheets as “Prepaid expenses and other current assets” were immaterial as of September 30, 2018 and 2017.</w:t>
      </w:r>
    </w:p>
    <w:p>
      <w:pPr>
        <w:spacing w:after="0" w:line="166"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—The Company’s employees have historically participated in Post’s stock-based compensation plans.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has been allocated to the Company based on the awards and terms previously granted to its employees. All awards outstanding under Post’s stock-based compensation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240" w:top="460" w:right="4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plans will continue to vest and the Company will record stock based-compensation expense related to those awards. The Company recognizes the cost of employee services received in exchange for awards of equity instruments based on the grant-date fair value of equity awards and the fair market value at each quarterly reporting date for liability awards. That cost is recognized over the period during which an employee is required to provide service in exchange for the award—the requisite service period (usually the vesting period). See Note 12 for disclosures related to stock-based compensation.</w:t>
      </w:r>
    </w:p>
    <w:p>
      <w:pPr>
        <w:spacing w:after="0" w:line="154"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—Income tax expense is estimated based on income taxes in each jurisdiction and includes the effects of both current tax</w:t>
      </w:r>
      <w:r>
        <w:rPr>
          <w:rFonts w:ascii="Arial" w:cs="Arial" w:eastAsia="Arial" w:hAnsi="Arial"/>
          <w:sz w:val="17"/>
          <w:szCs w:val="17"/>
          <w:i w:val="1"/>
          <w:iCs w:val="1"/>
          <w:color w:val="auto"/>
        </w:rPr>
        <w:t xml:space="preserve"> </w:t>
      </w:r>
      <w:r>
        <w:rPr>
          <w:rFonts w:ascii="Arial" w:cs="Arial" w:eastAsia="Arial" w:hAnsi="Arial"/>
          <w:sz w:val="17"/>
          <w:szCs w:val="17"/>
          <w:color w:val="auto"/>
        </w:rPr>
        <w:t>exposures and the temporary differences resulting from differing treatment of items for tax and financial reporting purposes. These temporary differences result in deferred tax assets and liabilities. A valuation allowance is established against the related deferred tax assets to the extent that it is not “more likely than not” that the future benefits will be realized. Reserves are recorded for estimated exposures associated with the Company’s tax filing positions, which are subject to periodic audits by governmental taxing authorities. Interest due to an underpayment of income taxes is classified as income taxes. For the purposes of these financial statements, income taxes have been computed for the Company on a stand-alone, separate tax return basis. See Note 6 for disclosures related to income taxes.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3—Recently Issued and Adopted Accounting Standards</w:t>
      </w:r>
    </w:p>
    <w:p>
      <w:pPr>
        <w:spacing w:after="0" w:line="12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Company has considered all new accounting pronouncements and has concluded there are no new pronouncements (other than the ones described below) that had or will have an impact on the results of operations, other comprehensive income (“OCI”), financial condition, cash flows or parent company equity based on current information.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Issued</w:t>
      </w:r>
    </w:p>
    <w:p>
      <w:pPr>
        <w:spacing w:after="0" w:line="117"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In August 2018, the Financial Accounting Standards Board (“FASB”) issued Accounting Standards Update (“ASU”) 2018-15, “Intangibles— Goodwill and Other—Internal-Use Software (Subtopic 350-40): Customer’s Accounting for Implementation Costs Incurred in a Cloud Computing Arrangement that is a Service Contract.” This ASU largely aligns the guidance on recognizing implementation costs incurred in a cloud computing arrangement that is a service contract with that for implementation costs incurred to develop or obtain internal-use software, including hosting arrangements that include an internal-use software license. The Company early adopted this ASU on October 1, 2018, in fiscal 2019, on a prospective basis, as permitted by the standard. This change did not have a material impact on the Company’s financial statements.</w:t>
      </w:r>
    </w:p>
    <w:p>
      <w:pPr>
        <w:spacing w:after="0" w:line="16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February 2016, the FASB issued ASU 2016-02, “Leases (Topic 842).” This ASU requires a company to recognize right-of-use assets and lease liabilities with terms greater than one year on its balance sheet and disclose key information about leasing arrangements. ASU 2016-02 offers specific accounting guidance for lessees, lessors and sale and leaseback transactions. Lessees and lessors are required to disclose qualitative and quantitative information about leasing arrangements to enable a user of the financial statements to assess the amount, timing and uncertainty of cash flows arising from leases. This ASU is effective for annual periods beginning after December 15, 2018 and interim periods therein (i.e., Active Nutrition’s financial statements for the year ending September 30, 2020), with early adoption permitted. The Company will adopt this standard on October 1, 2019 and expects to use the modified retrospective method of adoption applied prospectively as of the adoption date. The Company has selected a software vendor and is in the process of assessing its lease agreements to identify those that fall within the scope of this ASU. This ASU will result in an increase in both assets and liabilities; however, the Company is unable to quantify the impact at this time. In addition, the Company expects expanded disclosures to present additional information related to its leasing arrangements.</w:t>
      </w:r>
    </w:p>
    <w:p>
      <w:pPr>
        <w:spacing w:after="0" w:line="17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May 2014, the FASB issued ASU 2014-09, “Revenue from Contracts with Customers (Topic 606),” which will supersede all existing revenue recognition guidance under GAAP. This ASU’s core principle is that a company will recognize revenue when it transfers promised goods or services to a customer in an amount that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60"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reflects the consideration to which the company expects to be entitled in exchange for those goods or services. The ASU also calls for additional disclosures around the nature, amount, timing and uncertainty of revenue and cash flows arising from contracts with customers. The Company adopted this ASU on October 1, 2018, in fiscal 2019, and will use the modified retrospective transition method of adoption. The adoption will not have a material impact on the Company’s financial statements as the impact of this ASU will be limited to classification changes of immaterial amounts within the statement of operations.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January 2017, the FASB issued ASU 2017-04, “Intangibles—Goodwill and Other (Topic 350): Simplifying the Test for Goodwill Impairment.” ASU 2017-04 eliminates step two of the goodwill impairment test, which requires the calculation of the implied fair value of goodwill to measure a goodwill impairment charge. Under this ASU, an entity should perform its annual or interim goodwill impairment test by comparing the fair value of the reporting unit with its carrying amount, and should recognize an impairment charge for the amount by which the carrying amount exceeds the reporting unit’s fair value with the loss not exceeding the total amount of goodwill allocated to that reporting unit. The Company early adopted this ASU using a prospective approach during the fourth quarter of fiscal 2017, as permitted by the ASU. The adoption of this ASU resulted in an impairment of goodwill of $26.5 in the Dymatize reporting unit in the year ended September 30, 2017. See Note 5 for further discussion of this impairment.</w:t>
      </w:r>
    </w:p>
    <w:p>
      <w:pPr>
        <w:spacing w:after="0" w:line="16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 July 2015, the FASB issued ASU 2015-11, “Inventory (Topic 330): Simplifying the Measurement of Inventory.” This ASU requires most inventory to be measured at the lower of cost and NRV, thereby simplifying the previous guidance under which an entity must measure inventory at the lower of cost or market. Market is defined as replacement cost, NRV or NRV less a normal profit margin. This ASU will not apply to inventory that is measured using either the last-in, first-out method or the retail inventory method. The Company adopted this ASU during the first quarter of fiscal 2018. The adoption of this ASU did not have a material impact on the Company’s combined financial statements or related disclosures.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4—Restructuring</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September 2015, the Company announced its plan to close its Dymatize manufacturing facility located in Farmers Branch, Texas and permanently transfer production to third party facilities under co-manufacturing agreements. Plant production ceased in the fourth quarter of fiscal 2015, and the facility was sold in December 2016. No additional restructuring costs were incurred in fiscal 2018 or 2017.</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Amounts related to the restructuring event are shown in the following table. All costs are employee-related and are recognized in “Selling, general and administrative expenses” in the Combined Statement of Operations and Comprehensive Income.</w:t>
      </w:r>
    </w:p>
    <w:p>
      <w:pPr>
        <w:sectPr>
          <w:pgSz w:w="11900" w:h="16838" w:orient="portrait"/>
          <w:cols w:equalWidth="0" w:num="1">
            <w:col w:w="11200"/>
          </w:cols>
          <w:pgMar w:left="240" w:top="459" w:right="459" w:bottom="1440" w:gutter="0" w:footer="0" w:header="0"/>
        </w:sectPr>
      </w:pP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Balance,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997700" cy="1371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Charge to expense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Non-cash charges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Balance,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997700"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expected restructuring charge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Cumulative incurred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Remaining expected restructuring charge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80" w:hanging="176"/>
        <w:spacing w:after="0"/>
        <w:tabs>
          <w:tab w:leader="none" w:pos="1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1.4</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6"/>
          <w:szCs w:val="16"/>
          <w:color w:val="auto"/>
        </w:rPr>
        <w:t>(0.1)</w:t>
      </w:r>
    </w:p>
    <w:p>
      <w:pPr>
        <w:spacing w:after="0" w:line="32"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6"/>
          <w:szCs w:val="16"/>
          <w:color w:val="auto"/>
        </w:rPr>
        <w:t>(1.3)</w:t>
      </w:r>
    </w:p>
    <w:p>
      <w:pPr>
        <w:spacing w:after="0" w:line="32"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2489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2489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43" w:lineRule="exact"/>
        <w:rPr>
          <w:sz w:val="20"/>
          <w:szCs w:val="20"/>
          <w:color w:val="auto"/>
        </w:rPr>
      </w:pPr>
    </w:p>
    <w:p>
      <w:pPr>
        <w:ind w:left="180" w:hanging="176"/>
        <w:spacing w:after="0"/>
        <w:tabs>
          <w:tab w:leader="none" w:pos="1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4.2</w:t>
      </w:r>
    </w:p>
    <w:p>
      <w:pPr>
        <w:spacing w:after="0" w:line="23"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2489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2489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00" w:space="720"/>
            <w:col w:w="480"/>
          </w:cols>
          <w:pgMar w:left="240" w:top="459" w:right="459" w:bottom="1440" w:gutter="0" w:footer="0" w:header="0"/>
          <w:type w:val="continuous"/>
        </w:sectPr>
      </w:pP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117"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Related to the shutdown of manufacturing operations at its Farmers Branch, Texas facility in September 2015, the Company had land and buildings classified as assets held for sale at September 30, 2016. The carrying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240" w:top="459" w:right="459" w:bottom="1440" w:gutter="0" w:footer="0" w:header="0"/>
          <w:type w:val="continuous"/>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value of the assets included in “Prepaid expenses and other current assets” on the Combined Balance Sheet was $5.8 as of September 30, 2016. The fair value of assets held for sale were measured at fair value on a nonrecurring basis based on a third party offer to purchase the assets. The fair value measurement was categorized as Level 3, as the fair values utilized significant unobservable inputs. The land and buildings were sold in December 2016. Held for sale net (gains) and losses of $(0.2) and $4.5 were recorded in fiscal 2017 and 2016, respectively, to adjust the carrying value of the assets to their fair value less estimated selling costs. The net gains and losses were reported as “Other operating expenses, net” on the Combined Statements of Operations and Comprehensive Income.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5—Goodwill</w:t>
      </w:r>
    </w:p>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The changes in the carrying amount of goodwill are noted in the following table.</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2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2016</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Goodwill (gross)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 losses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23"/>
        </w:trPr>
        <w:tc>
          <w:tcPr>
            <w:tcW w:w="8300" w:type="dxa"/>
            <w:vAlign w:val="bottom"/>
            <w:gridSpan w:val="2"/>
          </w:tcPr>
          <w:p>
            <w:pPr>
              <w:spacing w:after="0"/>
              <w:rPr>
                <w:sz w:val="20"/>
                <w:szCs w:val="20"/>
                <w:color w:val="auto"/>
              </w:rPr>
            </w:pPr>
            <w:r>
              <w:rPr>
                <w:rFonts w:ascii="Arial" w:cs="Arial" w:eastAsia="Arial" w:hAnsi="Arial"/>
                <w:sz w:val="18"/>
                <w:szCs w:val="18"/>
                <w:color w:val="auto"/>
              </w:rPr>
              <w:t>Goodwill (net)</w:t>
            </w:r>
          </w:p>
        </w:tc>
        <w:tc>
          <w:tcPr>
            <w:tcW w:w="20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loss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Balance, September 30, 2017 and September 30, 2018</w:t>
            </w:r>
          </w:p>
        </w:tc>
        <w:tc>
          <w:tcPr>
            <w:tcW w:w="2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Goodwill (gross)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Accumulated impairment losses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20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Goodwill represents the excess of the cost of acquired businesses over the fair market value of their identifiable net assets. The Company conducts a goodwill impairment qualitative assessment during the fourth quarter of each fiscal year following the annual forecasting process, or more frequently if facts and circumstances indicate that goodwill may be impaired. The goodwill impairment qualitative assessment requires an analysis to determine if it is more likely than not that the fair value of the business is less than its carrying amount. If adverse qualitative trends are identified that could negatively impact the fair value of the business, a quantitative goodwill impairment test is performed. In fiscal 2018, 2017 and 2016, the Company elected not to perform a qualitative assessment and instead performed a quantitative impairment test for all three reporting units. At September 30, 2018 and 2017, the $65.9 balance in goodwill on the Combined Balance Sheets was entirely attributable to the Premier Nutrition reporting unit.</w:t>
      </w:r>
    </w:p>
    <w:p>
      <w:pPr>
        <w:spacing w:after="0" w:line="16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estimated fair value is determined using a combined income and market approach with a greater weighting on the income approach. The income approach is based on discounted future cash flows and requires significant assumptions, including estimates regarding future revenue, profitability, capital requirements and discount rate. The market approach is based on a market multiple (revenue and EBITDA, which stands for earnings before interest, income taxes, depreciation and amortization) and requires an estimate of appropriate multiples based on market data. These fair value measurements fell within Level 3 of the fair value hierarchy.</w:t>
      </w:r>
    </w:p>
    <w:p>
      <w:pPr>
        <w:spacing w:after="0" w:line="188"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Company did not record a goodwill impairment charge at September 30, 2018, as all reporting units with goodwill passed the quantitative impairment test.</w:t>
      </w:r>
    </w:p>
    <w:p>
      <w:pPr>
        <w:spacing w:after="0" w:line="170"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For the year ended September 30, 2017, the Company recorded a charge of $26.5 for the impairment of goodwill. The impairment charge related to the Dymatize reporting unit. In fiscal 2017, consistent with the prior year, the specialty channel, from which the Dymatize reporting unit derived the majority of its sales, continued to experience weak sales, which resulted in management lowering its long-term expectations for the Dymatize reporting unit. After conducting step one of the impairment analysis, it was determined that the carrying value of the Dymatize reporting unit exceeded its fair value by $76.6, and the Company recorded an impairment charge for goodwill down to the fair value. At the time of the analysis, the Dymatize reporting unit had $26.5 of remaining goodwill, and therefore, an impairment charge for the entire goodwill balance of $26.5 was recorded.</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240" w:top="459" w:right="4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For the year ended September 30, 2016, the Company concluded that there was no impairment of goodwill. With the exception of the Dymatize reporting unit, all reporting units passed step one of the impairment test. The Dymatize reporting unit failed step one, and accordingly, step two of the analysis was performed as was required prior to the adoption of ASU 2017-04, “Intangibles—Goodwill and Other (Topic 350): Simplifying the Test for Goodwill Impairment” in fiscal 2017. Based on the results of step two, it was determined that the fair value of the goodwill allocated to the Dymatize reporting unit exceeded its carrying value by approximately $36.0 and was therefore not impaired as of September 30, 2016.</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6—Income Taxes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expense for income taxes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8"/>
          </w:tcPr>
          <w:p>
            <w:pPr>
              <w:jc w:val="right"/>
              <w:ind w:right="25"/>
              <w:spacing w:after="0"/>
              <w:rPr>
                <w:sz w:val="20"/>
                <w:szCs w:val="20"/>
                <w:color w:val="auto"/>
              </w:rPr>
            </w:pPr>
            <w:r>
              <w:rPr>
                <w:rFonts w:ascii="Arial" w:cs="Arial" w:eastAsia="Arial" w:hAnsi="Arial"/>
                <w:sz w:val="14"/>
                <w:szCs w:val="14"/>
                <w:b w:val="1"/>
                <w:bCs w:val="1"/>
                <w:color w:val="auto"/>
              </w:rPr>
              <w:t>Year Ended September 30,</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Federal</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29.4</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80" w:firstLine="441"/>
        <w:spacing w:after="0" w:line="277" w:lineRule="auto"/>
        <w:rPr>
          <w:sz w:val="20"/>
          <w:szCs w:val="20"/>
          <w:color w:val="auto"/>
        </w:rPr>
      </w:pPr>
      <w:r>
        <w:rPr>
          <w:rFonts w:ascii="Arial" w:cs="Arial" w:eastAsia="Arial" w:hAnsi="Arial"/>
          <w:sz w:val="18"/>
          <w:szCs w:val="18"/>
          <w:color w:val="auto"/>
        </w:rPr>
        <w:t>The effective income tax rate for fiscal 2018 was 19.8% compared to 46.3% for fiscal 2017 and 37.2% for fiscal 2016. A reconciliation of income tax expense with amounts computed at the federal statutory tax rate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8"/>
          </w:tcPr>
          <w:p>
            <w:pPr>
              <w:jc w:val="right"/>
              <w:ind w:right="25"/>
              <w:spacing w:after="0"/>
              <w:rPr>
                <w:sz w:val="20"/>
                <w:szCs w:val="20"/>
                <w:color w:val="auto"/>
              </w:rPr>
            </w:pPr>
            <w:r>
              <w:rPr>
                <w:rFonts w:ascii="Arial" w:cs="Arial" w:eastAsia="Arial" w:hAnsi="Arial"/>
                <w:sz w:val="14"/>
                <w:szCs w:val="14"/>
                <w:b w:val="1"/>
                <w:bCs w:val="1"/>
                <w:color w:val="auto"/>
              </w:rPr>
              <w:t>Year Ended September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Computed tax</w:t>
            </w:r>
            <w:r>
              <w:rPr>
                <w:rFonts w:ascii="Arial" w:cs="Arial" w:eastAsia="Arial" w:hAnsi="Arial"/>
                <w:sz w:val="15"/>
                <w:szCs w:val="15"/>
                <w:color w:val="auto"/>
              </w:rPr>
              <w:t>(a)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Enacted tax law and changes, including the Tax Act</w:t>
            </w:r>
            <w:r>
              <w:rPr>
                <w:rFonts w:ascii="Arial" w:cs="Arial" w:eastAsia="Arial" w:hAnsi="Arial"/>
                <w:sz w:val="15"/>
                <w:szCs w:val="15"/>
                <w:color w:val="auto"/>
              </w:rPr>
              <w:t>(a)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income taxes, net of effect on federal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Non-deductible goodwill impairment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 (none in excess of 5% of statutory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r>
      <w:tr>
        <w:trPr>
          <w:trHeight w:val="223"/>
        </w:trPr>
        <w:tc>
          <w:tcPr>
            <w:tcW w:w="814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640" w:right="260" w:hanging="436"/>
        <w:spacing w:after="0" w:line="264" w:lineRule="auto"/>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Fiscal 2018 federal corporate income tax was computed using a blended United States (“U.S.”) federal corporate income tax rate of 24.5%. The fiscal 2018 federal corporate income tax rate was impacted by the Tax Cuts and Jobs Act (the “Tax Act”), as discussed below. Fiscal 2017 and 2016 federal corporate income tax was computed at the federal statutory tax rate of 35%.</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240" w:top="460" w:right="41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firstLine="441"/>
        <w:spacing w:after="0" w:line="30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Deferred tax non-current assets (liabilities) were as follows:</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September 30, 2018</w:t>
            </w: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4"/>
                <w:szCs w:val="14"/>
                <w:b w:val="1"/>
                <w:bCs w:val="1"/>
                <w:color w:val="auto"/>
                <w:w w:val="91"/>
              </w:rPr>
              <w:t>September 30, 2017</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3"/>
              </w:rPr>
              <w:t>Assets</w:t>
            </w:r>
          </w:p>
        </w:tc>
        <w:tc>
          <w:tcPr>
            <w:tcW w:w="1200" w:type="dxa"/>
            <w:vAlign w:val="bottom"/>
            <w:gridSpan w:val="4"/>
          </w:tcPr>
          <w:p>
            <w:pPr>
              <w:ind w:left="260"/>
              <w:spacing w:after="0" w:line="142" w:lineRule="exact"/>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2"/>
                <w:szCs w:val="12"/>
                <w:color w:val="auto"/>
              </w:rPr>
            </w:pPr>
          </w:p>
        </w:tc>
        <w:tc>
          <w:tcPr>
            <w:tcW w:w="38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Assets</w:t>
            </w:r>
          </w:p>
        </w:tc>
        <w:tc>
          <w:tcPr>
            <w:tcW w:w="1220" w:type="dxa"/>
            <w:vAlign w:val="bottom"/>
            <w:gridSpan w:val="4"/>
          </w:tcPr>
          <w:p>
            <w:pPr>
              <w:ind w:left="260"/>
              <w:spacing w:after="0" w:line="142" w:lineRule="exact"/>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2"/>
                <w:szCs w:val="12"/>
                <w:color w:val="auto"/>
              </w:rPr>
            </w:pPr>
          </w:p>
        </w:tc>
        <w:tc>
          <w:tcPr>
            <w:tcW w:w="38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vacation, incentive and severance</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$ 1.4</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Inventory</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Property</w:t>
            </w: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(32.6)</w:t>
            </w:r>
          </w:p>
        </w:tc>
      </w:tr>
      <w:tr>
        <w:trPr>
          <w:trHeight w:val="223"/>
        </w:trPr>
        <w:tc>
          <w:tcPr>
            <w:tcW w:w="20" w:type="dxa"/>
            <w:vAlign w:val="bottom"/>
          </w:tcPr>
          <w:p>
            <w:pPr>
              <w:spacing w:after="0"/>
              <w:rPr>
                <w:sz w:val="19"/>
                <w:szCs w:val="19"/>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Total deferred taxes</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$ 7.7</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(13.6</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10.4</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At September 30, 2018, the Company had undistributed earnings of consolidated foreign subsidiaries of $2.3, and the Company intends to indefinitely reinvest undistributed earnings of its foreign subsidiaries. In accordance with the Tax Act, the Company recorded a one-time transition on tax on such earnings during the year ended September 30, 2018, as discussed below.</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fiscal 2018, 2017 and 2016, foreign income before income taxes was $1.0, $0.7 and $2.8, respectively.</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Tax Act</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fiscal 2018, the effective income tax rate was impacted by the Tax Act, which was enacted on December 22, 2017. The Securities and Exchange Commission issued interpretive guidance regarding the Tax Act, which was codified by ASU 2018-05, “Income Taxes (Topic 740): Amendments to the Securities and Exchange Commission (“SEC”) paragraphs pursuant to SEC Staff Accounting Bulletin No. 118,” in March 2018. The Tax Act resulted in significant impacts to the Company’s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will fully go into effect for the Company’s fiscal 2019 tax year and is prorated with the pre-December 22, 2017 U.S. federal corporate income tax rate of 35% for the Company’s fiscal 2018 tax year. This proration resulted in a blended U.S. federal corporate income tax rate of 24.5% for fiscal 2018. Adjustments were made in the following instances: (i) the Company remeasured its existing deferred tax assets and liabilities considering both the fiscal 2018 blended rate and the 21% rate for future periods and recorded a tax benefit of $9.9 and (ii) the Company calculated the one-time transition tax and recorded tax expense of $0.5. Full expensing of certain depreciable assets will result in a temporary difference and will be analyzed as assets are placed in service.</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7"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The Company recognizes the tax benefit from uncertain tax positions only if it is “more likely than not” that the tax position will be sustained on examination by the taxing authorities. The tax benefits recognized from such positions are measured based on the largest benefit that has a greater than 50% likelihood of being realized upon ultimate settlement. To the extent the Company’s assessment of such tax positions changes, the change in estimate will be recorded in the period in which the determination is made. Unrecognized tax benefits were $0.5 and $0.6 at September 30, 2018 and 2016, respectively. There were no unrecognized tax benefits recorded by the Company at September 30, 2017.</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240" w:top="460" w:right="41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8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20" w:type="dxa"/>
            <w:vAlign w:val="bottom"/>
          </w:tcPr>
          <w:p>
            <w:pPr>
              <w:spacing w:after="0"/>
              <w:rPr>
                <w:sz w:val="24"/>
                <w:szCs w:val="24"/>
                <w:color w:val="auto"/>
              </w:rPr>
            </w:pPr>
          </w:p>
        </w:tc>
        <w:tc>
          <w:tcPr>
            <w:tcW w:w="9780" w:type="dxa"/>
            <w:vAlign w:val="bottom"/>
            <w:gridSpan w:val="2"/>
          </w:tcPr>
          <w:p>
            <w:pPr>
              <w:ind w:left="420"/>
              <w:spacing w:after="0"/>
              <w:rPr>
                <w:sz w:val="20"/>
                <w:szCs w:val="20"/>
                <w:color w:val="auto"/>
              </w:rPr>
            </w:pPr>
            <w:r>
              <w:rPr>
                <w:rFonts w:ascii="Arial" w:cs="Arial" w:eastAsia="Arial" w:hAnsi="Arial"/>
                <w:sz w:val="18"/>
                <w:szCs w:val="18"/>
                <w:color w:val="auto"/>
                <w:w w:val="98"/>
              </w:rPr>
              <w:t>Unrecognized tax benefits activity for the years ended September 30, 2018 and 2017 is presented in the following table:</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8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September 30, 2016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Additions for tax positions taken in current year and acquisitions</w:t>
            </w:r>
          </w:p>
        </w:tc>
        <w:tc>
          <w:tcPr>
            <w:tcW w:w="7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Reductions for tax positions taken in prior years</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Settlements with tax authorities/statute expirations</w:t>
            </w:r>
          </w:p>
        </w:tc>
        <w:tc>
          <w:tcPr>
            <w:tcW w:w="74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September 30, 2017</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Additions for tax positions taken in current year and acquisitions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Reductions for tax positions taken in prior years</w:t>
            </w: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Settlements with tax authorities/statute expirations</w:t>
            </w:r>
          </w:p>
        </w:tc>
        <w:tc>
          <w:tcPr>
            <w:tcW w:w="74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September 30, 2018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00" w:right="300" w:firstLine="441"/>
        <w:spacing w:after="0" w:line="308" w:lineRule="auto"/>
        <w:rPr>
          <w:sz w:val="20"/>
          <w:szCs w:val="20"/>
          <w:color w:val="auto"/>
        </w:rPr>
      </w:pPr>
      <w:r>
        <w:rPr>
          <w:rFonts w:ascii="Arial" w:cs="Arial" w:eastAsia="Arial" w:hAnsi="Arial"/>
          <w:sz w:val="17"/>
          <w:szCs w:val="17"/>
          <w:color w:val="auto"/>
        </w:rPr>
        <w:t>The amount of the net unrecognized tax benefits that, if recognized, would directly affect the effective income tax rate is $0.5 at September 30, 2018. The Company does not believe that any of the $0.5 will be recognized within twelve months of September 30, 2018.</w:t>
      </w:r>
    </w:p>
    <w:p>
      <w:pPr>
        <w:spacing w:after="0" w:line="14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U.S. federal, U.S. state and German income tax returns for the tax years ended September 30, 2017, 2016 and 2015 are subject to examination by the tax authorities in each respective jurisdiction.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7—Supplemental Operations Statement and Cash Flow Information</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0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2018</w:t>
            </w:r>
          </w:p>
        </w:tc>
        <w:tc>
          <w:tcPr>
            <w:tcW w:w="104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Advertising and promotion expenses</w:t>
            </w:r>
          </w:p>
        </w:tc>
        <w:tc>
          <w:tcPr>
            <w:tcW w:w="28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33.2</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42.7</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Repair and maintenance expenses</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Rent expense</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r>
              <w:rPr>
                <w:rFonts w:ascii="Arial" w:cs="Arial" w:eastAsia="Arial" w:hAnsi="Arial"/>
                <w:sz w:val="15"/>
                <w:szCs w:val="15"/>
                <w:color w:val="auto"/>
              </w:rPr>
              <w:t>(a)</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60" w:hanging="436"/>
        <w:spacing w:after="0" w:line="277" w:lineRule="auto"/>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Income taxes paid relate to the Company’s international operations. All U.S. federal and state tax payments are made by Post and are a component of “Net parent investment” on the Combined Balance Sheets.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240" w:top="446" w:right="4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8—Supplemental Balance Sheet Information</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 net</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Trade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$84.9</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Raw materials and supplies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$24.9</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Finished products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Payable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Trade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$56.9</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Book cash overdrafts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58.7</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Current Liabilities</w:t>
            </w: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legal settlements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$17.5</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 and promotion</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Income and other taxes payable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9—Allowance for Doubtful Accounts</w:t>
            </w: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$ 0.3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$0.3</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Provision charged to expense</w:t>
            </w:r>
          </w:p>
        </w:tc>
        <w:tc>
          <w:tcPr>
            <w:tcW w:w="20" w:type="dxa"/>
            <w:vAlign w:val="bottom"/>
          </w:tcPr>
          <w:p>
            <w:pPr>
              <w:spacing w:after="0"/>
              <w:rPr>
                <w:sz w:val="18"/>
                <w:szCs w:val="18"/>
                <w:color w:val="auto"/>
              </w:rPr>
            </w:pPr>
          </w:p>
        </w:tc>
        <w:tc>
          <w:tcPr>
            <w:tcW w:w="4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Write-offs, less recoveries</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9220" w:type="dxa"/>
            <w:vAlign w:val="bottom"/>
            <w:gridSpan w:val="2"/>
          </w:tcPr>
          <w:p>
            <w:pPr>
              <w:spacing w:after="0"/>
              <w:rPr>
                <w:sz w:val="20"/>
                <w:szCs w:val="20"/>
                <w:color w:val="auto"/>
              </w:rPr>
            </w:pPr>
            <w:r>
              <w:rPr>
                <w:rFonts w:ascii="Arial" w:cs="Arial" w:eastAsia="Arial" w:hAnsi="Arial"/>
                <w:sz w:val="18"/>
                <w:szCs w:val="18"/>
                <w:color w:val="auto"/>
              </w:rPr>
              <w:t>Balance, end of year</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$ 0.1</w:t>
            </w:r>
          </w:p>
        </w:tc>
        <w:tc>
          <w:tcPr>
            <w:tcW w:w="10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0.3</w:t>
            </w:r>
          </w:p>
        </w:tc>
        <w:tc>
          <w:tcPr>
            <w:tcW w:w="280" w:type="dxa"/>
            <w:vAlign w:val="bottom"/>
            <w:gridSpan w:val="2"/>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10—Related Party Transactions</w:t>
      </w:r>
    </w:p>
    <w:p>
      <w:pPr>
        <w:spacing w:after="0" w:line="121"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The Company’s Combined Statements of Operations and Comprehensive Income include expense allocations from Post of general and administrative costs, including stock-based compensation expense, as well as costs related to the finance, information technology, legal, human resources, quality, supply chain and purchasing functions. Costs for these functions and services performed by Post have been allocated to the Company based on a reasonable activity base (including specific costs, revenue, net assets and headcount, or a combination of such items) or another reasonable method. Allocated costs were $4.6, $4.4 and $3.6 for the years ended September 30, 2018, 2017 and 2016, respectively, and are included in “Selling, general and administrative expenses” in the Combined Statements of Operations and Comprehensive Income. All allocated costs are included in “Change in net parent investment” within financing activities on the Combined Statements of Cash</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240" w:top="459" w:right="4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02" w:lineRule="auto"/>
        <w:rPr>
          <w:sz w:val="20"/>
          <w:szCs w:val="20"/>
          <w:color w:val="auto"/>
        </w:rPr>
      </w:pPr>
      <w:r>
        <w:rPr>
          <w:rFonts w:ascii="Arial" w:cs="Arial" w:eastAsia="Arial" w:hAnsi="Arial"/>
          <w:sz w:val="16"/>
          <w:szCs w:val="16"/>
          <w:color w:val="auto"/>
        </w:rPr>
        <w:t>Flows. It is not practicable to determine the actual expenses that would have been incurred for these services had the Company operated as a separate entity. Actual costs that would have been incurred had the Company operated as a separate company during the periods presented would depend on a number of factors, including the organizational structure and strategic decisions made in various areas, such as human resources, legal, finance, information technology and infrastructure, among others. Management considers the allocation method to be reasonable.</w:t>
      </w:r>
    </w:p>
    <w:p>
      <w:pPr>
        <w:spacing w:after="0" w:line="154"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Company sells to certain other subsidiaries of Post, the results of which are immaterial and have been included in the accompanying financial statements.</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Financial resources for Active Nutrition’s U.S. operations have historically been provided by Post, which has managed cash and cash equivalents on a centralized basis. Under Post’s centralized cash management system, cash requirements are provided directly by Post and cash generated by Active Nutrition is generally remitted directly to Post. Transaction systems (e.g. payroll, employee benefits and accounts payable) used to record and account for cash disbursements are generally provided by Post. Cash receipts associated with U.S. business have been transferred to Post on a daily basis and Post has funded our cash disbursements. Financial resources for Active Nutrition’s international operations have been historically managed by the Company.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11—Commitments and Contingencies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7"/>
          <w:szCs w:val="17"/>
          <w:i w:val="1"/>
          <w:iCs w:val="1"/>
          <w:color w:val="auto"/>
        </w:rPr>
        <w:t>Joint Juice</w:t>
      </w:r>
      <w:r>
        <w:rPr>
          <w:rFonts w:ascii="Arial" w:cs="Arial" w:eastAsia="Arial" w:hAnsi="Arial"/>
          <w:sz w:val="17"/>
          <w:szCs w:val="17"/>
          <w:color w:val="auto"/>
        </w:rPr>
        <w:t xml:space="preserve"> line of glucosamine dietary supplements were false and misleading. In April 2016, the district court certified a California-only class of consumers in this lawsuit (this lawsuit is hereinafter referred to as the “California Class Lawsuit”).</w:t>
      </w:r>
    </w:p>
    <w:p>
      <w:pPr>
        <w:spacing w:after="0" w:line="17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2016 and 2017, the lead plaintiff’s counsel in the California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Class Lawsuit, also seeking monetary damages and injunctive relief.</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April 2018, the district court dismissed the California Class Lawsuit with prejudice. This dismissal was appealed and is pending before the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Court of Appeals for the Ninth Circuit. The other ten complaints remain pending in the district court.</w:t>
      </w:r>
    </w:p>
    <w:p>
      <w:pPr>
        <w:spacing w:after="0" w:line="211" w:lineRule="exact"/>
        <w:rPr>
          <w:sz w:val="20"/>
          <w:szCs w:val="20"/>
          <w:color w:val="auto"/>
        </w:rPr>
      </w:pPr>
    </w:p>
    <w:p>
      <w:pPr>
        <w:ind w:left="200" w:right="520" w:firstLine="441"/>
        <w:spacing w:after="0" w:line="342" w:lineRule="auto"/>
        <w:rPr>
          <w:sz w:val="20"/>
          <w:szCs w:val="20"/>
          <w:color w:val="auto"/>
        </w:rPr>
      </w:pPr>
      <w:r>
        <w:rPr>
          <w:rFonts w:ascii="Arial" w:cs="Arial" w:eastAsia="Arial" w:hAnsi="Arial"/>
          <w:sz w:val="16"/>
          <w:szCs w:val="16"/>
          <w:color w:val="auto"/>
        </w:rPr>
        <w:t>In January 2019, the same lead counsel filed a further class action complaint in Alameda County California Superior Court, alleging claims similar to the above actions and seeking monetary damages and injunctive relief on behalf of a putative class of California consumers.</w:t>
      </w:r>
    </w:p>
    <w:p>
      <w:pPr>
        <w:spacing w:after="0" w:line="124"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Company intends to vigorously defend these cases. The Company does not believe that the resolution of these cases will have a material adverse effect on its combined financial condition, results of operations or cash flows.</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During the year ended September 30, 2016, the Company expensed $5.5 related to this litigation, which was included in “Selling, general and administrative expenses” in the Combined Statement of Operations and Comprehensive Income. No additional expense related to this litigation was incurred in fiscal 2018 or 2017. At both September 30, 2018 and 2017, the Company had accrued $8.5 related to this matter that was included in “Other current liabilities” on the Combined Balance Sheets.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00"/>
          </w:cols>
          <w:pgMar w:left="240" w:top="460"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combined financial position,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combined financial position, results of operations or cash flows of the Company.</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Future minimum rental payments under noncancelable operating leases in effect as of September 30, 2018 were $2.6, $2.6, $2.6, $2.3, $2.2 and $5.4 for fiscal 2019, 2020, 2021, 2022, 2023 and thereafter, respectively.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12—Stock-Based Compensation</w:t>
      </w:r>
    </w:p>
    <w:p>
      <w:pPr>
        <w:spacing w:after="0" w:line="121"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The Company’s employees participated in Post’s 2012 Long-Term Incentive Plan (the “2012 Plan”) and Post’s 2016 Long-Term Incentive Plan (the “2016 Plan”). The following disclosures reflect the details of Post’s stock-based compensation plans and are not reflective of the Company’s stock-based compensation subsequent to the initial public offering of BellRing Brands, Inc. common stock. On February 3, 2012, Post established the 2012 Plan, which permitted the issuance of various stock-based compensation awards of up to 6.5 million shares of Post’s common stock. On January 28, 2016, Post established the 2016 Plan, which permitted the issuance of stock-based compensation awards of up to 2.4 million shares of Post’s common stock, which includes shares remaining to be issued under the 2012 Plan which were transfered to the 2016 Plan upon its establishment. Awards issued under the 2012 Plan and 2016 Plan have a maximum term of 10 years, provided, however, that the corporate governance and compensation committee of Post’s board of directors may, in its discretion, grant awards with a longer term to participants who are located outside of the U.S.</w:t>
      </w:r>
    </w:p>
    <w:p>
      <w:pPr>
        <w:spacing w:after="0" w:line="166"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Total compensation cost for Post’s non-cash and cash stock-based compensation awards recognized in the years ended September 30, 2018, 2017 and 2016 was $33.8, $30.7 and $25.6, respectively, and the related recognized deferred tax benefit for each of those periods was $7.8, $9.7 and $8.0, respectively. As of September 30, 2018, the total compensation cost related to Post’s non-vested awards not yet recognized was $55.5, which is expected to be recognized over a weighted-average period of 2.1 years. Expense allocated to Active Nutrition was $2.0, $1.6 and $0.9 for the years ended September 30, 2018, 2017 and 2016, respectively, which includes expense directly attributable to Active Nutrition’s employees, as well as allocations of certain Post employees (see Note 10). Expense specifically attributable to Active Nutrition’s employees was $1.9, $1.5 and $0.8 for the years ended September 30, 2018, 2017 and 2016, respectively.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60"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Information about Post’s stock options is summarized in the following table.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center"/>
              <w:ind w:left="133"/>
              <w:spacing w:after="0"/>
              <w:rPr>
                <w:sz w:val="20"/>
                <w:szCs w:val="20"/>
                <w:color w:val="auto"/>
              </w:rPr>
            </w:pPr>
            <w:r>
              <w:rPr>
                <w:rFonts w:ascii="Arial" w:cs="Arial" w:eastAsia="Arial" w:hAnsi="Arial"/>
                <w:sz w:val="14"/>
                <w:szCs w:val="14"/>
                <w:b w:val="1"/>
                <w:bCs w:val="1"/>
                <w:color w:val="auto"/>
                <w:w w:val="94"/>
              </w:rPr>
              <w:t>Weighted-</w:t>
            </w:r>
          </w:p>
        </w:tc>
        <w:tc>
          <w:tcPr>
            <w:tcW w:w="4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3"/>
            <w:vMerge w:val="restart"/>
          </w:tcPr>
          <w:p>
            <w:pPr>
              <w:jc w:val="center"/>
              <w:ind w:left="29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5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Stock Options</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Price Per</w:t>
            </w: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6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1320" w:type="dxa"/>
            <w:vAlign w:val="bottom"/>
            <w:gridSpan w:val="2"/>
          </w:tcPr>
          <w:p>
            <w:pPr>
              <w:jc w:val="center"/>
              <w:ind w:left="374"/>
              <w:spacing w:after="0"/>
              <w:rPr>
                <w:sz w:val="20"/>
                <w:szCs w:val="20"/>
                <w:color w:val="auto"/>
              </w:rPr>
            </w:pPr>
            <w:r>
              <w:rPr>
                <w:rFonts w:ascii="Arial" w:cs="Arial" w:eastAsia="Arial" w:hAnsi="Arial"/>
                <w:sz w:val="14"/>
                <w:szCs w:val="14"/>
                <w:b w:val="1"/>
                <w:bCs w:val="1"/>
                <w:color w:val="auto"/>
                <w:w w:val="92"/>
              </w:rPr>
              <w:t>Term in Years</w:t>
            </w:r>
          </w:p>
        </w:tc>
        <w:tc>
          <w:tcPr>
            <w:tcW w:w="46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September 30, 2017</w:t>
            </w:r>
          </w:p>
        </w:tc>
        <w:tc>
          <w:tcPr>
            <w:tcW w:w="1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4,198,500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45.36</w:t>
            </w: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Granted</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248,206</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80.04</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2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(128,999)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2500" w:type="dxa"/>
            <w:vAlign w:val="bottom"/>
            <w:gridSpan w:val="3"/>
          </w:tcPr>
          <w:p>
            <w:pPr>
              <w:jc w:val="right"/>
              <w:ind w:right="240"/>
              <w:spacing w:after="0"/>
              <w:rPr>
                <w:sz w:val="20"/>
                <w:szCs w:val="20"/>
                <w:color w:val="auto"/>
              </w:rPr>
            </w:pPr>
            <w:r>
              <w:rPr>
                <w:rFonts w:ascii="Arial" w:cs="Arial" w:eastAsia="Arial" w:hAnsi="Arial"/>
                <w:sz w:val="18"/>
                <w:szCs w:val="18"/>
                <w:color w:val="auto"/>
              </w:rPr>
              <w:t>(6,667)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71.32</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Outstanding at September 30, 2018</w:t>
            </w:r>
          </w:p>
        </w:tc>
        <w:tc>
          <w:tcPr>
            <w:tcW w:w="13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4,311,040</w:t>
            </w:r>
          </w:p>
        </w:tc>
        <w:tc>
          <w:tcPr>
            <w:tcW w:w="2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47.32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218.6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September 30, 2018</w:t>
            </w:r>
          </w:p>
        </w:tc>
        <w:tc>
          <w:tcPr>
            <w:tcW w:w="13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4,311,040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Exercisable at September 30, 2018</w:t>
            </w:r>
          </w:p>
        </w:tc>
        <w:tc>
          <w:tcPr>
            <w:tcW w:w="2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43.67</w:t>
            </w: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color w:val="auto"/>
              </w:rPr>
              <w:t>5.24</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198.3</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3,647,330</w:t>
            </w:r>
          </w:p>
        </w:tc>
        <w:tc>
          <w:tcPr>
            <w:tcW w:w="2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The fair value of each stock option was estimated on the date of grant using the Black-Scholes Model. Post uses the simplified method for estimating a stock option term as it does not have sufficient historical share options exercise experience upon which to estimate an expected term. The expected term is estimated based on the award’s vesting period and contractual term. Expected volatilities are based on historical volatility trends and other factors. The risk-free rate is the interpolated U.S. Treasury rate for a term equal to the expected term. The weighted-average assumptions and fair values for stock options granted during the years ended September 30, 2018, 2017 and 2016 are summarized in the table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5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7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w:t>
            </w:r>
          </w:p>
        </w:tc>
        <w:tc>
          <w:tcPr>
            <w:tcW w:w="30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3880" w:type="dxa"/>
            <w:vAlign w:val="bottom"/>
            <w:gridSpan w:val="3"/>
          </w:tcPr>
          <w:p>
            <w:pPr>
              <w:jc w:val="right"/>
              <w:ind w:right="180"/>
              <w:spacing w:after="0"/>
              <w:rPr>
                <w:sz w:val="20"/>
                <w:szCs w:val="20"/>
                <w:color w:val="auto"/>
              </w:rPr>
            </w:pPr>
            <w:r>
              <w:rPr>
                <w:rFonts w:ascii="Arial" w:cs="Arial" w:eastAsia="Arial" w:hAnsi="Arial"/>
                <w:sz w:val="18"/>
                <w:szCs w:val="18"/>
                <w:color w:val="auto"/>
              </w:rPr>
              <w:t>30.7%</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30.6%</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29.1%</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Expected dividends</w:t>
            </w:r>
          </w:p>
        </w:tc>
        <w:tc>
          <w:tcPr>
            <w:tcW w:w="3880" w:type="dxa"/>
            <w:vAlign w:val="bottom"/>
            <w:gridSpan w:val="3"/>
          </w:tcPr>
          <w:p>
            <w:pPr>
              <w:jc w:val="right"/>
              <w:ind w:right="180"/>
              <w:spacing w:after="0"/>
              <w:rPr>
                <w:sz w:val="20"/>
                <w:szCs w:val="20"/>
                <w:color w:val="auto"/>
              </w:rPr>
            </w:pPr>
            <w:r>
              <w:rPr>
                <w:rFonts w:ascii="Arial" w:cs="Arial" w:eastAsia="Arial" w:hAnsi="Arial"/>
                <w:sz w:val="18"/>
                <w:szCs w:val="18"/>
                <w:color w:val="auto"/>
              </w:rPr>
              <w:t>0%</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0%</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400" w:firstLine="441"/>
        <w:spacing w:after="0" w:line="286" w:lineRule="auto"/>
        <w:rPr>
          <w:sz w:val="20"/>
          <w:szCs w:val="20"/>
          <w:color w:val="auto"/>
        </w:rPr>
      </w:pPr>
      <w:r>
        <w:rPr>
          <w:rFonts w:ascii="Arial" w:cs="Arial" w:eastAsia="Arial" w:hAnsi="Arial"/>
          <w:sz w:val="17"/>
          <w:szCs w:val="17"/>
          <w:color w:val="auto"/>
        </w:rPr>
        <w:t>The total intrinsic value of stock options exercised was $4.7, $17.6 and $5.1 in the fiscal years ended September 30, 2018, 2017 and 2016, respectively. Expense allocated to Active Nutrition was $0.2 and $0.1 for the years ended September 30, 2018 and 2017, respectively. There was no expense allocated to Active Nutrition related to stock options for the year ended September 30, 2016.</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Information about Post’s restricted stock units is summarized in the following table.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Restricted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rPr>
              <w:t>Fair Value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59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Stock Units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2017</w:t>
            </w:r>
          </w:p>
        </w:tc>
        <w:tc>
          <w:tcPr>
            <w:tcW w:w="48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730,040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Granted</w:t>
            </w:r>
          </w:p>
        </w:tc>
        <w:tc>
          <w:tcPr>
            <w:tcW w:w="5600" w:type="dxa"/>
            <w:vAlign w:val="bottom"/>
            <w:gridSpan w:val="2"/>
          </w:tcPr>
          <w:p>
            <w:pPr>
              <w:jc w:val="right"/>
              <w:spacing w:after="0"/>
              <w:rPr>
                <w:sz w:val="20"/>
                <w:szCs w:val="20"/>
                <w:color w:val="auto"/>
              </w:rPr>
            </w:pPr>
            <w:r>
              <w:rPr>
                <w:rFonts w:ascii="Arial" w:cs="Arial" w:eastAsia="Arial" w:hAnsi="Arial"/>
                <w:sz w:val="18"/>
                <w:szCs w:val="18"/>
                <w:color w:val="auto"/>
              </w:rPr>
              <w:t>478,325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5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(213,824)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48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(52,673)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2018</w:t>
            </w:r>
          </w:p>
        </w:tc>
        <w:tc>
          <w:tcPr>
            <w:tcW w:w="48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941,868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900" w:type="dxa"/>
            <w:vAlign w:val="bottom"/>
            <w:gridSpan w:val="3"/>
          </w:tcPr>
          <w:p>
            <w:pPr>
              <w:jc w:val="right"/>
              <w:ind w:right="4160"/>
              <w:spacing w:after="0"/>
              <w:rPr>
                <w:sz w:val="20"/>
                <w:szCs w:val="20"/>
                <w:color w:val="auto"/>
              </w:rPr>
            </w:pPr>
            <w:r>
              <w:rPr>
                <w:rFonts w:ascii="Arial" w:cs="Arial" w:eastAsia="Arial" w:hAnsi="Arial"/>
                <w:sz w:val="18"/>
                <w:szCs w:val="18"/>
                <w:color w:val="auto"/>
              </w:rPr>
              <w:t>F-22</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The grant date fair value of each restricted stock unit award was determined based upon the closing price of Post’s common stock on the date of grant. The total vest date fair value of restricted stock units that vested during fiscal 2018, 2017 and 2016 was $17.4, $10.5 and $32.0, respectively.</w:t>
      </w:r>
    </w:p>
    <w:p>
      <w:pPr>
        <w:spacing w:after="0" w:line="124"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In fiscal 2018, 2017 and 2016, Post granted 13,300, 10,200 and 15,000 restricted stock units to the non-management members of its board of directors, respectively. Due to vesting provisions of these awards, Post determined that 11,400, 8,500 and 12,500 of these awards granted in fiscal 2018, 2017 and 2016, respectively, had subjective acceleration rights such that Post expensed the grant date fair value upon issuance and recognized $0.9 of related expense in the year ended September 30, 2018 and $0.7 in each of the years ended September 30, 2017 and 2016. Expense allocated to Active Nutrition was $1.6, $1.0 and $0.3 for the years ended September 30, 2018, 2017 and 2016, respectively.</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Settled Restricted Stock Units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Information about Post’s cash settled restricted stock units is summarized in the following table.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4180" w:type="dxa"/>
            <w:vAlign w:val="bottom"/>
            <w:gridSpan w:val="3"/>
            <w:vMerge w:val="restart"/>
          </w:tcPr>
          <w:p>
            <w:pPr>
              <w:jc w:val="center"/>
              <w:ind w:left="2639"/>
              <w:spacing w:after="0"/>
              <w:rPr>
                <w:sz w:val="20"/>
                <w:szCs w:val="20"/>
                <w:color w:val="auto"/>
              </w:rPr>
            </w:pPr>
            <w:r>
              <w:rPr>
                <w:rFonts w:ascii="Arial" w:cs="Arial" w:eastAsia="Arial" w:hAnsi="Arial"/>
                <w:sz w:val="14"/>
                <w:szCs w:val="14"/>
                <w:b w:val="1"/>
                <w:bCs w:val="1"/>
                <w:color w:val="auto"/>
                <w:w w:val="91"/>
              </w:rPr>
              <w:t>Cash Settled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41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60" w:type="dxa"/>
            <w:vAlign w:val="bottom"/>
            <w:gridSpan w:val="4"/>
          </w:tcPr>
          <w:p>
            <w:pPr>
              <w:jc w:val="center"/>
              <w:ind w:left="148"/>
              <w:spacing w:after="0" w:line="149" w:lineRule="exact"/>
              <w:rPr>
                <w:sz w:val="20"/>
                <w:szCs w:val="20"/>
                <w:color w:val="auto"/>
              </w:rPr>
            </w:pPr>
            <w:r>
              <w:rPr>
                <w:rFonts w:ascii="Arial" w:cs="Arial" w:eastAsia="Arial" w:hAnsi="Arial"/>
                <w:sz w:val="14"/>
                <w:szCs w:val="14"/>
                <w:b w:val="1"/>
                <w:bCs w:val="1"/>
                <w:color w:val="auto"/>
                <w:w w:val="94"/>
              </w:rPr>
              <w:t>Fair Value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Stock Units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2017</w:t>
            </w:r>
          </w:p>
        </w:tc>
        <w:tc>
          <w:tcPr>
            <w:tcW w:w="30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100,119</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Granted</w:t>
            </w:r>
          </w:p>
        </w:tc>
        <w:tc>
          <w:tcPr>
            <w:tcW w:w="30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4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(38,537)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306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(1,330)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2018</w:t>
            </w:r>
          </w:p>
        </w:tc>
        <w:tc>
          <w:tcPr>
            <w:tcW w:w="306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Cash settled restricted stock awards are liability awards and as such, their fair value is based upon the closing price of Post’s common stock for each reporting period, with the exception of 49,000 cash settled restricted stock units that are valued at the greater of the closing stock price or the grant price of $51.43. Cash used by Post to settle restricted stock units was $3.2, $4.1 and $5.9 for the years ended September 30, 2018, 2017 and 2016, respectively. Expense allocated to Active Nutrition was $0.2, $0.5 and $0.6 for the years ended September 30, 2018, 2017 and 2016, respectively.</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13—Information about Geographic Areas and Major Customers</w:t>
      </w:r>
    </w:p>
    <w:p>
      <w:pPr>
        <w:spacing w:after="0" w:line="121" w:lineRule="exact"/>
        <w:rPr>
          <w:sz w:val="20"/>
          <w:szCs w:val="20"/>
          <w:color w:val="auto"/>
        </w:rPr>
      </w:pPr>
    </w:p>
    <w:p>
      <w:pPr>
        <w:jc w:val="both"/>
        <w:ind w:left="200" w:right="460" w:firstLine="441"/>
        <w:spacing w:after="0" w:line="264" w:lineRule="auto"/>
        <w:rPr>
          <w:sz w:val="20"/>
          <w:szCs w:val="20"/>
          <w:color w:val="auto"/>
        </w:rPr>
      </w:pPr>
      <w:r>
        <w:rPr>
          <w:rFonts w:ascii="Arial" w:cs="Arial" w:eastAsia="Arial" w:hAnsi="Arial"/>
          <w:sz w:val="18"/>
          <w:szCs w:val="18"/>
          <w:color w:val="auto"/>
        </w:rPr>
        <w:t>The Company’s external revenues were primarily generated by sales within the U.S.; foreign sales were 15% of total fiscal 2018 net sales, of which 43%, the largest concentration, were within Europe. Sales are attributed to individual countries based on the address to which the product is shipped.</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As of September 30, 2018 and 2017, the majority of the Company’s tangible long-lived assets were located in Europe and had a net carrying value of $6.2 and $5.8, respectively, the remainder were located in the U.S.</w:t>
      </w:r>
    </w:p>
    <w:p>
      <w:pPr>
        <w:spacing w:after="0" w:line="170"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Two customers individually accounted for more than 10% of total net sales in each of the years ended September 30, 2018, 2017 and 2016. One customer accounted for $298.7, $230.8 and $146.4, or 36%, 32% and 25%, of total net sales in the years ended September 30, 2018, 2017 and 2016, respectively. The other customer accounted for $285.3, $243.0 and $187.4, or 35%, 34% and 33%, of total net sales in the years ended September 30, 2018, 2017 and 2016, respectively.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60" w:right="4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sales by product are shown in the following table.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120" w:type="dxa"/>
            <w:vAlign w:val="bottom"/>
            <w:gridSpan w:val="6"/>
          </w:tcPr>
          <w:p>
            <w:pPr>
              <w:ind w:left="20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2018</w:t>
            </w:r>
          </w:p>
        </w:tc>
        <w:tc>
          <w:tcPr>
            <w:tcW w:w="7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76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Shakes and other RTDs</w:t>
            </w:r>
          </w:p>
        </w:tc>
        <w:tc>
          <w:tcPr>
            <w:tcW w:w="5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$608.5</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$469.3</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$307.1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Powders</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114.9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116.9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126.3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Nutrition bars</w:t>
            </w:r>
          </w:p>
        </w:tc>
        <w:tc>
          <w:tcPr>
            <w:tcW w:w="5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Other</w:t>
            </w:r>
          </w:p>
        </w:tc>
        <w:tc>
          <w:tcPr>
            <w:tcW w:w="54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827.5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713.2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574.7</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900" w:type="dxa"/>
            <w:vAlign w:val="bottom"/>
            <w:gridSpan w:val="2"/>
          </w:tcPr>
          <w:p>
            <w:pPr>
              <w:jc w:val="right"/>
              <w:ind w:right="3659"/>
              <w:spacing w:after="0"/>
              <w:rPr>
                <w:sz w:val="20"/>
                <w:szCs w:val="20"/>
                <w:color w:val="auto"/>
              </w:rPr>
            </w:pPr>
            <w:r>
              <w:rPr>
                <w:rFonts w:ascii="Arial" w:cs="Arial" w:eastAsia="Arial" w:hAnsi="Arial"/>
                <w:sz w:val="18"/>
                <w:szCs w:val="18"/>
                <w:color w:val="auto"/>
              </w:rPr>
              <w:t>F-24</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STATEMENTS OF OPERATIONS AND COMPREHENSIVE INCOME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Nine Months Ended</w:t>
      </w:r>
    </w:p>
    <w:p>
      <w:pPr>
        <w:jc w:val="center"/>
        <w:ind w:left="94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639.9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404.8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403.6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Earnings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126.5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Net Earnings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Combined Financial Statements (Unaudited).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240" w:top="460" w:right="4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BALANCE SHEETS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560" w:type="dxa"/>
            <w:vAlign w:val="bottom"/>
            <w:gridSpan w:val="4"/>
          </w:tcPr>
          <w:p>
            <w:pPr>
              <w:ind w:left="760"/>
              <w:spacing w:after="0"/>
              <w:rPr>
                <w:sz w:val="20"/>
                <w:szCs w:val="20"/>
                <w:color w:val="auto"/>
              </w:rPr>
            </w:pPr>
            <w:r>
              <w:rPr>
                <w:rFonts w:ascii="Arial" w:cs="Arial" w:eastAsia="Arial" w:hAnsi="Arial"/>
                <w:sz w:val="14"/>
                <w:szCs w:val="14"/>
                <w:b w:val="1"/>
                <w:bCs w:val="1"/>
                <w:color w:val="auto"/>
              </w:rPr>
              <w:t>June 30,</w:t>
            </w:r>
          </w:p>
        </w:tc>
        <w:tc>
          <w:tcPr>
            <w:tcW w:w="1240" w:type="dxa"/>
            <w:vAlign w:val="bottom"/>
            <w:gridSpan w:val="4"/>
          </w:tcPr>
          <w:p>
            <w:pPr>
              <w:ind w:left="2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shd w:val="clear" w:color="auto" w:fill="CCEEFF"/>
          </w:tcPr>
          <w:p>
            <w:pPr>
              <w:ind w:left="5100"/>
              <w:spacing w:after="0" w:line="196" w:lineRule="exact"/>
              <w:rPr>
                <w:sz w:val="20"/>
                <w:szCs w:val="20"/>
                <w:color w:val="auto"/>
              </w:rPr>
            </w:pPr>
            <w:r>
              <w:rPr>
                <w:rFonts w:ascii="Arial" w:cs="Arial" w:eastAsia="Arial" w:hAnsi="Arial"/>
                <w:sz w:val="18"/>
                <w:szCs w:val="18"/>
                <w:b w:val="1"/>
                <w:bCs w:val="1"/>
                <w:color w:val="auto"/>
              </w:rPr>
              <w:t>ASSETS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218.2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Property,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302.1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597.6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ind w:left="3420"/>
              <w:spacing w:after="0"/>
              <w:rPr>
                <w:sz w:val="20"/>
                <w:szCs w:val="20"/>
                <w:color w:val="auto"/>
              </w:rPr>
            </w:pPr>
            <w:r>
              <w:rPr>
                <w:rFonts w:ascii="Arial" w:cs="Arial" w:eastAsia="Arial" w:hAnsi="Arial"/>
                <w:sz w:val="18"/>
                <w:szCs w:val="18"/>
                <w:b w:val="1"/>
                <w:bCs w:val="1"/>
                <w:color w:val="auto"/>
              </w:rPr>
              <w:t>LIABILITIES AND PARENT COMPANY EQUITY</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Deferred income taxes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2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106.6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Parent Company Equity</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Net parent investment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492.8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700"/>
              <w:spacing w:after="0"/>
              <w:rPr>
                <w:sz w:val="20"/>
                <w:szCs w:val="20"/>
                <w:color w:val="auto"/>
              </w:rPr>
            </w:pPr>
            <w:r>
              <w:rPr>
                <w:rFonts w:ascii="Arial" w:cs="Arial" w:eastAsia="Arial" w:hAnsi="Arial"/>
                <w:sz w:val="18"/>
                <w:szCs w:val="18"/>
                <w:b w:val="1"/>
                <w:bCs w:val="1"/>
                <w:color w:val="auto"/>
              </w:rPr>
              <w:t>Total Parent Company Equity</w:t>
            </w:r>
          </w:p>
        </w:tc>
        <w:tc>
          <w:tcPr>
            <w:tcW w:w="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491.0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Parent Company Equity</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597.6</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Combined Financial Statements (Unaudited).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240" w:top="460" w:right="41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STATEMENTS OF CASH FLOWS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Net Earnings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96.4</w:t>
            </w:r>
          </w:p>
        </w:tc>
        <w:tc>
          <w:tcPr>
            <w:tcW w:w="24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flow provided by operating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allocated expense from parent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Other changes in operating assets and liabilities: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receivables, net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(Increase) decrease in inventories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(52.4)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prepaid expenses and other current assets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Decrease in other assets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(Decrease) increase in accounts payable and other current liabilities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Increase in non-current liabilities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15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vMerge w:val="restart"/>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vMerge w:val="continue"/>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Change in net parent investment</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(65.0)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(65.0)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40" w:type="dxa"/>
            <w:vAlign w:val="bottom"/>
            <w:gridSpan w:val="2"/>
            <w:vMerge w:val="continue"/>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Combined Financial Statements (Unaudited).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240" w:top="460" w:right="4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STATEMENTS OF PARENT COMPANY EQUITY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r>
        <w:rPr>
          <w:rFonts w:ascii="Arial" w:cs="Arial" w:eastAsia="Arial" w:hAnsi="Arial"/>
          <w:sz w:val="18"/>
          <w:szCs w:val="18"/>
          <w:color w:val="auto"/>
        </w:rPr>
        <w:t>)</w:t>
      </w:r>
    </w:p>
    <w:p>
      <w:pPr>
        <w:spacing w:after="0" w:line="229"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As Of and For The</w:t>
      </w:r>
    </w:p>
    <w:p>
      <w:pPr>
        <w:jc w:val="center"/>
        <w:ind w:left="9400"/>
        <w:spacing w:after="0" w:line="226" w:lineRule="auto"/>
        <w:rPr>
          <w:sz w:val="20"/>
          <w:szCs w:val="20"/>
          <w:color w:val="auto"/>
        </w:rPr>
      </w:pPr>
      <w:r>
        <w:rPr>
          <w:rFonts w:ascii="Arial" w:cs="Arial" w:eastAsia="Arial" w:hAnsi="Arial"/>
          <w:sz w:val="14"/>
          <w:szCs w:val="14"/>
          <w:b w:val="1"/>
          <w:bCs w:val="1"/>
          <w:color w:val="auto"/>
        </w:rPr>
        <w:t>Nine Months Ended</w:t>
      </w:r>
    </w:p>
    <w:p>
      <w:pPr>
        <w:jc w:val="center"/>
        <w:ind w:left="9400"/>
        <w:spacing w:after="0" w:line="232" w:lineRule="auto"/>
        <w:rPr>
          <w:sz w:val="20"/>
          <w:szCs w:val="20"/>
          <w:color w:val="auto"/>
        </w:rPr>
      </w:pPr>
      <w:r>
        <w:rPr>
          <w:rFonts w:ascii="Arial" w:cs="Arial" w:eastAsia="Arial" w:hAnsi="Arial"/>
          <w:sz w:val="14"/>
          <w:szCs w:val="14"/>
          <w:b w:val="1"/>
          <w:bCs w:val="1"/>
          <w:color w:val="auto"/>
        </w:rPr>
        <w:t>June 30,</w:t>
      </w: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Parent Investment</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Beginning of period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$ 453.1</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$ 485.4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earnings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Net decrease in net parent investment</w:t>
            </w:r>
          </w:p>
        </w:tc>
        <w:tc>
          <w:tcPr>
            <w:tcW w:w="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(56.7)</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700"/>
              <w:spacing w:after="0"/>
              <w:rPr>
                <w:sz w:val="20"/>
                <w:szCs w:val="20"/>
                <w:color w:val="auto"/>
              </w:rPr>
            </w:pPr>
            <w:r>
              <w:rPr>
                <w:rFonts w:ascii="Arial" w:cs="Arial" w:eastAsia="Arial" w:hAnsi="Arial"/>
                <w:sz w:val="18"/>
                <w:szCs w:val="18"/>
                <w:b w:val="1"/>
                <w:bCs w:val="1"/>
                <w:color w:val="auto"/>
              </w:rPr>
              <w:t>Total Parent Company Equity</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$ 491.0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$ 457.6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240" w:top="460" w:right="41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COMBINED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in millions)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1—BASIS OF PRESENTATION</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Active Nutrition business of Post (herein referred to as “Active Nutrition” or “the Company”) is a provider of highly nutritious, great-tasting nutrition products including ready-to-drink (“RTD”) protein shakes, other RTD beverages, powders, nutrition bars and supplements in the convenient nutrition category. The Company has a single operating segment.</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These condensed combined financial statements have been prepared on a stand-alone basis and are derived from the accounting records of Post Holdings, Inc. (“Post”). The condensed combined financial statements reflect the historical results of operations, financial position and cash flows of Active Nutrition and the allocation to the Company of certain Post corporate expenses. For the purposes of these financial statements, income taxes have been computed for the Company on a stand-alone, separate tax return basis.</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Transactions between the Company and Post and its subsidiaries (excluding the Company) are included in these financial statements. All intercompany transactions between the Company and Post and its subsidiaries (excluding the Company) are considered to be effectively settled for cash, excluding the allocation of certain Post non-cash corporate expenses. The total net effect of the settlement of these intercompany transactions is reflected in the Condensed Combined Statements of Cash Flows as “Change in net parent investment” within financing activities and on the Condensed Combined Balance Sheets as “Net parent investment.”</w:t>
      </w:r>
    </w:p>
    <w:p>
      <w:pPr>
        <w:spacing w:after="0" w:line="188" w:lineRule="exact"/>
        <w:rPr>
          <w:sz w:val="20"/>
          <w:szCs w:val="20"/>
          <w:color w:val="auto"/>
        </w:rPr>
      </w:pPr>
    </w:p>
    <w:p>
      <w:pPr>
        <w:ind w:left="200" w:right="600" w:firstLine="441"/>
        <w:spacing w:after="0" w:line="286" w:lineRule="auto"/>
        <w:rPr>
          <w:sz w:val="20"/>
          <w:szCs w:val="20"/>
          <w:color w:val="auto"/>
        </w:rPr>
      </w:pPr>
      <w:r>
        <w:rPr>
          <w:rFonts w:ascii="Arial" w:cs="Arial" w:eastAsia="Arial" w:hAnsi="Arial"/>
          <w:sz w:val="17"/>
          <w:szCs w:val="17"/>
          <w:color w:val="auto"/>
        </w:rPr>
        <w:t>In the opinion of the Company’s management, the assumptions underlying the historical condensed combined financial statements of the Company, including the basis on which the expenses have been allocated from Post, are reasonable. However, the allocations may not reflect the expenses that the Company would have incurred as a separate company for the periods presented.</w:t>
      </w:r>
    </w:p>
    <w:p>
      <w:pPr>
        <w:spacing w:after="0" w:line="166"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accompanying unaudited condensed combined financial statements have been prepared in accordance with accounting principles generally accepted in the United States (“GAAP”) for interim financial information and the rules and regulations of the Securities and Exchange Commission (the “SEC”). Accordingly, they do not include all of the information and notes required by GAAP for complete financial statements. In the opinion of management, the accompanying unaudited condensed combined financial statements include all adjustments (consisting of only normal, recurring adjustments) considered necessary for a fair statement of the Company’s results of operations, comprehensive income, financial position, cash flows and parent company equity for the interim periods presented. Interim results are not necessarily indicative of the results that may be expected for the full year. The accompanying unaudited condensed combined financial statements should be read in conjunction with the combined annual financial statements and notes thereto for the years ended September 30, 2018, 2017 and 2016. Subsequent events have been assessed through the submission date and no events were identified to report or record.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2—RECENTLY ISSUED AND ADOPTED ACCOUNTING STANDARDS</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Company has considered all new accounting pronouncements and has concluded there are no new pronouncements (other than the ones described below) that had or will have an impact on the Company’s results of operations, financial position, cash flows or parent company equity based on current information.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Issued</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 2016-02, “Leases (Topic 842).” This ASU requires a company to recognize right-of-use assets and lease liabilities on its balance sheet and disclose key information about leasing arrangements. ASU 2016-02</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24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offers specific accounting guidance for lessees, lessors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“Leases (Topic 842): Targeted Improvements.” This ASU provides an additional transition method by allowing entities to initially apply the new lease standard at the date of adoption with a cumulative effect adjustment to the opening balances of retained earnings in the period of adoption. This ASU also gives lessors the option of electing, as a practical expedient by class of underlying asset, not to separate the lease and non-lease components of a contract when those lease contracts meet certain criteria. These ASUs are effective for annual periods beginning after December 15, 2018 and interim periods therein (i.e., Active Nutrition’s financial statements for the year ending September 30, 2020), with early adoption permitted. The Company will adopt these ASUs on October 1, 2019, and it expects to use the modified retrospective method of adoption. The Company has selected a software vendor and is in the process of assessing its lease agreements to identify those that fall within the scope of these ASUs. These ASUs will result in an increase in both assets and liabilities; however, the Company is unable to quantify the impact at this time. In addition, the Company expects to provide expanded disclosures upon adoption to present additional information related to its leasing arrangements.</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August 2018, the FASB issued ASU 2018-15, “Intangibles—Goodwill and Other—Internal-Use Software (Subtopic 350-40): Customer’s Accounting for Implementation Costs Incurred in a Cloud Computing Arrangement that is a Service Contract.” This ASU largely aligns the guidance for recognizing implementation costs incurred in a cloud computing arrangement that is a service contract with that for recognizing implementation costs incurred to develop or obtain internal-use software, including hosting arrangements that include an internal-use software license. The Company adopted this ASU on October 1, 2018 on a prospective basis, as permitted by the ASU. This change did not have a material impact on the Company’s financial statements.</w:t>
      </w:r>
    </w:p>
    <w:p>
      <w:pPr>
        <w:spacing w:after="0" w:line="19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May 2014, the FASB issued ASU 2014-09, “Revenue from Contracts with Customers (Topic 606),” which superseded all existing revenue recognition guidance under GAAP. This ASU’s core principle is that a company will recognize revenue when it transfers promised goods or services to a customer in an amount that reflects the consideration to which the company expects to be entitled in exchange for those goods or services. This ASU also calls for additional disclosures around the nature, amount, timing and uncertainty of revenue and cash flows arising from contracts with customers. The Company adopted this ASU on October 1, 2018 and used the modified retrospective transition method of adoption. The adoption of this ASU did not have a material impact on the Company’s financial statements as the impact of this ASU was limited to classification changes of $5.3 within the statement of operations and comprehensive income. For additional information, refer to Note 3.</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3—REVENUE FROM CONTRACTS WITH CUSTOMERS</w:t>
      </w:r>
    </w:p>
    <w:p>
      <w:pPr>
        <w:spacing w:after="0" w:line="12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In conjunction with the adoption of ASU 2014-09 (see Note 2), the Company updated its policy for recognizing revenue. The Company utilized a comprehensive approach to assess the impact of this ASU by reviewing its customer contract portfolio and existing accounting policies and procedures in order to identify potential differences that would result from applying the new requirements of Accounting Standards Codification (“ASC”) Topic 606, “Revenue from Contracts with Customers.” A summary of the updated policy is included below.</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The Company recognizes revenue when performance obligations have been satisfied by transferring control of the goods to customers. Control is generally transferred upon delivery of the goods to the customer. At the time of delivery, the customer is invoiced using previously agreed-upon credit terms. Shipping and/or handling costs that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occur before the customer obtains control of the goods are deemed fulfillment activities and are accounted for as fulfillment costs. The Company’s contracts with customers generally contain one performance obligation.</w:t>
      </w:r>
    </w:p>
    <w:p>
      <w:pPr>
        <w:spacing w:after="0" w:line="170"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Many of the Company’s contracts with customers include some form of variable consideration. The most common forms of variable consideration are trade promotions, rebates and discounts. Variable consideration is treated as a reduction of revenue at the time product revenue is recognized. Depending on the nature of the variable consideration, the Company primarily uses the “expected value” method to determine variable consideration. The Company does not believe that there will be significant changes to its estimates of variable consideration when any uncertainties are resolved with customers. The Company reviews and updates estimates of variable consideration each period. Uncertainties related to the estimates of variable consideration are resolved in a short time frame and do not require any additional constraint on variable consideration.</w:t>
      </w:r>
    </w:p>
    <w:p>
      <w:pPr>
        <w:spacing w:after="0" w:line="165"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The Company’s products are sold with no right of return, except in the case of goods which do not meet product specifications or are damaged. No services beyond this assurance-type warranty are provided to customers. Customer remedies include either a cash refund or an exchange of the product. As a result, the right of return and related refund liability is estimated and recorded as a reduction of revenue based on historical sales return experience.</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Impacts of Adoption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used the modified retrospective transition method of adoption and elected the following practical expedients in accordance with</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ASC Topic 606:</w:t>
      </w:r>
    </w:p>
    <w:p>
      <w:pPr>
        <w:spacing w:after="0" w:line="116" w:lineRule="exact"/>
        <w:rPr>
          <w:sz w:val="20"/>
          <w:szCs w:val="20"/>
          <w:color w:val="auto"/>
        </w:rPr>
      </w:pPr>
    </w:p>
    <w:p>
      <w:pPr>
        <w:ind w:left="1180" w:right="80" w:hanging="544"/>
        <w:spacing w:after="0" w:line="264" w:lineRule="auto"/>
        <w:tabs>
          <w:tab w:leader="none" w:pos="118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Significant financing component</w:t>
      </w:r>
      <w:r>
        <w:rPr>
          <w:rFonts w:ascii="Arial" w:cs="Arial" w:eastAsia="Arial" w:hAnsi="Arial"/>
          <w:sz w:val="18"/>
          <w:szCs w:val="18"/>
          <w:color w:val="auto"/>
        </w:rPr>
        <w:t>—The Company elected not to adjust the promised amount of consideration for the effects of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component as the Company expects, at contract inception, the period between the transfer of a promised good or service to a customer and when the customer pays for that good or service will be one year or less.</w:t>
      </w:r>
    </w:p>
    <w:p>
      <w:pPr>
        <w:spacing w:after="0" w:line="86" w:lineRule="exact"/>
        <w:rPr>
          <w:rFonts w:ascii="Arial" w:cs="Arial" w:eastAsia="Arial" w:hAnsi="Arial"/>
          <w:sz w:val="18"/>
          <w:szCs w:val="18"/>
          <w:color w:val="auto"/>
        </w:rPr>
      </w:pPr>
    </w:p>
    <w:p>
      <w:pPr>
        <w:ind w:left="1180" w:right="360" w:hanging="544"/>
        <w:spacing w:after="0" w:line="277" w:lineRule="auto"/>
        <w:tabs>
          <w:tab w:leader="none" w:pos="118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Shipping and handling costs</w:t>
      </w:r>
      <w:r>
        <w:rPr>
          <w:rFonts w:ascii="Arial" w:cs="Arial" w:eastAsia="Arial" w:hAnsi="Arial"/>
          <w:sz w:val="18"/>
          <w:szCs w:val="18"/>
          <w:color w:val="auto"/>
        </w:rPr>
        <w:t>—The Company elected to account for shipping and handling activities that occur before the customer has</w:t>
      </w:r>
      <w:r>
        <w:rPr>
          <w:rFonts w:ascii="Arial" w:cs="Arial" w:eastAsia="Arial" w:hAnsi="Arial"/>
          <w:sz w:val="18"/>
          <w:szCs w:val="18"/>
          <w:i w:val="1"/>
          <w:iCs w:val="1"/>
          <w:color w:val="auto"/>
        </w:rPr>
        <w:t xml:space="preserve"> </w:t>
      </w:r>
      <w:r>
        <w:rPr>
          <w:rFonts w:ascii="Arial" w:cs="Arial" w:eastAsia="Arial" w:hAnsi="Arial"/>
          <w:sz w:val="18"/>
          <w:szCs w:val="18"/>
          <w:color w:val="auto"/>
        </w:rPr>
        <w:t>obtained control of a good as fulfillment activities (i.e., an expense), rather than as promised services.</w:t>
      </w:r>
    </w:p>
    <w:p>
      <w:pPr>
        <w:spacing w:after="0" w:line="75" w:lineRule="exact"/>
        <w:rPr>
          <w:rFonts w:ascii="Arial" w:cs="Arial" w:eastAsia="Arial" w:hAnsi="Arial"/>
          <w:sz w:val="18"/>
          <w:szCs w:val="18"/>
          <w:color w:val="auto"/>
        </w:rPr>
      </w:pPr>
    </w:p>
    <w:p>
      <w:pPr>
        <w:ind w:left="1180" w:right="340" w:hanging="544"/>
        <w:spacing w:after="0" w:line="264" w:lineRule="auto"/>
        <w:tabs>
          <w:tab w:leader="none" w:pos="118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Measurement of transaction price</w:t>
      </w:r>
      <w:r>
        <w:rPr>
          <w:rFonts w:ascii="Arial" w:cs="Arial" w:eastAsia="Arial" w:hAnsi="Arial"/>
          <w:sz w:val="18"/>
          <w:szCs w:val="18"/>
          <w:color w:val="auto"/>
        </w:rPr>
        <w:t>—The Company elected to exclude from the measurement of transaction price all taxes assessed by a</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authority that are both imposed on and concurrent with a specific revenue-producing transaction and collected by the Company from a customer for sales taxes.</w:t>
      </w:r>
    </w:p>
    <w:p>
      <w:pPr>
        <w:spacing w:after="0" w:line="18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following tables summarize the impact of the Company’s adoption of ASC Topic 606 on a modified retrospective basis in the Company’s Condensed Combined Statement of Operations and Comprehensive Income. As a result of the adoption, certain payments to customers totaling $5.3 in the nine months ended June 30, 2019 previously classified in “Selling, general, and administrative expenses” were classified as “Net Sales” in the Condensed Combined Statement of Operations and Comprehensive Income. These payments to customers relate to trade advertisements that support the Company’s sales to customers. In accordance with ASC Topic 606, these payments were determined not to be distinct within the customer contracts and, as such, require classification within net sales. No changes to the balance sheet were required by the adoption of ASC Topic 606.</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6"/>
          </w:tcPr>
          <w:p>
            <w:pPr>
              <w:ind w:left="380"/>
              <w:spacing w:after="0"/>
              <w:rPr>
                <w:sz w:val="20"/>
                <w:szCs w:val="20"/>
                <w:color w:val="auto"/>
              </w:rPr>
            </w:pPr>
            <w:r>
              <w:rPr>
                <w:rFonts w:ascii="Arial" w:cs="Arial" w:eastAsia="Arial" w:hAnsi="Arial"/>
                <w:sz w:val="13"/>
                <w:szCs w:val="13"/>
                <w:b w:val="1"/>
                <w:bCs w:val="1"/>
                <w:color w:val="auto"/>
                <w:w w:val="93"/>
              </w:rPr>
              <w:t>Nine Months Ended June 30, 2019</w:t>
            </w:r>
          </w:p>
        </w:tc>
        <w:tc>
          <w:tcPr>
            <w:tcW w:w="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10"/>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68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w w:val="92"/>
              </w:rPr>
              <w:t>As Reported</w:t>
            </w:r>
          </w:p>
        </w:tc>
        <w:tc>
          <w:tcPr>
            <w:tcW w:w="1160" w:type="dxa"/>
            <w:vAlign w:val="bottom"/>
            <w:gridSpan w:val="3"/>
          </w:tcPr>
          <w:p>
            <w:pPr>
              <w:ind w:left="480"/>
              <w:spacing w:after="0" w:line="110" w:lineRule="exact"/>
              <w:rPr>
                <w:sz w:val="20"/>
                <w:szCs w:val="20"/>
                <w:color w:val="auto"/>
              </w:rPr>
            </w:pPr>
            <w:r>
              <w:rPr>
                <w:rFonts w:ascii="Arial" w:cs="Arial" w:eastAsia="Arial" w:hAnsi="Arial"/>
                <w:sz w:val="12"/>
                <w:szCs w:val="12"/>
                <w:b w:val="1"/>
                <w:bCs w:val="1"/>
                <w:color w:val="auto"/>
                <w:w w:val="92"/>
              </w:rPr>
              <w:t>As Reported</w:t>
            </w: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w w:val="95"/>
              </w:rPr>
              <w:t>Under</w:t>
            </w:r>
          </w:p>
        </w:tc>
        <w:tc>
          <w:tcPr>
            <w:tcW w:w="48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92"/>
              </w:rPr>
              <w:t>Under Prior</w:t>
            </w:r>
          </w:p>
        </w:tc>
        <w:tc>
          <w:tcPr>
            <w:tcW w:w="1120" w:type="dxa"/>
            <w:vAlign w:val="bottom"/>
            <w:gridSpan w:val="4"/>
          </w:tcPr>
          <w:p>
            <w:pPr>
              <w:ind w:left="480"/>
              <w:spacing w:after="0" w:line="135" w:lineRule="exact"/>
              <w:rPr>
                <w:sz w:val="20"/>
                <w:szCs w:val="20"/>
                <w:color w:val="auto"/>
              </w:rPr>
            </w:pPr>
            <w:r>
              <w:rPr>
                <w:rFonts w:ascii="Arial" w:cs="Arial" w:eastAsia="Arial" w:hAnsi="Arial"/>
                <w:sz w:val="13"/>
                <w:szCs w:val="13"/>
                <w:b w:val="1"/>
                <w:bCs w:val="1"/>
                <w:color w:val="auto"/>
              </w:rPr>
              <w:t>Impact of</w:t>
            </w:r>
          </w:p>
        </w:tc>
      </w:tr>
      <w:tr>
        <w:trPr>
          <w:trHeight w:val="153"/>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68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w w:val="93"/>
              </w:rPr>
              <w:t>Topic 606</w:t>
            </w:r>
          </w:p>
        </w:tc>
        <w:tc>
          <w:tcPr>
            <w:tcW w:w="48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Guidance</w:t>
            </w:r>
          </w:p>
        </w:tc>
        <w:tc>
          <w:tcPr>
            <w:tcW w:w="48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rPr>
              <w:t>Adoption</w:t>
            </w: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3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(5.3)</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Cost of goods sold</w:t>
            </w:r>
          </w:p>
        </w:tc>
        <w:tc>
          <w:tcPr>
            <w:tcW w:w="3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97.3</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Earnings before Income Taxes</w:t>
            </w:r>
          </w:p>
        </w:tc>
        <w:tc>
          <w:tcPr>
            <w:tcW w:w="38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920" w:type="dxa"/>
            <w:vAlign w:val="bottom"/>
            <w:gridSpan w:val="2"/>
          </w:tcPr>
          <w:p>
            <w:pPr>
              <w:ind w:left="1060"/>
              <w:spacing w:after="0"/>
              <w:rPr>
                <w:sz w:val="20"/>
                <w:szCs w:val="20"/>
                <w:color w:val="auto"/>
              </w:rPr>
            </w:pPr>
            <w:r>
              <w:rPr>
                <w:rFonts w:ascii="Arial" w:cs="Arial" w:eastAsia="Arial" w:hAnsi="Arial"/>
                <w:sz w:val="18"/>
                <w:szCs w:val="18"/>
                <w:color w:val="auto"/>
              </w:rPr>
              <w:t>F-31</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17"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color w:val="auto"/>
        </w:rPr>
        <w:t>The following table presents net sales by product. The amounts for the nine months ended June 30, 2019 are presented under ASC Topic 606, “Revenue from Contracts with Customers” and the amounts for the nine months ended June 30, 2018 are presented under ASC Topic 605, “Revenue Recognition.”</w:t>
      </w:r>
    </w:p>
    <w:p>
      <w:pPr>
        <w:spacing w:after="0" w:line="200"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Nine Months Ended</w:t>
      </w:r>
    </w:p>
    <w:p>
      <w:pPr>
        <w:jc w:val="center"/>
        <w:ind w:left="95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Shakes and other RTD beverages</w:t>
            </w:r>
          </w:p>
        </w:tc>
        <w:tc>
          <w:tcPr>
            <w:tcW w:w="36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$ 493.6</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$ 439.0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Powders</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87.4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Nutrition bars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w:t>
            </w:r>
          </w:p>
        </w:tc>
        <w:tc>
          <w:tcPr>
            <w:tcW w:w="36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Sales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$ 639.9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$ 607.6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4—INCOME TAXES</w:t>
      </w:r>
    </w:p>
    <w:p>
      <w:pPr>
        <w:spacing w:after="0" w:line="12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effective income tax rate was 23.8% and 15.8% for the nine months ended June 30, 2019 and 2018, respectively. In accordance with ASC Topic 740, “Income Taxes,” the Company records income tax expense for interim periods using the estimated annual effective income tax rate for the full fiscal year adjusted for the impact of discrete items occurring during the interim periods.</w:t>
      </w:r>
    </w:p>
    <w:p>
      <w:pPr>
        <w:spacing w:after="0" w:line="181"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The effective income tax rate in the nine months ended June 30, 2018 was impacted by the Tax Cuts and Jobs Act (the “Tax Act”), which was enacted on December 22, 2017. The Tax Act resulted in significant impacts to the Company’s accounting for income taxes, with the most significant of these impacts resulting from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went into effect for the Company’s 2019 tax year and was prorated with the pre-December 22, 2017 U.S. federal corporate income tax rate of 35% for the Company’s 2018 tax year. This proration resulted in a blended U.S. federal corporate income tax rate of 24.5% for fiscal 2018. During the nine months ended June 30, 2018, the Company (i) remeasured its existing deferred tax assets and liabilities considering both the 2018 fiscal year blended rate and the 21% rate for periods beyond fiscal 2018 and recorded a tax benefit of $9.9 and (ii) calculated the one-time transition tax and recorded tax expense of $0.5. Full expensing of certain depreciable assets resulted in temporary differences, which were analyzed throughout fiscal 2018 as assets were placed in service.</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5—INVENTORIES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020" w:type="dxa"/>
            <w:vAlign w:val="bottom"/>
            <w:gridSpan w:val="4"/>
          </w:tcPr>
          <w:p>
            <w:pPr>
              <w:ind w:left="60"/>
              <w:spacing w:after="0"/>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5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Work in process</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6—PROPERTY, NET</w:t>
            </w:r>
          </w:p>
        </w:tc>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800" w:type="dxa"/>
            <w:vAlign w:val="bottom"/>
            <w:gridSpan w:val="2"/>
            <w:vMerge w:val="continue"/>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5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Property, at cost</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280" w:type="dxa"/>
            <w:vAlign w:val="bottom"/>
            <w:gridSpan w:val="3"/>
          </w:tcPr>
          <w:p>
            <w:pPr>
              <w:jc w:val="right"/>
              <w:ind w:right="3325"/>
              <w:spacing w:after="0"/>
              <w:rPr>
                <w:sz w:val="20"/>
                <w:szCs w:val="20"/>
                <w:color w:val="auto"/>
              </w:rPr>
            </w:pPr>
            <w:r>
              <w:rPr>
                <w:rFonts w:ascii="Arial" w:cs="Arial" w:eastAsia="Arial" w:hAnsi="Arial"/>
                <w:sz w:val="18"/>
                <w:szCs w:val="18"/>
                <w:color w:val="auto"/>
              </w:rPr>
              <w:t>F-32</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7—INTANGIBLE ASSETS,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intangible assets subject to amortization are as follows:</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September 30, 2018</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80" w:type="dxa"/>
            <w:vAlign w:val="bottom"/>
          </w:tcPr>
          <w:p>
            <w:pPr>
              <w:spacing w:after="0"/>
              <w:rPr>
                <w:sz w:val="10"/>
                <w:szCs w:val="10"/>
                <w:color w:val="auto"/>
              </w:rPr>
            </w:pPr>
          </w:p>
        </w:tc>
        <w:tc>
          <w:tcPr>
            <w:tcW w:w="5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1280" w:type="dxa"/>
            <w:vAlign w:val="bottom"/>
            <w:gridSpan w:val="4"/>
          </w:tcPr>
          <w:p>
            <w:pPr>
              <w:jc w:val="right"/>
              <w:ind w:right="12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520" w:type="dxa"/>
            <w:vAlign w:val="bottom"/>
          </w:tcPr>
          <w:p>
            <w:pPr>
              <w:jc w:val="right"/>
              <w:ind w:right="76"/>
              <w:spacing w:after="0" w:line="119" w:lineRule="exact"/>
              <w:rPr>
                <w:sz w:val="20"/>
                <w:szCs w:val="20"/>
                <w:color w:val="auto"/>
              </w:rPr>
            </w:pPr>
            <w:r>
              <w:rPr>
                <w:rFonts w:ascii="Arial" w:cs="Arial" w:eastAsia="Arial" w:hAnsi="Arial"/>
                <w:sz w:val="13"/>
                <w:szCs w:val="13"/>
                <w:b w:val="1"/>
                <w:bCs w:val="1"/>
                <w:color w:val="auto"/>
              </w:rPr>
              <w:t>Net</w:t>
            </w:r>
          </w:p>
        </w:tc>
        <w:tc>
          <w:tcPr>
            <w:tcW w:w="260" w:type="dxa"/>
            <w:vAlign w:val="bottom"/>
          </w:tcPr>
          <w:p>
            <w:pPr>
              <w:spacing w:after="0"/>
              <w:rPr>
                <w:sz w:val="10"/>
                <w:szCs w:val="10"/>
                <w:color w:val="auto"/>
              </w:rPr>
            </w:pPr>
          </w:p>
        </w:tc>
        <w:tc>
          <w:tcPr>
            <w:tcW w:w="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1340" w:type="dxa"/>
            <w:vAlign w:val="bottom"/>
            <w:gridSpan w:val="4"/>
          </w:tcPr>
          <w:p>
            <w:pPr>
              <w:ind w:left="28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580" w:type="dxa"/>
            <w:vAlign w:val="bottom"/>
          </w:tcPr>
          <w:p>
            <w:pPr>
              <w:jc w:val="right"/>
              <w:ind w:right="136"/>
              <w:spacing w:after="0" w:line="119" w:lineRule="exact"/>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12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Amortization</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340" w:type="dxa"/>
            <w:vAlign w:val="bottom"/>
            <w:gridSpan w:val="4"/>
          </w:tcPr>
          <w:p>
            <w:pPr>
              <w:ind w:left="260"/>
              <w:spacing w:after="0"/>
              <w:rPr>
                <w:sz w:val="20"/>
                <w:szCs w:val="20"/>
                <w:color w:val="auto"/>
              </w:rPr>
            </w:pPr>
            <w:r>
              <w:rPr>
                <w:rFonts w:ascii="Arial" w:cs="Arial" w:eastAsia="Arial" w:hAnsi="Arial"/>
                <w:sz w:val="14"/>
                <w:szCs w:val="14"/>
                <w:b w:val="1"/>
                <w:bCs w:val="1"/>
                <w:color w:val="auto"/>
              </w:rPr>
              <w:t>Amortization</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5680" w:type="dxa"/>
            <w:vAlign w:val="bottom"/>
            <w:tcBorders>
              <w:right w:val="single" w:sz="8" w:color="CCEEFF"/>
            </w:tcBorders>
            <w:vMerge w:val="restart"/>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209.4</w:t>
            </w:r>
          </w:p>
        </w:tc>
        <w:tc>
          <w:tcPr>
            <w:tcW w:w="2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w:t>
            </w:r>
          </w:p>
        </w:tc>
        <w:tc>
          <w:tcPr>
            <w:tcW w:w="14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$146.8</w:t>
            </w:r>
          </w:p>
        </w:tc>
        <w:tc>
          <w:tcPr>
            <w:tcW w:w="2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209.4</w:t>
            </w:r>
          </w:p>
        </w:tc>
        <w:tc>
          <w:tcPr>
            <w:tcW w:w="2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80" w:type="dxa"/>
            <w:vAlign w:val="bottom"/>
            <w:vMerge w:val="continue"/>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$155.4</w:t>
            </w:r>
          </w:p>
        </w:tc>
        <w:tc>
          <w:tcPr>
            <w:tcW w:w="0" w:type="dxa"/>
            <w:vAlign w:val="bottom"/>
          </w:tcPr>
          <w:p>
            <w:pPr>
              <w:spacing w:after="0"/>
              <w:rPr>
                <w:sz w:val="1"/>
                <w:szCs w:val="1"/>
                <w:color w:val="auto"/>
              </w:rPr>
            </w:pPr>
          </w:p>
        </w:tc>
      </w:tr>
      <w:tr>
        <w:trPr>
          <w:trHeight w:val="216"/>
        </w:trPr>
        <w:tc>
          <w:tcPr>
            <w:tcW w:w="5680" w:type="dxa"/>
            <w:vAlign w:val="bottom"/>
          </w:tcPr>
          <w:p>
            <w:pPr>
              <w:ind w:left="340"/>
              <w:spacing w:after="0"/>
              <w:rPr>
                <w:sz w:val="20"/>
                <w:szCs w:val="20"/>
                <w:color w:val="auto"/>
              </w:rPr>
            </w:pPr>
            <w:r>
              <w:rPr>
                <w:rFonts w:ascii="Arial" w:cs="Arial" w:eastAsia="Arial" w:hAnsi="Arial"/>
                <w:sz w:val="18"/>
                <w:szCs w:val="18"/>
                <w:color w:val="auto"/>
              </w:rPr>
              <w:t>Trademarks/brands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(58.1)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155.3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213.4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56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intangible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425.9</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302.1</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425.9</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318.7</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8—RELATED PARTY TRANSACTIONS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Company’s Condensed Combined Statements of Operations and Comprehensive Income include allocations of general and administrative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costs, including stock-based compensation expense, as well as costs related to the finance, information technology, legal, human resources, quality,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supply chain and purchasing functions. Costs for these functions and services performed by Post have been allocated to the Company based on a</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reasonable activity base (including specific costs, revenue, net assets and headcount, or a combination of such items) or another reasonable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method. Allocated costs were $8.3 and $3.3 for the nine months ended June 30, 2019 and 2018, respectively, and are included in “Selling, general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administrative expenses” in the Condensed Combined Statements of Operations and Comprehensive Income. Allocated costs include $3.9 of costs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related to the separation of the Company from Post for the nine months ended June 30, 2019. Separation costs of $0.1 were recorded directly by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during the nine months ended June 30, 2019, and were included in “selling, general and administrative expenses” in the Condensed Combined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Statements of Operations and Comprehensive Income. All allocated costs are included in “Change in net parent investment” within financing activities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 the Condensed Combined Statements of Cash Flows. It is not practicable to determine the actual expenses that would have been incurred for these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services had the Company operated as a separate entity. Actual costs that would have been incurred had the Company operated as a separate public</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during the periods presented would depend on a number of factors, including the organizational structure and strategic decisions made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various areas, such as human resources, legal, finance, information technology and infrastructure, among others. Management considers the allocation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method to be reasonable.</w:t>
      </w:r>
    </w:p>
    <w:p>
      <w:pPr>
        <w:spacing w:after="0" w:line="21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Company sells to certain other subsidiaries of Post, the results of which are immaterial and have been included in the accompanying financial statements.</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Financial resources for the Company’s U.S. operations have historically been provided by Post, which has managed cash and cash equivalents on a centralized basis. Under Post’s centralized cash management system, cash requirements are provided directly by Post and cash generated by the Company is generally remitted directly to Post. Transaction systems (e.g. payroll and employee benefits) used to record and account for cash disbursements are generally provided by Post. Cash receipts associated with the U.S. business have been transferred to Post on a daily basis and Post has funded the Company’s cash disbursements. Financial resources for the Company’s international operations have been historically managed by the Company.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9—COMMITMENTS AND CONTINGENCIES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In March 2013, a complaint was filed on behalf of a putative, nationwide class of consumers against Premier Nutrition Corporation (“Premier Nutrition”) in the U.S. District Court for the Northern District of California</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240" w:top="459" w:right="4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 xml:space="preserve">seeking monetary damages and injunctive relief. The case asserted that some of Premier Nutrition’s advertising claims regarding its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line of glucosamine dietary supplements were false and misleading. In April 2016, the district court certified a California-only class of consumers in this lawsuit ( this lawsuit is hereinafter referred to as the “California Class Lawsuit”).</w:t>
      </w:r>
    </w:p>
    <w:p>
      <w:pPr>
        <w:spacing w:after="0" w:line="18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2016 and 2017, the lead plaintiff’s counsel in the California Class Lawsuit filed ten additional class action complaints in the U.S. District Court for the Northern District of California on behalf of putative classes of consumers under the laws of Connecticut, Florida, Illinois, Maryland, Massachusetts, Michigan, New Jersey, New Mexico, New York and Pennsylvania. These additional complaints contain factual allegations similar to the California Class Lawsuit, also seeking monetary damages and injunctive relief.</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April 2018, the district court dismissed the California Class Lawsuit with prejudice. This dismissal was appealed and is pending before the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Court of Appeals for the Ninth Circuit. The other ten complaints remain pending in the district court.</w:t>
      </w:r>
    </w:p>
    <w:p>
      <w:pPr>
        <w:spacing w:after="0" w:line="21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January 2019, the same lead counsel filed a further class action complaint in Alameda County California Superior Court, alleging claims similar to the above actions and seeking monetary damages and injunctive relief on behalf of a putative class of California consumers. In February 2019, Premier Nutrition removed this action to the U.S. District Court for the Northern District of California.</w:t>
      </w:r>
    </w:p>
    <w:p>
      <w:pPr>
        <w:spacing w:after="0" w:line="18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Company intends to vigorously defend these cases. The Company does not believe that the resolution of these cases will have a material adverse effect on its combined financial condition, results of operations or cash flows.</w:t>
      </w:r>
    </w:p>
    <w:p>
      <w:pPr>
        <w:spacing w:after="0" w:line="170"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At both June 30, 2019 and September 30, 2018, the Company had accrued $8.5 related to this matter that was included in “Other current liabilities” on the Condensed Combined Balance Sheets.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combined financial position,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combined financial position, results of operations or cash flows of the Company.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240" w:top="460"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32"/>
          <w:szCs w:val="32"/>
          <w:i w:val="1"/>
          <w:iCs w:val="1"/>
          <w:color w:val="auto"/>
        </w:rPr>
        <w:t>30,000,000 Shares</w:t>
      </w:r>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43"/>
          <w:szCs w:val="43"/>
          <w:i w:val="1"/>
          <w:iCs w:val="1"/>
          <w:color w:val="auto"/>
        </w:rPr>
        <w:t>BellRing Brands, Inc.</w:t>
      </w:r>
    </w:p>
    <w:p>
      <w:pPr>
        <w:spacing w:after="0" w:line="231" w:lineRule="exact"/>
        <w:rPr>
          <w:sz w:val="20"/>
          <w:szCs w:val="20"/>
          <w:color w:val="auto"/>
        </w:rPr>
      </w:pPr>
    </w:p>
    <w:p>
      <w:pPr>
        <w:jc w:val="center"/>
        <w:ind w:right="-219"/>
        <w:spacing w:after="0"/>
        <w:rPr>
          <w:sz w:val="20"/>
          <w:szCs w:val="20"/>
          <w:color w:val="auto"/>
        </w:rPr>
      </w:pPr>
      <w:r>
        <w:rPr>
          <w:rFonts w:ascii="Arial" w:cs="Arial" w:eastAsia="Arial" w:hAnsi="Arial"/>
          <w:sz w:val="22"/>
          <w:szCs w:val="22"/>
          <w:i w:val="1"/>
          <w:iCs w:val="1"/>
          <w:color w:val="auto"/>
        </w:rPr>
        <w:t>Class A common stock</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22"/>
          <w:szCs w:val="22"/>
          <w:i w:val="1"/>
          <w:iCs w:val="1"/>
          <w:color w:val="auto"/>
        </w:rPr>
        <w:t>Prospectus</w:t>
      </w:r>
    </w:p>
    <w:p>
      <w:pPr>
        <w:spacing w:after="0" w:line="213"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 2019</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32"/>
          <w:szCs w:val="32"/>
          <w:i w:val="1"/>
          <w:iCs w:val="1"/>
          <w:color w:val="auto"/>
        </w:rPr>
        <w:t>Morgan Stanley</w:t>
      </w: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32"/>
          <w:szCs w:val="32"/>
          <w:i w:val="1"/>
          <w:iCs w:val="1"/>
          <w:color w:val="auto"/>
        </w:rPr>
        <w:t>Citigroup</w:t>
      </w: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32"/>
          <w:szCs w:val="32"/>
          <w:i w:val="1"/>
          <w:iCs w:val="1"/>
          <w:color w:val="auto"/>
        </w:rPr>
        <w:t>J.P. Morgan</w:t>
      </w: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32"/>
          <w:szCs w:val="32"/>
          <w:i w:val="1"/>
          <w:iCs w:val="1"/>
          <w:color w:val="auto"/>
        </w:rPr>
        <w:t>Goldman Sachs &amp; Co. LLC</w:t>
      </w:r>
    </w:p>
    <w:p>
      <w:pPr>
        <w:spacing w:after="0" w:line="232"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BofA Merrill Lynch</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Barclays</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BMO Capital Markets</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Credit Suisse</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Evercore ISI</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Stifel</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SunTrust Robinson Humphrey</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Wells Fargo Securities</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HSBC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Nomura</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PNC Capital Markets LLC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Rabo Securities</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UBS Investment Bank</w:t>
      </w:r>
    </w:p>
    <w:p>
      <w:pPr>
        <w:spacing w:after="0" w:line="200" w:lineRule="exact"/>
        <w:rPr>
          <w:sz w:val="20"/>
          <w:szCs w:val="20"/>
          <w:color w:val="auto"/>
        </w:rPr>
      </w:pPr>
    </w:p>
    <w:p>
      <w:pPr>
        <w:spacing w:after="0" w:line="349"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b w:val="1"/>
          <w:bCs w:val="1"/>
          <w:i w:val="1"/>
          <w:iCs w:val="1"/>
          <w:color w:val="auto"/>
        </w:rPr>
        <w:t>You should rely only on the information contained in this prospectus. None of BellRing Brands, Inc., Post Holdings, Inc. or the underwriters have authorized anyone to provide you with information different from that contained in this prospectus. BellRing Brands, Inc. is offering to sell, and seeking offers to buy, the Class A common stock only in jurisdictions where offers and sales are permitted. The information contained in this prospectus is accurate only as of the date of this prospectus, regardless of the time of delivery of this prospectus or of any sale of the Class A common stock.</w:t>
      </w:r>
    </w:p>
    <w:p>
      <w:pPr>
        <w:spacing w:after="0" w:line="188" w:lineRule="exact"/>
        <w:rPr>
          <w:sz w:val="20"/>
          <w:szCs w:val="20"/>
          <w:color w:val="auto"/>
        </w:rPr>
      </w:pPr>
    </w:p>
    <w:p>
      <w:pPr>
        <w:jc w:val="both"/>
        <w:ind w:left="200" w:right="20"/>
        <w:spacing w:after="0" w:line="340" w:lineRule="auto"/>
        <w:rPr>
          <w:sz w:val="20"/>
          <w:szCs w:val="20"/>
          <w:color w:val="auto"/>
        </w:rPr>
      </w:pPr>
      <w:r>
        <w:rPr>
          <w:rFonts w:ascii="Arial" w:cs="Arial" w:eastAsia="Arial" w:hAnsi="Arial"/>
          <w:sz w:val="15"/>
          <w:szCs w:val="15"/>
          <w:b w:val="1"/>
          <w:bCs w:val="1"/>
          <w:i w:val="1"/>
          <w:iCs w:val="1"/>
          <w:color w:val="auto"/>
        </w:rPr>
        <w:t>No action is being taken in any jurisdiction outside of the U.S. to permit a public offering of the Class A common stock or possession or distribution of this prospectus in that jurisdiction. Persons who come into possession of this prospectus in jurisdictions outside of the U.S. are required to inform themselves about and to observe any restrictions as to this offering and the distribution of this prospectus applicable to that jurisdiction.</w:t>
      </w:r>
    </w:p>
    <w:p>
      <w:pPr>
        <w:spacing w:after="0" w:line="13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Until , 2019 (the 25th day after the date of this prospectus), all dealers that effect transactions in the Class A common stock, whether or not participating in this offering, may be required to deliver a prospectus. This is in addition to the dealers’ obligation to deliver a prospectus when acting as underwriters and with respect to their unsold allotments or subscriptions.</w:t>
      </w:r>
    </w:p>
    <w:p>
      <w:pPr>
        <w:sectPr>
          <w:pgSz w:w="11900" w:h="16838" w:orient="portrait"/>
          <w:cols w:equalWidth="0" w:num="1">
            <w:col w:w="11200"/>
          </w:cols>
          <w:pgMar w:left="240" w:top="459" w:right="459" w:bottom="1440" w:gutter="0" w:footer="0" w:header="0"/>
        </w:sectPr>
      </w:pPr>
    </w:p>
    <w:bookmarkStart w:id="232" w:name="page233"/>
    <w:bookmarkEnd w:id="2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6617970</wp:posOffset>
            </wp:positionV>
            <wp:extent cx="1672590" cy="8147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672590" cy="814705"/>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following table sets forth the various expenses, other than underwriting discounts and commissions, payable in connection with the offering of our Class A common stock contemplated by this Registration Statement. All of the fees set forth below are estimates.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85,084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FINRA filing fee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98,825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Listing fees and expenses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2,250,000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Tax advisory fees and expenses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2,900,000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817,591</w:t>
            </w:r>
          </w:p>
        </w:tc>
        <w:tc>
          <w:tcPr>
            <w:tcW w:w="80" w:type="dxa"/>
            <w:vAlign w:val="bottom"/>
            <w:shd w:val="clear" w:color="auto" w:fill="CCEEFF"/>
          </w:tcPr>
          <w:p>
            <w:pPr>
              <w:spacing w:after="0"/>
              <w:rPr>
                <w:sz w:val="18"/>
                <w:szCs w:val="18"/>
                <w:color w:val="auto"/>
              </w:rPr>
            </w:pPr>
          </w:p>
        </w:tc>
      </w:tr>
      <w:tr>
        <w:trPr>
          <w:trHeight w:val="223"/>
        </w:trPr>
        <w:tc>
          <w:tcPr>
            <w:tcW w:w="10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8,000,000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200" w:right="140" w:firstLine="441"/>
        <w:spacing w:after="0" w:line="254" w:lineRule="auto"/>
        <w:rPr>
          <w:sz w:val="20"/>
          <w:szCs w:val="20"/>
          <w:color w:val="auto"/>
        </w:rPr>
      </w:pPr>
      <w:r>
        <w:rPr>
          <w:rFonts w:ascii="Arial" w:cs="Arial" w:eastAsia="Arial" w:hAnsi="Arial"/>
          <w:sz w:val="18"/>
          <w:szCs w:val="18"/>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BellRing Brands, Inc. The Delaware General Corporation law provides that Section 145 is not exclusive of other rights to which those seeking indemnification may be entitled under any bylaw, agreement, vote of stockholders or disinterested directors or otherwise. BellRing Brands, Inc.’s amended and restated certificate of incorporation will provide for indemnification by BellRing Brands, Inc. of its directors, officers, employees and agents to the fullest extent permitted by the Delaware General Corporation Law.</w:t>
      </w:r>
    </w:p>
    <w:p>
      <w:pPr>
        <w:spacing w:after="0" w:line="192"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BellRing Brands, Inc.’s amended and restated certificate of incorporation will provide for such limitation of liability.</w:t>
      </w:r>
    </w:p>
    <w:p>
      <w:pPr>
        <w:spacing w:after="0" w:line="178"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In addition, we intend to maintain directors’ and officers’ liability insurance to provide our directors and officers with insurance coverage for losses arising from claims based on breaches of duty, negligence, error and other wrongful acts.</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also intend to enter into indemnification agreements with our directors and certain of our executive officers. These agreements will contain provisions that may require us, among other things, to indemnify these directors and executive officers against certain liabilities that may arise because of their status or service as directors or executive officers.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 - 1</w:t>
      </w:r>
    </w:p>
    <w:p>
      <w:pPr>
        <w:sectPr>
          <w:pgSz w:w="11900" w:h="16838" w:orient="portrait"/>
          <w:cols w:equalWidth="0" w:num="1">
            <w:col w:w="11240"/>
          </w:cols>
          <w:pgMar w:left="240" w:top="460" w:right="41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At present there is no pending litigation or proceeding involving any director, officer, employee or agent as to which indemnification is required or permitted. We are not aware of any threatened litigation or proceeding which may result in a claim for such indemnification.</w:t>
      </w:r>
    </w:p>
    <w:p>
      <w:pPr>
        <w:spacing w:after="0" w:line="170"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proposed form of Underwriting Agreement to be filed as Exhibit 1.1 to this Registration Statement provides for indemnification of our directors and officers by the underwriters against certain liabilities.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On March 25, 2019, we issued 1,000 shares of common stock to Post Holdings, Inc. in exchange for $10.00 in the aggregate under an exemption from registration provided by Section 4(a)(2) of the Securities Act. In addition, in connection with the offering contemplated by this Registration Statement, we and Post Holdings, Inc. intend to complete a series of formation transactions, resulting in certain entities comprising the Active Nutrition business of Post’s Holdings, Inc. becoming our subsidiaries. In connection with these transactions, we will issue the share of our Class B common stock to Post Holdings, Inc., also under an exemption from registration provided by Section 4(a)(2) of the Securities Act. No underwriters will be involved in these transactions.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35" w:lineRule="exact"/>
        <w:rPr>
          <w:sz w:val="20"/>
          <w:szCs w:val="20"/>
          <w:color w:val="auto"/>
        </w:rPr>
      </w:pPr>
    </w:p>
    <w:p>
      <w:pPr>
        <w:ind w:left="640" w:hanging="436"/>
        <w:spacing w:after="0"/>
        <w:tabs>
          <w:tab w:leader="none" w:pos="6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Exhibits: The list of exhibits set forth under “Exhibit Index” at the end of this Registration Statement is incorporated herein by reference.</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35" w:lineRule="exact"/>
        <w:rPr>
          <w:sz w:val="20"/>
          <w:szCs w:val="20"/>
          <w:color w:val="auto"/>
        </w:rPr>
      </w:pPr>
    </w:p>
    <w:p>
      <w:pPr>
        <w:ind w:left="640" w:hanging="436"/>
        <w:spacing w:after="0" w:line="271" w:lineRule="auto"/>
        <w:tabs>
          <w:tab w:leader="none" w:pos="6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4" w:lineRule="exact"/>
        <w:rPr>
          <w:rFonts w:ascii="Arial" w:cs="Arial" w:eastAsia="Arial" w:hAnsi="Arial"/>
          <w:sz w:val="17"/>
          <w:szCs w:val="17"/>
          <w:color w:val="auto"/>
        </w:rPr>
      </w:pPr>
    </w:p>
    <w:p>
      <w:pPr>
        <w:ind w:left="640" w:hanging="436"/>
        <w:spacing w:after="0"/>
        <w:tabs>
          <w:tab w:leader="none" w:pos="6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w:t>
      </w:r>
    </w:p>
    <w:p>
      <w:pPr>
        <w:spacing w:after="0" w:line="130" w:lineRule="exact"/>
        <w:rPr>
          <w:rFonts w:ascii="Arial" w:cs="Arial" w:eastAsia="Arial" w:hAnsi="Arial"/>
          <w:sz w:val="18"/>
          <w:szCs w:val="18"/>
          <w:color w:val="auto"/>
        </w:rPr>
      </w:pPr>
    </w:p>
    <w:p>
      <w:pPr>
        <w:ind w:left="1180" w:right="60" w:hanging="430"/>
        <w:spacing w:after="0" w:line="291" w:lineRule="auto"/>
        <w:tabs>
          <w:tab w:leader="none" w:pos="118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1180" w:right="620" w:hanging="4"/>
        <w:spacing w:after="0" w:line="261" w:lineRule="auto"/>
        <w:tabs>
          <w:tab w:leader="none" w:pos="1435" w:val="left"/>
        </w:tabs>
        <w:numPr>
          <w:ilvl w:val="2"/>
          <w:numId w:val="125"/>
        </w:numPr>
        <w:rPr>
          <w:rFonts w:ascii="Arial" w:cs="Arial" w:eastAsia="Arial" w:hAnsi="Arial"/>
          <w:sz w:val="18"/>
          <w:szCs w:val="18"/>
          <w:color w:val="auto"/>
        </w:rPr>
      </w:pPr>
      <w:r>
        <w:rPr>
          <w:rFonts w:ascii="Arial" w:cs="Arial" w:eastAsia="Arial" w:hAnsi="Arial"/>
          <w:sz w:val="18"/>
          <w:szCs w:val="18"/>
          <w:color w:val="auto"/>
        </w:rPr>
        <w:t>or (4) or 497(h) under the Securities Act shall be deemed to be part of this Registration Statement as of the time it was declared effective; and</w:t>
      </w:r>
    </w:p>
    <w:p>
      <w:pPr>
        <w:spacing w:after="0" w:line="89" w:lineRule="exact"/>
        <w:rPr>
          <w:rFonts w:ascii="Arial" w:cs="Arial" w:eastAsia="Arial" w:hAnsi="Arial"/>
          <w:sz w:val="18"/>
          <w:szCs w:val="18"/>
          <w:color w:val="auto"/>
        </w:rPr>
      </w:pPr>
    </w:p>
    <w:p>
      <w:pPr>
        <w:jc w:val="both"/>
        <w:ind w:left="1180" w:right="100" w:hanging="430"/>
        <w:spacing w:after="0" w:line="264" w:lineRule="auto"/>
        <w:tabs>
          <w:tab w:leader="none" w:pos="11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3" w:lineRule="exact"/>
        <w:rPr>
          <w:rFonts w:ascii="Arial" w:cs="Arial" w:eastAsia="Arial" w:hAnsi="Arial"/>
          <w:sz w:val="18"/>
          <w:szCs w:val="18"/>
          <w:color w:val="auto"/>
        </w:rPr>
      </w:pPr>
    </w:p>
    <w:p>
      <w:pPr>
        <w:ind w:left="5700" w:hanging="166"/>
        <w:spacing w:after="0"/>
        <w:tabs>
          <w:tab w:leader="none" w:pos="5700" w:val="left"/>
        </w:tabs>
        <w:numPr>
          <w:ilvl w:val="3"/>
          <w:numId w:val="125"/>
        </w:numPr>
        <w:rPr>
          <w:rFonts w:ascii="Arial" w:cs="Arial" w:eastAsia="Arial" w:hAnsi="Arial"/>
          <w:sz w:val="18"/>
          <w:szCs w:val="18"/>
          <w:color w:val="auto"/>
        </w:rPr>
      </w:pPr>
      <w:r>
        <w:rPr>
          <w:rFonts w:ascii="Arial" w:cs="Arial" w:eastAsia="Arial" w:hAnsi="Arial"/>
          <w:sz w:val="18"/>
          <w:szCs w:val="18"/>
          <w:color w:val="auto"/>
        </w:rPr>
        <w:t>- 2</w:t>
      </w:r>
    </w:p>
    <w:p>
      <w:pPr>
        <w:sectPr>
          <w:pgSz w:w="11900" w:h="16838" w:orient="portrait"/>
          <w:cols w:equalWidth="0" w:num="1">
            <w:col w:w="11220"/>
          </w:cols>
          <w:pgMar w:left="24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60" w:type="dxa"/>
            <w:vAlign w:val="bottom"/>
            <w:gridSpan w:val="9"/>
          </w:tcPr>
          <w:p>
            <w:pPr>
              <w:ind w:left="10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Number</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40" w:type="dxa"/>
            <w:vAlign w:val="bottom"/>
            <w:gridSpan w:val="8"/>
          </w:tcPr>
          <w:p>
            <w:pPr>
              <w:ind w:left="680"/>
              <w:spacing w:after="0"/>
              <w:rPr>
                <w:sz w:val="20"/>
                <w:szCs w:val="20"/>
                <w:color w:val="auto"/>
              </w:rPr>
            </w:pPr>
            <w:r>
              <w:rPr>
                <w:rFonts w:ascii="Arial" w:cs="Arial" w:eastAsia="Arial" w:hAnsi="Arial"/>
                <w:sz w:val="14"/>
                <w:szCs w:val="14"/>
                <w:b w:val="1"/>
                <w:bCs w:val="1"/>
                <w:color w:val="auto"/>
              </w:rPr>
              <w:t>Description</w:t>
            </w:r>
          </w:p>
        </w:tc>
      </w:tr>
      <w:tr>
        <w:trPr>
          <w:trHeight w:val="277"/>
        </w:trPr>
        <w:tc>
          <w:tcPr>
            <w:tcW w:w="60" w:type="dxa"/>
            <w:vAlign w:val="bottom"/>
          </w:tcPr>
          <w:p>
            <w:pPr>
              <w:spacing w:after="0"/>
              <w:rPr>
                <w:sz w:val="24"/>
                <w:szCs w:val="24"/>
                <w:color w:val="auto"/>
              </w:rPr>
            </w:pPr>
          </w:p>
        </w:tc>
        <w:tc>
          <w:tcPr>
            <w:tcW w:w="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5"/>
              </w:rPr>
              <w:t>1.1</w:t>
            </w:r>
          </w:p>
        </w:tc>
        <w:tc>
          <w:tcPr>
            <w:tcW w:w="560" w:type="dxa"/>
            <w:vAlign w:val="bottom"/>
          </w:tcPr>
          <w:p>
            <w:pPr>
              <w:spacing w:after="0"/>
              <w:rPr>
                <w:sz w:val="24"/>
                <w:szCs w:val="24"/>
                <w:color w:val="auto"/>
              </w:rPr>
            </w:pPr>
          </w:p>
        </w:tc>
        <w:tc>
          <w:tcPr>
            <w:tcW w:w="3600" w:type="dxa"/>
            <w:vAlign w:val="bottom"/>
            <w:gridSpan w:val="17"/>
          </w:tcPr>
          <w:p>
            <w:pPr>
              <w:spacing w:after="0"/>
              <w:rPr>
                <w:sz w:val="20"/>
                <w:szCs w:val="20"/>
                <w:color w:val="auto"/>
              </w:rPr>
            </w:pPr>
            <w:r>
              <w:rPr>
                <w:rFonts w:ascii="Arial" w:cs="Arial" w:eastAsia="Arial" w:hAnsi="Arial"/>
                <w:sz w:val="18"/>
                <w:szCs w:val="18"/>
                <w:color w:val="0000EE"/>
              </w:rPr>
              <w:t>Form of Underwriting Agreement</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614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1"/>
              </w:rPr>
              <w:t>Form of Amended and Restated Certificate of Incorporation of BellRing Brands, Inc.</w:t>
            </w:r>
          </w:p>
        </w:tc>
        <w:tc>
          <w:tcPr>
            <w:tcW w:w="3720" w:type="dxa"/>
            <w:vAlign w:val="bottom"/>
            <w:gridSpan w:val="3"/>
          </w:tcPr>
          <w:p>
            <w:pPr>
              <w:spacing w:after="0"/>
              <w:rPr>
                <w:sz w:val="24"/>
                <w:szCs w:val="24"/>
                <w:color w:val="auto"/>
              </w:rPr>
            </w:pPr>
          </w:p>
        </w:tc>
      </w:tr>
      <w:tr>
        <w:trPr>
          <w:trHeight w:val="304"/>
        </w:trPr>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470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1"/>
              </w:rPr>
              <w:t>Form of Amended and Restated Bylaws of BellRing Brands, Inc.</w:t>
            </w:r>
          </w:p>
        </w:tc>
        <w:tc>
          <w:tcPr>
            <w:tcW w:w="5160" w:type="dxa"/>
            <w:vAlign w:val="bottom"/>
            <w:gridSpan w:val="6"/>
          </w:tcPr>
          <w:p>
            <w:pPr>
              <w:spacing w:after="0"/>
              <w:rPr>
                <w:sz w:val="24"/>
                <w:szCs w:val="24"/>
                <w:color w:val="auto"/>
              </w:rPr>
            </w:pPr>
          </w:p>
        </w:tc>
      </w:tr>
      <w:tr>
        <w:trPr>
          <w:trHeight w:val="304"/>
        </w:trPr>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9860" w:type="dxa"/>
            <w:vAlign w:val="bottom"/>
            <w:gridSpan w:val="26"/>
          </w:tcPr>
          <w:p>
            <w:pPr>
              <w:spacing w:after="0"/>
              <w:rPr>
                <w:rFonts w:ascii="Arial" w:cs="Arial" w:eastAsia="Arial" w:hAnsi="Arial"/>
                <w:sz w:val="18"/>
                <w:szCs w:val="18"/>
                <w:color w:val="0000EE"/>
              </w:rPr>
            </w:pPr>
            <w:hyperlink r:id="rId325">
              <w:r>
                <w:rPr>
                  <w:rFonts w:ascii="Arial" w:cs="Arial" w:eastAsia="Arial" w:hAnsi="Arial"/>
                  <w:sz w:val="18"/>
                  <w:szCs w:val="18"/>
                  <w:color w:val="0000EE"/>
                </w:rPr>
                <w:t>Form of Class A Common Stock Certificate of BellRing Brands, Inc.</w:t>
              </w:r>
            </w:hyperlink>
          </w:p>
        </w:tc>
      </w:tr>
      <w:tr>
        <w:trPr>
          <w:trHeight w:val="304"/>
        </w:trPr>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204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5"/>
              </w:rPr>
              <w:t>Opinion of Lewis Rice LLC</w:t>
            </w:r>
          </w:p>
        </w:tc>
        <w:tc>
          <w:tcPr>
            <w:tcW w:w="1560" w:type="dxa"/>
            <w:vAlign w:val="bottom"/>
            <w:tcBorders>
              <w:top w:val="single" w:sz="8" w:color="0000EE"/>
            </w:tcBorders>
            <w:gridSpan w:val="16"/>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w w:val="90"/>
              </w:rPr>
              <w:t>10.1*</w:t>
            </w:r>
          </w:p>
        </w:tc>
        <w:tc>
          <w:tcPr>
            <w:tcW w:w="560" w:type="dxa"/>
            <w:vAlign w:val="bottom"/>
          </w:tcPr>
          <w:p>
            <w:pPr>
              <w:spacing w:after="0"/>
              <w:rPr>
                <w:sz w:val="24"/>
                <w:szCs w:val="24"/>
                <w:color w:val="auto"/>
              </w:rPr>
            </w:pPr>
          </w:p>
        </w:tc>
        <w:tc>
          <w:tcPr>
            <w:tcW w:w="3600" w:type="dxa"/>
            <w:vAlign w:val="bottom"/>
            <w:gridSpan w:val="17"/>
          </w:tcPr>
          <w:p>
            <w:pPr>
              <w:spacing w:after="0"/>
              <w:rPr>
                <w:rFonts w:ascii="Arial" w:cs="Arial" w:eastAsia="Arial" w:hAnsi="Arial"/>
                <w:sz w:val="18"/>
                <w:szCs w:val="18"/>
                <w:color w:val="0000EE"/>
              </w:rPr>
            </w:pPr>
            <w:hyperlink r:id="rId326">
              <w:r>
                <w:rPr>
                  <w:rFonts w:ascii="Arial" w:cs="Arial" w:eastAsia="Arial" w:hAnsi="Arial"/>
                  <w:sz w:val="18"/>
                  <w:szCs w:val="18"/>
                  <w:color w:val="0000EE"/>
                </w:rPr>
                <w:t>Form of Master Transaction Agreement</w:t>
              </w:r>
            </w:hyperlink>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w w:val="90"/>
              </w:rPr>
              <w:t>10.2*</w:t>
            </w:r>
          </w:p>
        </w:tc>
        <w:tc>
          <w:tcPr>
            <w:tcW w:w="560" w:type="dxa"/>
            <w:vAlign w:val="bottom"/>
          </w:tcPr>
          <w:p>
            <w:pPr>
              <w:spacing w:after="0"/>
              <w:rPr>
                <w:sz w:val="24"/>
                <w:szCs w:val="24"/>
                <w:color w:val="auto"/>
              </w:rPr>
            </w:pPr>
          </w:p>
        </w:tc>
        <w:tc>
          <w:tcPr>
            <w:tcW w:w="2860" w:type="dxa"/>
            <w:vAlign w:val="bottom"/>
            <w:tcBorders>
              <w:top w:val="single" w:sz="8" w:color="0000EE"/>
            </w:tcBorders>
            <w:gridSpan w:val="13"/>
          </w:tcPr>
          <w:p>
            <w:pPr>
              <w:spacing w:after="0"/>
              <w:rPr>
                <w:rFonts w:ascii="Arial" w:cs="Arial" w:eastAsia="Arial" w:hAnsi="Arial"/>
                <w:sz w:val="18"/>
                <w:szCs w:val="18"/>
                <w:color w:val="0000EE"/>
                <w:w w:val="93"/>
              </w:rPr>
            </w:pPr>
            <w:hyperlink r:id="rId327">
              <w:r>
                <w:rPr>
                  <w:rFonts w:ascii="Arial" w:cs="Arial" w:eastAsia="Arial" w:hAnsi="Arial"/>
                  <w:sz w:val="18"/>
                  <w:szCs w:val="18"/>
                  <w:color w:val="0000EE"/>
                  <w:w w:val="93"/>
                </w:rPr>
                <w:t>Form of Employee Matters Agreement</w:t>
              </w:r>
            </w:hyperlink>
          </w:p>
        </w:tc>
        <w:tc>
          <w:tcPr>
            <w:tcW w:w="740" w:type="dxa"/>
            <w:vAlign w:val="bottom"/>
            <w:gridSpan w:val="4"/>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w w:val="90"/>
              </w:rPr>
              <w:t>10.3*</w:t>
            </w:r>
          </w:p>
        </w:tc>
        <w:tc>
          <w:tcPr>
            <w:tcW w:w="560" w:type="dxa"/>
            <w:vAlign w:val="bottom"/>
          </w:tcPr>
          <w:p>
            <w:pPr>
              <w:spacing w:after="0"/>
              <w:rPr>
                <w:sz w:val="24"/>
                <w:szCs w:val="24"/>
                <w:color w:val="auto"/>
              </w:rPr>
            </w:pPr>
          </w:p>
        </w:tc>
        <w:tc>
          <w:tcPr>
            <w:tcW w:w="2800" w:type="dxa"/>
            <w:vAlign w:val="bottom"/>
            <w:tcBorders>
              <w:top w:val="single" w:sz="8" w:color="0000EE"/>
            </w:tcBorders>
            <w:gridSpan w:val="12"/>
          </w:tcPr>
          <w:p>
            <w:pPr>
              <w:spacing w:after="0"/>
              <w:rPr>
                <w:rFonts w:ascii="Arial" w:cs="Arial" w:eastAsia="Arial" w:hAnsi="Arial"/>
                <w:sz w:val="18"/>
                <w:szCs w:val="18"/>
                <w:color w:val="0000EE"/>
                <w:w w:val="99"/>
              </w:rPr>
            </w:pPr>
            <w:hyperlink r:id="rId328">
              <w:r>
                <w:rPr>
                  <w:rFonts w:ascii="Arial" w:cs="Arial" w:eastAsia="Arial" w:hAnsi="Arial"/>
                  <w:sz w:val="18"/>
                  <w:szCs w:val="18"/>
                  <w:color w:val="0000EE"/>
                  <w:w w:val="99"/>
                </w:rPr>
                <w:t>Form of Investor Rights Agreement</w:t>
              </w:r>
            </w:hyperlink>
          </w:p>
        </w:tc>
        <w:tc>
          <w:tcPr>
            <w:tcW w:w="800" w:type="dxa"/>
            <w:vAlign w:val="bottom"/>
            <w:gridSpan w:val="5"/>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w w:val="90"/>
              </w:rPr>
              <w:t>10.4*</w:t>
            </w:r>
          </w:p>
        </w:tc>
        <w:tc>
          <w:tcPr>
            <w:tcW w:w="560" w:type="dxa"/>
            <w:vAlign w:val="bottom"/>
          </w:tcPr>
          <w:p>
            <w:pPr>
              <w:spacing w:after="0"/>
              <w:rPr>
                <w:sz w:val="24"/>
                <w:szCs w:val="24"/>
                <w:color w:val="auto"/>
              </w:rPr>
            </w:pPr>
          </w:p>
        </w:tc>
        <w:tc>
          <w:tcPr>
            <w:tcW w:w="9860" w:type="dxa"/>
            <w:vAlign w:val="bottom"/>
            <w:gridSpan w:val="26"/>
          </w:tcPr>
          <w:p>
            <w:pPr>
              <w:spacing w:after="0"/>
              <w:rPr>
                <w:rFonts w:ascii="Arial" w:cs="Arial" w:eastAsia="Arial" w:hAnsi="Arial"/>
                <w:sz w:val="18"/>
                <w:szCs w:val="18"/>
                <w:color w:val="0000EE"/>
              </w:rPr>
            </w:pPr>
            <w:hyperlink r:id="rId329">
              <w:r>
                <w:rPr>
                  <w:rFonts w:ascii="Arial" w:cs="Arial" w:eastAsia="Arial" w:hAnsi="Arial"/>
                  <w:sz w:val="18"/>
                  <w:szCs w:val="18"/>
                  <w:color w:val="0000EE"/>
                </w:rPr>
                <w:t>Form of Amended and Restated Limited Liability Company Agreement of BellRing Brands, LLC</w:t>
              </w:r>
            </w:hyperlink>
          </w:p>
        </w:tc>
      </w:tr>
      <w:tr>
        <w:trPr>
          <w:trHeight w:val="304"/>
        </w:trPr>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w w:val="90"/>
              </w:rPr>
              <w:t>10.5*</w:t>
            </w:r>
          </w:p>
        </w:tc>
        <w:tc>
          <w:tcPr>
            <w:tcW w:w="560" w:type="dxa"/>
            <w:vAlign w:val="bottom"/>
          </w:tcPr>
          <w:p>
            <w:pPr>
              <w:spacing w:after="0"/>
              <w:rPr>
                <w:sz w:val="24"/>
                <w:szCs w:val="24"/>
                <w:color w:val="auto"/>
              </w:rPr>
            </w:pPr>
          </w:p>
        </w:tc>
        <w:tc>
          <w:tcPr>
            <w:tcW w:w="3600" w:type="dxa"/>
            <w:vAlign w:val="bottom"/>
            <w:tcBorders>
              <w:top w:val="single" w:sz="8" w:color="0000EE"/>
            </w:tcBorders>
            <w:gridSpan w:val="17"/>
          </w:tcPr>
          <w:p>
            <w:pPr>
              <w:spacing w:after="0"/>
              <w:rPr>
                <w:rFonts w:ascii="Arial" w:cs="Arial" w:eastAsia="Arial" w:hAnsi="Arial"/>
                <w:sz w:val="18"/>
                <w:szCs w:val="18"/>
                <w:color w:val="0000EE"/>
              </w:rPr>
            </w:pPr>
            <w:hyperlink r:id="rId330">
              <w:r>
                <w:rPr>
                  <w:rFonts w:ascii="Arial" w:cs="Arial" w:eastAsia="Arial" w:hAnsi="Arial"/>
                  <w:sz w:val="18"/>
                  <w:szCs w:val="18"/>
                  <w:color w:val="0000EE"/>
                </w:rPr>
                <w:t>Form of Tax Matters Agreement</w:t>
              </w:r>
            </w:hyperlink>
          </w:p>
        </w:tc>
        <w:tc>
          <w:tcPr>
            <w:tcW w:w="3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w w:val="90"/>
              </w:rPr>
              <w:t>10.6*</w:t>
            </w:r>
          </w:p>
        </w:tc>
        <w:tc>
          <w:tcPr>
            <w:tcW w:w="560" w:type="dxa"/>
            <w:vAlign w:val="bottom"/>
          </w:tcPr>
          <w:p>
            <w:pPr>
              <w:spacing w:after="0"/>
              <w:rPr>
                <w:sz w:val="24"/>
                <w:szCs w:val="24"/>
                <w:color w:val="auto"/>
              </w:rPr>
            </w:pPr>
          </w:p>
        </w:tc>
        <w:tc>
          <w:tcPr>
            <w:tcW w:w="2600" w:type="dxa"/>
            <w:vAlign w:val="bottom"/>
            <w:tcBorders>
              <w:bottom w:val="single" w:sz="8" w:color="0000EE"/>
            </w:tcBorders>
            <w:gridSpan w:val="8"/>
          </w:tcPr>
          <w:p>
            <w:pPr>
              <w:spacing w:after="0"/>
              <w:rPr>
                <w:rFonts w:ascii="Arial" w:cs="Arial" w:eastAsia="Arial" w:hAnsi="Arial"/>
                <w:sz w:val="18"/>
                <w:szCs w:val="18"/>
                <w:color w:val="0000EE"/>
                <w:w w:val="90"/>
              </w:rPr>
            </w:pPr>
            <w:hyperlink r:id="rId331">
              <w:r>
                <w:rPr>
                  <w:rFonts w:ascii="Arial" w:cs="Arial" w:eastAsia="Arial" w:hAnsi="Arial"/>
                  <w:sz w:val="18"/>
                  <w:szCs w:val="18"/>
                  <w:color w:val="0000EE"/>
                  <w:w w:val="90"/>
                </w:rPr>
                <w:t>Form of Tax Receivable Agreement</w:t>
              </w:r>
            </w:hyperlink>
          </w:p>
        </w:tc>
        <w:tc>
          <w:tcPr>
            <w:tcW w:w="1000" w:type="dxa"/>
            <w:vAlign w:val="bottom"/>
            <w:gridSpan w:val="9"/>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w w:val="90"/>
              </w:rPr>
              <w:t>10.7*</w:t>
            </w:r>
          </w:p>
        </w:tc>
        <w:tc>
          <w:tcPr>
            <w:tcW w:w="560" w:type="dxa"/>
            <w:vAlign w:val="bottom"/>
          </w:tcPr>
          <w:p>
            <w:pPr>
              <w:spacing w:after="0"/>
              <w:rPr>
                <w:sz w:val="24"/>
                <w:szCs w:val="24"/>
                <w:color w:val="auto"/>
              </w:rPr>
            </w:pPr>
          </w:p>
        </w:tc>
        <w:tc>
          <w:tcPr>
            <w:tcW w:w="2640" w:type="dxa"/>
            <w:vAlign w:val="bottom"/>
            <w:tcBorders>
              <w:bottom w:val="single" w:sz="8" w:color="0000EE"/>
            </w:tcBorders>
            <w:gridSpan w:val="10"/>
          </w:tcPr>
          <w:p>
            <w:pPr>
              <w:spacing w:after="0"/>
              <w:rPr>
                <w:rFonts w:ascii="Arial" w:cs="Arial" w:eastAsia="Arial" w:hAnsi="Arial"/>
                <w:sz w:val="18"/>
                <w:szCs w:val="18"/>
                <w:color w:val="0000EE"/>
                <w:w w:val="90"/>
              </w:rPr>
            </w:pPr>
            <w:hyperlink r:id="rId332">
              <w:r>
                <w:rPr>
                  <w:rFonts w:ascii="Arial" w:cs="Arial" w:eastAsia="Arial" w:hAnsi="Arial"/>
                  <w:sz w:val="18"/>
                  <w:szCs w:val="18"/>
                  <w:color w:val="0000EE"/>
                  <w:w w:val="90"/>
                </w:rPr>
                <w:t>Form of Master Services Agreement</w:t>
              </w:r>
            </w:hyperlink>
          </w:p>
        </w:tc>
        <w:tc>
          <w:tcPr>
            <w:tcW w:w="960" w:type="dxa"/>
            <w:vAlign w:val="bottom"/>
            <w:gridSpan w:val="7"/>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w w:val="90"/>
              </w:rPr>
              <w:t>10.8*</w:t>
            </w:r>
          </w:p>
        </w:tc>
        <w:tc>
          <w:tcPr>
            <w:tcW w:w="560" w:type="dxa"/>
            <w:vAlign w:val="bottom"/>
          </w:tcPr>
          <w:p>
            <w:pPr>
              <w:spacing w:after="0"/>
              <w:rPr>
                <w:sz w:val="24"/>
                <w:szCs w:val="24"/>
                <w:color w:val="auto"/>
              </w:rPr>
            </w:pPr>
          </w:p>
        </w:tc>
        <w:tc>
          <w:tcPr>
            <w:tcW w:w="3600" w:type="dxa"/>
            <w:vAlign w:val="bottom"/>
            <w:gridSpan w:val="17"/>
          </w:tcPr>
          <w:p>
            <w:pPr>
              <w:spacing w:after="0"/>
              <w:rPr>
                <w:rFonts w:ascii="Arial" w:cs="Arial" w:eastAsia="Arial" w:hAnsi="Arial"/>
                <w:sz w:val="18"/>
                <w:szCs w:val="18"/>
                <w:color w:val="0000EE"/>
              </w:rPr>
            </w:pPr>
            <w:hyperlink r:id="rId333">
              <w:r>
                <w:rPr>
                  <w:rFonts w:ascii="Arial" w:cs="Arial" w:eastAsia="Arial" w:hAnsi="Arial"/>
                  <w:sz w:val="18"/>
                  <w:szCs w:val="18"/>
                  <w:color w:val="0000EE"/>
                </w:rPr>
                <w:t>Form of Indemnification Agreement</w:t>
              </w:r>
            </w:hyperlink>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10.9#</w:t>
            </w:r>
          </w:p>
        </w:tc>
        <w:tc>
          <w:tcPr>
            <w:tcW w:w="560" w:type="dxa"/>
            <w:vAlign w:val="bottom"/>
          </w:tcPr>
          <w:p>
            <w:pPr>
              <w:spacing w:after="0"/>
              <w:rPr>
                <w:sz w:val="24"/>
                <w:szCs w:val="24"/>
                <w:color w:val="auto"/>
              </w:rPr>
            </w:pPr>
          </w:p>
        </w:tc>
        <w:tc>
          <w:tcPr>
            <w:tcW w:w="9860" w:type="dxa"/>
            <w:vAlign w:val="bottom"/>
            <w:gridSpan w:val="26"/>
          </w:tcPr>
          <w:p>
            <w:pPr>
              <w:spacing w:after="0"/>
              <w:rPr>
                <w:sz w:val="20"/>
                <w:szCs w:val="20"/>
                <w:color w:val="auto"/>
              </w:rPr>
            </w:pPr>
            <w:r>
              <w:rPr>
                <w:rFonts w:ascii="Arial" w:cs="Arial" w:eastAsia="Arial" w:hAnsi="Arial"/>
                <w:sz w:val="18"/>
                <w:szCs w:val="18"/>
                <w:color w:val="0000EE"/>
              </w:rPr>
              <w:t>BellRing Brands, Inc. 2019 Long-Term Incentive Plan</w:t>
            </w:r>
          </w:p>
        </w:tc>
      </w:tr>
      <w:tr>
        <w:trPr>
          <w:trHeight w:val="20"/>
        </w:trPr>
        <w:tc>
          <w:tcPr>
            <w:tcW w:w="1120" w:type="dxa"/>
            <w:vAlign w:val="bottom"/>
            <w:gridSpan w:val="3"/>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0"/>
        </w:trPr>
        <w:tc>
          <w:tcPr>
            <w:tcW w:w="1120" w:type="dxa"/>
            <w:vAlign w:val="bottom"/>
            <w:gridSpan w:val="3"/>
          </w:tcPr>
          <w:p>
            <w:pPr>
              <w:spacing w:after="0"/>
              <w:rPr>
                <w:sz w:val="20"/>
                <w:szCs w:val="20"/>
                <w:color w:val="auto"/>
              </w:rPr>
            </w:pPr>
            <w:r>
              <w:rPr>
                <w:rFonts w:ascii="Arial" w:cs="Arial" w:eastAsia="Arial" w:hAnsi="Arial"/>
                <w:sz w:val="18"/>
                <w:szCs w:val="18"/>
                <w:color w:val="auto"/>
              </w:rPr>
              <w:t>10.10**</w:t>
            </w:r>
          </w:p>
        </w:tc>
        <w:tc>
          <w:tcPr>
            <w:tcW w:w="3600" w:type="dxa"/>
            <w:vAlign w:val="bottom"/>
            <w:gridSpan w:val="17"/>
          </w:tcPr>
          <w:p>
            <w:pPr>
              <w:spacing w:after="0"/>
              <w:rPr>
                <w:sz w:val="20"/>
                <w:szCs w:val="20"/>
                <w:color w:val="auto"/>
              </w:rPr>
            </w:pPr>
            <w:r>
              <w:rPr>
                <w:rFonts w:ascii="Arial" w:cs="Arial" w:eastAsia="Arial" w:hAnsi="Arial"/>
                <w:sz w:val="18"/>
                <w:szCs w:val="18"/>
                <w:color w:val="auto"/>
              </w:rPr>
              <w:t>Bridge Facility Agreement dated as of</w:t>
            </w:r>
          </w:p>
        </w:tc>
        <w:tc>
          <w:tcPr>
            <w:tcW w:w="6260" w:type="dxa"/>
            <w:vAlign w:val="bottom"/>
            <w:gridSpan w:val="9"/>
          </w:tcPr>
          <w:p>
            <w:pPr>
              <w:ind w:left="100"/>
              <w:spacing w:after="0"/>
              <w:rPr>
                <w:sz w:val="20"/>
                <w:szCs w:val="20"/>
                <w:color w:val="auto"/>
              </w:rPr>
            </w:pPr>
            <w:r>
              <w:rPr>
                <w:rFonts w:ascii="Arial" w:cs="Arial" w:eastAsia="Arial" w:hAnsi="Arial"/>
                <w:sz w:val="18"/>
                <w:szCs w:val="18"/>
                <w:color w:val="auto"/>
              </w:rPr>
              <w:t>, 2019, among Post Holdings, Inc., Morgan Stanley Senior Funding, Inc., as</w:t>
            </w: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60" w:type="dxa"/>
            <w:vAlign w:val="bottom"/>
            <w:gridSpan w:val="26"/>
          </w:tcPr>
          <w:p>
            <w:pPr>
              <w:spacing w:after="0"/>
              <w:rPr>
                <w:sz w:val="20"/>
                <w:szCs w:val="20"/>
                <w:color w:val="auto"/>
              </w:rPr>
            </w:pPr>
            <w:r>
              <w:rPr>
                <w:rFonts w:ascii="Arial" w:cs="Arial" w:eastAsia="Arial" w:hAnsi="Arial"/>
                <w:sz w:val="18"/>
                <w:szCs w:val="18"/>
                <w:color w:val="auto"/>
              </w:rPr>
              <w:t>Administrative Agent and other lenders from time to time party thereto</w:t>
            </w:r>
          </w:p>
        </w:tc>
      </w:tr>
      <w:tr>
        <w:trPr>
          <w:trHeight w:val="310"/>
        </w:trPr>
        <w:tc>
          <w:tcPr>
            <w:tcW w:w="1120" w:type="dxa"/>
            <w:vAlign w:val="bottom"/>
            <w:gridSpan w:val="3"/>
          </w:tcPr>
          <w:p>
            <w:pPr>
              <w:spacing w:after="0"/>
              <w:rPr>
                <w:sz w:val="20"/>
                <w:szCs w:val="20"/>
                <w:color w:val="auto"/>
              </w:rPr>
            </w:pPr>
            <w:r>
              <w:rPr>
                <w:rFonts w:ascii="Arial" w:cs="Arial" w:eastAsia="Arial" w:hAnsi="Arial"/>
                <w:sz w:val="18"/>
                <w:szCs w:val="18"/>
                <w:color w:val="auto"/>
              </w:rPr>
              <w:t>10.11**</w:t>
            </w:r>
          </w:p>
        </w:tc>
        <w:tc>
          <w:tcPr>
            <w:tcW w:w="3600" w:type="dxa"/>
            <w:vAlign w:val="bottom"/>
            <w:gridSpan w:val="17"/>
          </w:tcPr>
          <w:p>
            <w:pPr>
              <w:spacing w:after="0"/>
              <w:rPr>
                <w:sz w:val="20"/>
                <w:szCs w:val="20"/>
                <w:color w:val="auto"/>
              </w:rPr>
            </w:pPr>
            <w:r>
              <w:rPr>
                <w:rFonts w:ascii="Arial" w:cs="Arial" w:eastAsia="Arial" w:hAnsi="Arial"/>
                <w:sz w:val="18"/>
                <w:szCs w:val="18"/>
                <w:color w:val="auto"/>
                <w:w w:val="92"/>
              </w:rPr>
              <w:t>Guarantee and Collateral Agreement dated as of</w:t>
            </w:r>
          </w:p>
        </w:tc>
        <w:tc>
          <w:tcPr>
            <w:tcW w:w="320" w:type="dxa"/>
            <w:vAlign w:val="bottom"/>
          </w:tcPr>
          <w:p>
            <w:pPr>
              <w:spacing w:after="0"/>
              <w:rPr>
                <w:sz w:val="24"/>
                <w:szCs w:val="24"/>
                <w:color w:val="auto"/>
              </w:rPr>
            </w:pPr>
          </w:p>
        </w:tc>
        <w:tc>
          <w:tcPr>
            <w:tcW w:w="5940" w:type="dxa"/>
            <w:vAlign w:val="bottom"/>
            <w:gridSpan w:val="8"/>
          </w:tcPr>
          <w:p>
            <w:pPr>
              <w:ind w:left="140"/>
              <w:spacing w:after="0"/>
              <w:rPr>
                <w:sz w:val="20"/>
                <w:szCs w:val="20"/>
                <w:color w:val="auto"/>
              </w:rPr>
            </w:pPr>
            <w:r>
              <w:rPr>
                <w:rFonts w:ascii="Arial" w:cs="Arial" w:eastAsia="Arial" w:hAnsi="Arial"/>
                <w:sz w:val="18"/>
                <w:szCs w:val="18"/>
                <w:color w:val="auto"/>
                <w:w w:val="90"/>
              </w:rPr>
              <w:t>, 2019 among Post Holdings, Inc., certain of its subsidiaries and Morgan Stanley</w:t>
            </w: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0" w:type="dxa"/>
            <w:vAlign w:val="bottom"/>
            <w:gridSpan w:val="17"/>
          </w:tcPr>
          <w:p>
            <w:pPr>
              <w:spacing w:after="0"/>
              <w:rPr>
                <w:sz w:val="20"/>
                <w:szCs w:val="20"/>
                <w:color w:val="auto"/>
              </w:rPr>
            </w:pPr>
            <w:r>
              <w:rPr>
                <w:rFonts w:ascii="Arial" w:cs="Arial" w:eastAsia="Arial" w:hAnsi="Arial"/>
                <w:sz w:val="18"/>
                <w:szCs w:val="18"/>
                <w:color w:val="auto"/>
                <w:w w:val="99"/>
              </w:rPr>
              <w:t>Senior Funding, Inc., as Administrative Agent</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84"/>
        </w:trPr>
        <w:tc>
          <w:tcPr>
            <w:tcW w:w="1120" w:type="dxa"/>
            <w:vAlign w:val="bottom"/>
            <w:gridSpan w:val="3"/>
          </w:tcPr>
          <w:p>
            <w:pPr>
              <w:spacing w:after="0"/>
              <w:rPr>
                <w:sz w:val="20"/>
                <w:szCs w:val="20"/>
                <w:color w:val="auto"/>
              </w:rPr>
            </w:pPr>
            <w:r>
              <w:rPr>
                <w:rFonts w:ascii="Arial" w:cs="Arial" w:eastAsia="Arial" w:hAnsi="Arial"/>
                <w:sz w:val="18"/>
                <w:szCs w:val="18"/>
                <w:color w:val="auto"/>
              </w:rPr>
              <w:t>10.12†*</w:t>
            </w:r>
          </w:p>
        </w:tc>
        <w:tc>
          <w:tcPr>
            <w:tcW w:w="9860" w:type="dxa"/>
            <w:vAlign w:val="bottom"/>
            <w:gridSpan w:val="26"/>
          </w:tcPr>
          <w:p>
            <w:pPr>
              <w:spacing w:after="0"/>
              <w:rPr>
                <w:rFonts w:ascii="Arial" w:cs="Arial" w:eastAsia="Arial" w:hAnsi="Arial"/>
                <w:sz w:val="18"/>
                <w:szCs w:val="18"/>
                <w:color w:val="0000EE"/>
                <w:w w:val="91"/>
              </w:rPr>
            </w:pPr>
            <w:hyperlink r:id="rId334">
              <w:r>
                <w:rPr>
                  <w:rFonts w:ascii="Arial" w:cs="Arial" w:eastAsia="Arial" w:hAnsi="Arial"/>
                  <w:sz w:val="18"/>
                  <w:szCs w:val="18"/>
                  <w:color w:val="0000EE"/>
                  <w:w w:val="91"/>
                </w:rPr>
                <w:t>Stremick Heritage Foods, LLC and Premier Nutrition Corporation Manufacturing Agreement dated as of July 1, 2017, as amended June</w:t>
              </w:r>
            </w:hyperlink>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1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r:id="rId334">
              <w:r>
                <w:rPr>
                  <w:rFonts w:ascii="Arial" w:cs="Arial" w:eastAsia="Arial" w:hAnsi="Arial"/>
                  <w:sz w:val="18"/>
                  <w:szCs w:val="18"/>
                  <w:color w:val="0000EE"/>
                  <w:w w:val="89"/>
                </w:rPr>
                <w:t>11, 2018, October 1, 2018 and July 3, 2019</w:t>
              </w:r>
            </w:hyperlink>
          </w:p>
        </w:tc>
        <w:tc>
          <w:tcPr>
            <w:tcW w:w="480" w:type="dxa"/>
            <w:vAlign w:val="bottom"/>
            <w:tcBorders>
              <w:top w:val="single" w:sz="8" w:color="0000EE"/>
            </w:tcBorders>
            <w:gridSpan w:val="2"/>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27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w w:val="90"/>
              </w:rPr>
              <w:t>21.1*</w:t>
            </w:r>
          </w:p>
        </w:tc>
        <w:tc>
          <w:tcPr>
            <w:tcW w:w="560" w:type="dxa"/>
            <w:vAlign w:val="bottom"/>
          </w:tcPr>
          <w:p>
            <w:pPr>
              <w:spacing w:after="0"/>
              <w:rPr>
                <w:sz w:val="24"/>
                <w:szCs w:val="24"/>
                <w:color w:val="auto"/>
              </w:rPr>
            </w:pPr>
          </w:p>
        </w:tc>
        <w:tc>
          <w:tcPr>
            <w:tcW w:w="2700" w:type="dxa"/>
            <w:vAlign w:val="bottom"/>
            <w:tcBorders>
              <w:bottom w:val="single" w:sz="8" w:color="0000EE"/>
            </w:tcBorders>
            <w:gridSpan w:val="11"/>
          </w:tcPr>
          <w:p>
            <w:pPr>
              <w:spacing w:after="0"/>
              <w:rPr>
                <w:rFonts w:ascii="Arial" w:cs="Arial" w:eastAsia="Arial" w:hAnsi="Arial"/>
                <w:sz w:val="18"/>
                <w:szCs w:val="18"/>
                <w:color w:val="0000EE"/>
                <w:w w:val="92"/>
              </w:rPr>
            </w:pPr>
            <w:hyperlink r:id="rId335">
              <w:r>
                <w:rPr>
                  <w:rFonts w:ascii="Arial" w:cs="Arial" w:eastAsia="Arial" w:hAnsi="Arial"/>
                  <w:sz w:val="18"/>
                  <w:szCs w:val="18"/>
                  <w:color w:val="0000EE"/>
                  <w:w w:val="92"/>
                </w:rPr>
                <w:t>Subsidiaries of BellRing Brands, Inc.</w:t>
              </w:r>
            </w:hyperlink>
          </w:p>
        </w:tc>
        <w:tc>
          <w:tcPr>
            <w:tcW w:w="900" w:type="dxa"/>
            <w:vAlign w:val="bottom"/>
            <w:gridSpan w:val="6"/>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rPr>
                <w:sz w:val="24"/>
                <w:szCs w:val="24"/>
                <w:color w:val="auto"/>
              </w:rPr>
            </w:pPr>
          </w:p>
        </w:tc>
        <w:tc>
          <w:tcPr>
            <w:tcW w:w="3600" w:type="dxa"/>
            <w:vAlign w:val="bottom"/>
            <w:gridSpan w:val="17"/>
          </w:tcPr>
          <w:p>
            <w:pPr>
              <w:spacing w:after="0"/>
              <w:rPr>
                <w:sz w:val="20"/>
                <w:szCs w:val="20"/>
                <w:color w:val="auto"/>
              </w:rPr>
            </w:pPr>
            <w:r>
              <w:rPr>
                <w:rFonts w:ascii="Arial" w:cs="Arial" w:eastAsia="Arial" w:hAnsi="Arial"/>
                <w:sz w:val="18"/>
                <w:szCs w:val="18"/>
                <w:color w:val="0000EE"/>
              </w:rPr>
              <w:t>Consent of PricewaterhouseCoopers LLP</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6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w w:val="85"/>
              </w:rPr>
              <w:t>23.2</w:t>
            </w:r>
          </w:p>
        </w:tc>
        <w:tc>
          <w:tcPr>
            <w:tcW w:w="560" w:type="dxa"/>
            <w:vAlign w:val="bottom"/>
          </w:tcPr>
          <w:p>
            <w:pPr>
              <w:spacing w:after="0"/>
              <w:rPr>
                <w:sz w:val="24"/>
                <w:szCs w:val="24"/>
                <w:color w:val="auto"/>
              </w:rPr>
            </w:pPr>
          </w:p>
        </w:tc>
        <w:tc>
          <w:tcPr>
            <w:tcW w:w="3600" w:type="dxa"/>
            <w:vAlign w:val="bottom"/>
            <w:gridSpan w:val="17"/>
          </w:tcPr>
          <w:p>
            <w:pPr>
              <w:spacing w:after="0"/>
              <w:rPr>
                <w:sz w:val="20"/>
                <w:szCs w:val="20"/>
                <w:color w:val="auto"/>
              </w:rPr>
            </w:pPr>
            <w:r>
              <w:rPr>
                <w:rFonts w:ascii="Arial" w:cs="Arial" w:eastAsia="Arial" w:hAnsi="Arial"/>
                <w:sz w:val="18"/>
                <w:szCs w:val="18"/>
                <w:color w:val="0000EE"/>
              </w:rPr>
              <w:t>Consent of PricewaterhouseCoopers LLP</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6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940" w:type="dxa"/>
            <w:vAlign w:val="bottom"/>
            <w:gridSpan w:val="8"/>
          </w:tcPr>
          <w:p>
            <w:pPr>
              <w:spacing w:after="0" w:line="20" w:lineRule="exact"/>
              <w:rPr>
                <w:sz w:val="1"/>
                <w:szCs w:val="1"/>
                <w:color w:val="auto"/>
              </w:rPr>
            </w:pPr>
          </w:p>
        </w:tc>
      </w:tr>
      <w:tr>
        <w:trPr>
          <w:trHeight w:val="318"/>
        </w:trPr>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w w:val="85"/>
              </w:rPr>
              <w:t>23.3</w:t>
            </w:r>
          </w:p>
        </w:tc>
        <w:tc>
          <w:tcPr>
            <w:tcW w:w="560" w:type="dxa"/>
            <w:vAlign w:val="bottom"/>
          </w:tcPr>
          <w:p>
            <w:pPr>
              <w:spacing w:after="0"/>
              <w:rPr>
                <w:sz w:val="24"/>
                <w:szCs w:val="24"/>
                <w:color w:val="auto"/>
              </w:rPr>
            </w:pPr>
          </w:p>
        </w:tc>
        <w:tc>
          <w:tcPr>
            <w:tcW w:w="9860" w:type="dxa"/>
            <w:vAlign w:val="bottom"/>
            <w:gridSpan w:val="26"/>
          </w:tcPr>
          <w:p>
            <w:pPr>
              <w:spacing w:after="0"/>
              <w:rPr>
                <w:sz w:val="20"/>
                <w:szCs w:val="20"/>
                <w:color w:val="auto"/>
              </w:rPr>
            </w:pPr>
            <w:r>
              <w:rPr>
                <w:rFonts w:ascii="Arial" w:cs="Arial" w:eastAsia="Arial" w:hAnsi="Arial"/>
                <w:sz w:val="18"/>
                <w:szCs w:val="18"/>
                <w:color w:val="0000EE"/>
              </w:rPr>
              <w:t>Consent of Lewis Rice LLC (contained in Exhibit 5.1)</w:t>
            </w:r>
          </w:p>
        </w:tc>
      </w:tr>
      <w:tr>
        <w:trPr>
          <w:trHeight w:val="304"/>
        </w:trPr>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w w:val="85"/>
              </w:rPr>
              <w:t>24.1</w:t>
            </w:r>
          </w:p>
        </w:tc>
        <w:tc>
          <w:tcPr>
            <w:tcW w:w="560" w:type="dxa"/>
            <w:vAlign w:val="bottom"/>
          </w:tcPr>
          <w:p>
            <w:pPr>
              <w:spacing w:after="0"/>
              <w:rPr>
                <w:sz w:val="24"/>
                <w:szCs w:val="24"/>
                <w:color w:val="auto"/>
              </w:rPr>
            </w:pPr>
          </w:p>
        </w:tc>
        <w:tc>
          <w:tcPr>
            <w:tcW w:w="35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0"/>
              </w:rPr>
            </w:pPr>
            <w:hyperlink w:anchor="page237">
              <w:r>
                <w:rPr>
                  <w:rFonts w:ascii="Arial" w:cs="Arial" w:eastAsia="Arial" w:hAnsi="Arial"/>
                  <w:sz w:val="18"/>
                  <w:szCs w:val="18"/>
                  <w:color w:val="0000EE"/>
                  <w:w w:val="90"/>
                </w:rPr>
                <w:t>Powers of Attorney (included on signature page)</w:t>
              </w:r>
            </w:hyperlink>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w w:val="90"/>
              </w:rPr>
              <w:t>99.1*</w:t>
            </w:r>
          </w:p>
        </w:tc>
        <w:tc>
          <w:tcPr>
            <w:tcW w:w="560" w:type="dxa"/>
            <w:vAlign w:val="bottom"/>
          </w:tcPr>
          <w:p>
            <w:pPr>
              <w:spacing w:after="0"/>
              <w:rPr>
                <w:sz w:val="24"/>
                <w:szCs w:val="24"/>
                <w:color w:val="auto"/>
              </w:rPr>
            </w:pPr>
          </w:p>
        </w:tc>
        <w:tc>
          <w:tcPr>
            <w:tcW w:w="2500" w:type="dxa"/>
            <w:vAlign w:val="bottom"/>
            <w:tcBorders>
              <w:bottom w:val="single" w:sz="8" w:color="0000EE"/>
            </w:tcBorders>
            <w:gridSpan w:val="6"/>
          </w:tcPr>
          <w:p>
            <w:pPr>
              <w:spacing w:after="0"/>
              <w:rPr>
                <w:rFonts w:ascii="Arial" w:cs="Arial" w:eastAsia="Arial" w:hAnsi="Arial"/>
                <w:sz w:val="18"/>
                <w:szCs w:val="18"/>
                <w:color w:val="0000EE"/>
                <w:w w:val="91"/>
              </w:rPr>
            </w:pPr>
            <w:hyperlink r:id="rId336">
              <w:r>
                <w:rPr>
                  <w:rFonts w:ascii="Arial" w:cs="Arial" w:eastAsia="Arial" w:hAnsi="Arial"/>
                  <w:sz w:val="18"/>
                  <w:szCs w:val="18"/>
                  <w:color w:val="0000EE"/>
                  <w:w w:val="91"/>
                </w:rPr>
                <w:t>Consent of Darcy Horn Davenport</w:t>
              </w:r>
            </w:hyperlink>
          </w:p>
        </w:tc>
        <w:tc>
          <w:tcPr>
            <w:tcW w:w="1100" w:type="dxa"/>
            <w:vAlign w:val="bottom"/>
            <w:gridSpan w:val="11"/>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w w:val="90"/>
              </w:rPr>
              <w:t>99.2*</w:t>
            </w:r>
          </w:p>
        </w:tc>
        <w:tc>
          <w:tcPr>
            <w:tcW w:w="560" w:type="dxa"/>
            <w:vAlign w:val="bottom"/>
          </w:tcPr>
          <w:p>
            <w:pPr>
              <w:spacing w:after="0"/>
              <w:rPr>
                <w:sz w:val="24"/>
                <w:szCs w:val="24"/>
                <w:color w:val="auto"/>
              </w:rPr>
            </w:pPr>
          </w:p>
        </w:tc>
        <w:tc>
          <w:tcPr>
            <w:tcW w:w="3600" w:type="dxa"/>
            <w:vAlign w:val="bottom"/>
            <w:gridSpan w:val="17"/>
          </w:tcPr>
          <w:p>
            <w:pPr>
              <w:spacing w:after="0"/>
              <w:rPr>
                <w:rFonts w:ascii="Arial" w:cs="Arial" w:eastAsia="Arial" w:hAnsi="Arial"/>
                <w:sz w:val="18"/>
                <w:szCs w:val="18"/>
                <w:color w:val="0000EE"/>
              </w:rPr>
            </w:pPr>
            <w:hyperlink r:id="rId337">
              <w:r>
                <w:rPr>
                  <w:rFonts w:ascii="Arial" w:cs="Arial" w:eastAsia="Arial" w:hAnsi="Arial"/>
                  <w:sz w:val="18"/>
                  <w:szCs w:val="18"/>
                  <w:color w:val="0000EE"/>
                </w:rPr>
                <w:t>Consent of Thomas P. Erickson</w:t>
              </w:r>
            </w:hyperlink>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w w:val="90"/>
              </w:rPr>
              <w:t>99.3*</w:t>
            </w:r>
          </w:p>
        </w:tc>
        <w:tc>
          <w:tcPr>
            <w:tcW w:w="560" w:type="dxa"/>
            <w:vAlign w:val="bottom"/>
          </w:tcPr>
          <w:p>
            <w:pPr>
              <w:spacing w:after="0"/>
              <w:rPr>
                <w:sz w:val="24"/>
                <w:szCs w:val="24"/>
                <w:color w:val="auto"/>
              </w:rPr>
            </w:pPr>
          </w:p>
        </w:tc>
        <w:tc>
          <w:tcPr>
            <w:tcW w:w="2260" w:type="dxa"/>
            <w:vAlign w:val="bottom"/>
            <w:tcBorders>
              <w:top w:val="single" w:sz="8" w:color="0000EE"/>
            </w:tcBorders>
            <w:gridSpan w:val="3"/>
          </w:tcPr>
          <w:p>
            <w:pPr>
              <w:spacing w:after="0"/>
              <w:rPr>
                <w:rFonts w:ascii="Arial" w:cs="Arial" w:eastAsia="Arial" w:hAnsi="Arial"/>
                <w:sz w:val="18"/>
                <w:szCs w:val="18"/>
                <w:color w:val="0000EE"/>
                <w:w w:val="97"/>
              </w:rPr>
            </w:pPr>
            <w:hyperlink r:id="rId338">
              <w:r>
                <w:rPr>
                  <w:rFonts w:ascii="Arial" w:cs="Arial" w:eastAsia="Arial" w:hAnsi="Arial"/>
                  <w:sz w:val="18"/>
                  <w:szCs w:val="18"/>
                  <w:color w:val="0000EE"/>
                  <w:w w:val="97"/>
                </w:rPr>
                <w:t>Consent of Elliot H. Stein, Jr.</w:t>
              </w:r>
            </w:hyperlink>
          </w:p>
        </w:tc>
        <w:tc>
          <w:tcPr>
            <w:tcW w:w="1340" w:type="dxa"/>
            <w:vAlign w:val="bottom"/>
            <w:gridSpan w:val="14"/>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740" w:type="dxa"/>
            <w:vAlign w:val="bottom"/>
            <w:gridSpan w:val="11"/>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w w:val="90"/>
              </w:rPr>
              <w:t>99.4*</w:t>
            </w:r>
          </w:p>
        </w:tc>
        <w:tc>
          <w:tcPr>
            <w:tcW w:w="560" w:type="dxa"/>
            <w:vAlign w:val="bottom"/>
          </w:tcPr>
          <w:p>
            <w:pPr>
              <w:spacing w:after="0"/>
              <w:rPr>
                <w:sz w:val="24"/>
                <w:szCs w:val="24"/>
                <w:color w:val="auto"/>
              </w:rPr>
            </w:pPr>
          </w:p>
        </w:tc>
        <w:tc>
          <w:tcPr>
            <w:tcW w:w="2860" w:type="dxa"/>
            <w:vAlign w:val="bottom"/>
            <w:tcBorders>
              <w:bottom w:val="single" w:sz="8" w:color="0000EE"/>
            </w:tcBorders>
            <w:gridSpan w:val="13"/>
          </w:tcPr>
          <w:p>
            <w:pPr>
              <w:spacing w:after="0"/>
              <w:rPr>
                <w:rFonts w:ascii="Arial" w:cs="Arial" w:eastAsia="Arial" w:hAnsi="Arial"/>
                <w:sz w:val="18"/>
                <w:szCs w:val="18"/>
                <w:color w:val="0000EE"/>
                <w:w w:val="89"/>
              </w:rPr>
            </w:pPr>
            <w:hyperlink r:id="rId339">
              <w:r>
                <w:rPr>
                  <w:rFonts w:ascii="Arial" w:cs="Arial" w:eastAsia="Arial" w:hAnsi="Arial"/>
                  <w:sz w:val="18"/>
                  <w:szCs w:val="18"/>
                  <w:color w:val="0000EE"/>
                  <w:w w:val="89"/>
                </w:rPr>
                <w:t>Consent of Jennifer Kuperman Johnson</w:t>
              </w:r>
            </w:hyperlink>
          </w:p>
        </w:tc>
        <w:tc>
          <w:tcPr>
            <w:tcW w:w="740" w:type="dxa"/>
            <w:vAlign w:val="bottom"/>
            <w:gridSpan w:val="4"/>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76327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82" w:lineRule="exact"/>
        <w:rPr>
          <w:sz w:val="20"/>
          <w:szCs w:val="20"/>
          <w:color w:val="auto"/>
        </w:rPr>
      </w:pPr>
    </w:p>
    <w:p>
      <w:pPr>
        <w:ind w:left="640" w:hanging="436"/>
        <w:spacing w:after="0"/>
        <w:tabs>
          <w:tab w:leader="none" w:pos="6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640" w:hanging="436"/>
        <w:spacing w:after="0"/>
        <w:tabs>
          <w:tab w:leader="none" w:pos="6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9" w:lineRule="exact"/>
        <w:rPr>
          <w:sz w:val="20"/>
          <w:szCs w:val="20"/>
          <w:color w:val="auto"/>
        </w:rPr>
      </w:pPr>
    </w:p>
    <w:p>
      <w:pPr>
        <w:ind w:left="640" w:hanging="436"/>
        <w:spacing w:after="0"/>
        <w:tabs>
          <w:tab w:leader="none" w:pos="6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Certain portions of this document that constitute confidential information have been redacted in accordance with Regulation S-K, Item 601(b)(10).</w:t>
      </w:r>
    </w:p>
    <w:p>
      <w:pPr>
        <w:spacing w:after="0" w:line="32"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This exhibit relates to management agreements or compensatory plans or arrangements.</w:t>
      </w:r>
    </w:p>
    <w:p>
      <w:pPr>
        <w:spacing w:after="0" w:line="143" w:lineRule="exact"/>
        <w:rPr>
          <w:rFonts w:ascii="Arial" w:cs="Arial" w:eastAsia="Arial" w:hAnsi="Arial"/>
          <w:sz w:val="16"/>
          <w:szCs w:val="16"/>
          <w:color w:val="auto"/>
        </w:rPr>
      </w:pPr>
    </w:p>
    <w:p>
      <w:pPr>
        <w:ind w:left="5700" w:hanging="166"/>
        <w:spacing w:after="0"/>
        <w:tabs>
          <w:tab w:leader="none" w:pos="57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- 3</w:t>
      </w:r>
    </w:p>
    <w:p>
      <w:pPr>
        <w:sectPr>
          <w:pgSz w:w="11900" w:h="16838" w:orient="portrait"/>
          <w:cols w:equalWidth="0" w:num="1">
            <w:col w:w="11200"/>
          </w:cols>
          <w:pgMar w:left="240" w:top="460"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St. Louis, State of Missouri, on October 7, 2019.</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Darcy Horn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56413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Darcy Horn Davenport</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President and Chief Executive Officer</w:t>
      </w:r>
    </w:p>
    <w:p>
      <w:pPr>
        <w:spacing w:after="0" w:line="31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Each of the undersigned officers and directors of BellRing Brands, Inc. hereby severally constitutes and appoints Darcy Horn Davenport, Diedre J. Gray, Paul A. Rode and Craig L. Rosenthal, and each of them acting alone, as his or her true and lawful attorneys-in-fact and agents, with full power of substitution and resubstitution, for him or her and in his or her name, place and stead, and in any and all capacities, to sign any and all amendments (including post-effective amendments) to this Registration Statement and to file the same, with all exhibits thereto and other documents in connection therewith, with the SEC and any applicable securities exchange or securities self-regulatory body,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individually, or their or his or her substitute or substitutes, may lawfully do or cause to be done by virtue hereof.</w:t>
      </w:r>
    </w:p>
    <w:p>
      <w:pPr>
        <w:spacing w:after="0" w:line="166"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Arial" w:cs="Arial" w:eastAsia="Arial" w:hAnsi="Arial"/>
                <w:sz w:val="14"/>
                <w:szCs w:val="14"/>
                <w:b w:val="1"/>
                <w:bCs w:val="1"/>
                <w:color w:val="auto"/>
              </w:rPr>
              <w:t>Signature</w:t>
            </w:r>
          </w:p>
        </w:tc>
        <w:tc>
          <w:tcPr>
            <w:tcW w:w="1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760" w:type="dxa"/>
            <w:vAlign w:val="bottom"/>
            <w:gridSpan w:val="3"/>
          </w:tcPr>
          <w:p>
            <w:pPr>
              <w:ind w:left="1840"/>
              <w:spacing w:after="0"/>
              <w:rPr>
                <w:sz w:val="20"/>
                <w:szCs w:val="20"/>
                <w:color w:val="auto"/>
              </w:rPr>
            </w:pPr>
            <w:r>
              <w:rPr>
                <w:rFonts w:ascii="Arial" w:cs="Arial" w:eastAsia="Arial" w:hAnsi="Arial"/>
                <w:sz w:val="14"/>
                <w:szCs w:val="14"/>
                <w:b w:val="1"/>
                <w:bCs w:val="1"/>
                <w:color w:val="auto"/>
              </w:rPr>
              <w:t>Title</w:t>
            </w:r>
          </w:p>
        </w:tc>
        <w:tc>
          <w:tcPr>
            <w:tcW w:w="11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40" w:type="dxa"/>
            <w:vAlign w:val="bottom"/>
          </w:tcPr>
          <w:p>
            <w:pPr>
              <w:ind w:left="100"/>
              <w:spacing w:after="0"/>
              <w:rPr>
                <w:sz w:val="20"/>
                <w:szCs w:val="20"/>
                <w:color w:val="auto"/>
              </w:rPr>
            </w:pPr>
            <w:r>
              <w:rPr>
                <w:rFonts w:ascii="Arial" w:cs="Arial" w:eastAsia="Arial" w:hAnsi="Arial"/>
                <w:sz w:val="18"/>
                <w:szCs w:val="18"/>
                <w:color w:val="auto"/>
              </w:rPr>
              <w:t>Executive Chairman</w:t>
            </w: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gridSpan w:val="3"/>
          </w:tcPr>
          <w:p>
            <w:pPr>
              <w:ind w:left="340"/>
              <w:spacing w:after="0"/>
              <w:rPr>
                <w:sz w:val="20"/>
                <w:szCs w:val="20"/>
                <w:color w:val="auto"/>
              </w:rPr>
            </w:pPr>
            <w:r>
              <w:rPr>
                <w:rFonts w:ascii="Arial" w:cs="Arial" w:eastAsia="Arial" w:hAnsi="Arial"/>
                <w:sz w:val="18"/>
                <w:szCs w:val="18"/>
                <w:color w:val="auto"/>
                <w:w w:val="88"/>
              </w:rPr>
              <w:t>October 7, 2019</w:t>
            </w:r>
          </w:p>
        </w:tc>
      </w:tr>
      <w:tr>
        <w:trPr>
          <w:trHeight w:val="224"/>
        </w:trPr>
        <w:tc>
          <w:tcPr>
            <w:tcW w:w="20" w:type="dxa"/>
            <w:vAlign w:val="bottom"/>
          </w:tcPr>
          <w:p>
            <w:pPr>
              <w:spacing w:after="0"/>
              <w:rPr>
                <w:sz w:val="19"/>
                <w:szCs w:val="19"/>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Robert V. Vitale</w:t>
            </w:r>
          </w:p>
        </w:tc>
        <w:tc>
          <w:tcPr>
            <w:tcW w:w="1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color w:val="auto"/>
              </w:rPr>
              <w:t>(Co-Principal Executive Officer and Director)</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1"/>
        </w:trPr>
        <w:tc>
          <w:tcPr>
            <w:tcW w:w="27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Darcy Horn Davenport</w:t>
            </w:r>
          </w:p>
        </w:tc>
        <w:tc>
          <w:tcPr>
            <w:tcW w:w="16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color w:val="auto"/>
              </w:rPr>
              <w:t>President and Chief Executive Officer</w:t>
            </w:r>
          </w:p>
        </w:tc>
        <w:tc>
          <w:tcPr>
            <w:tcW w:w="1500" w:type="dxa"/>
            <w:vAlign w:val="bottom"/>
            <w:gridSpan w:val="3"/>
          </w:tcPr>
          <w:p>
            <w:pPr>
              <w:ind w:left="340"/>
              <w:spacing w:after="0"/>
              <w:rPr>
                <w:sz w:val="20"/>
                <w:szCs w:val="20"/>
                <w:color w:val="auto"/>
              </w:rPr>
            </w:pPr>
            <w:r>
              <w:rPr>
                <w:rFonts w:ascii="Arial" w:cs="Arial" w:eastAsia="Arial" w:hAnsi="Arial"/>
                <w:sz w:val="18"/>
                <w:szCs w:val="18"/>
                <w:color w:val="auto"/>
                <w:w w:val="88"/>
              </w:rPr>
              <w:t>October 7, 2019</w:t>
            </w:r>
          </w:p>
        </w:tc>
      </w:tr>
      <w:tr>
        <w:trPr>
          <w:trHeight w:val="224"/>
        </w:trPr>
        <w:tc>
          <w:tcPr>
            <w:tcW w:w="2760" w:type="dxa"/>
            <w:vAlign w:val="bottom"/>
            <w:gridSpan w:val="4"/>
          </w:tcPr>
          <w:p>
            <w:pPr>
              <w:spacing w:after="0"/>
              <w:rPr>
                <w:sz w:val="20"/>
                <w:szCs w:val="20"/>
                <w:color w:val="auto"/>
              </w:rPr>
            </w:pPr>
            <w:r>
              <w:rPr>
                <w:rFonts w:ascii="Arial" w:cs="Arial" w:eastAsia="Arial" w:hAnsi="Arial"/>
                <w:sz w:val="18"/>
                <w:szCs w:val="18"/>
                <w:color w:val="auto"/>
              </w:rPr>
              <w:t>Darcy Horn Davenport</w:t>
            </w:r>
          </w:p>
        </w:tc>
        <w:tc>
          <w:tcPr>
            <w:tcW w:w="1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color w:val="auto"/>
              </w:rPr>
              <w:t>(Co-Principal Executive Officer)</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1500" w:type="dxa"/>
            <w:vAlign w:val="bottom"/>
            <w:gridSpan w:val="3"/>
          </w:tcPr>
          <w:p>
            <w:pPr>
              <w:ind w:left="340"/>
              <w:spacing w:after="0"/>
              <w:rPr>
                <w:sz w:val="20"/>
                <w:szCs w:val="20"/>
                <w:color w:val="auto"/>
              </w:rPr>
            </w:pPr>
            <w:r>
              <w:rPr>
                <w:rFonts w:ascii="Arial" w:cs="Arial" w:eastAsia="Arial" w:hAnsi="Arial"/>
                <w:sz w:val="18"/>
                <w:szCs w:val="18"/>
                <w:color w:val="auto"/>
                <w:w w:val="88"/>
              </w:rPr>
              <w:t>October 7, 2019</w:t>
            </w:r>
          </w:p>
        </w:tc>
      </w:tr>
      <w:tr>
        <w:trPr>
          <w:trHeight w:val="182"/>
        </w:trPr>
        <w:tc>
          <w:tcPr>
            <w:tcW w:w="20" w:type="dxa"/>
            <w:vAlign w:val="bottom"/>
          </w:tcPr>
          <w:p>
            <w:pPr>
              <w:spacing w:after="0"/>
              <w:rPr>
                <w:sz w:val="15"/>
                <w:szCs w:val="15"/>
                <w:color w:val="auto"/>
              </w:rPr>
            </w:pPr>
          </w:p>
        </w:tc>
        <w:tc>
          <w:tcPr>
            <w:tcW w:w="2740" w:type="dxa"/>
            <w:vAlign w:val="bottom"/>
            <w:gridSpan w:val="3"/>
          </w:tcPr>
          <w:p>
            <w:pPr>
              <w:spacing w:after="0" w:line="182" w:lineRule="exact"/>
              <w:rPr>
                <w:sz w:val="20"/>
                <w:szCs w:val="20"/>
                <w:color w:val="auto"/>
              </w:rPr>
            </w:pPr>
            <w:r>
              <w:rPr>
                <w:rFonts w:ascii="Arial" w:cs="Arial" w:eastAsia="Arial" w:hAnsi="Arial"/>
                <w:sz w:val="18"/>
                <w:szCs w:val="18"/>
                <w:color w:val="auto"/>
              </w:rPr>
              <w:t>Paul A. Rode</w:t>
            </w:r>
          </w:p>
        </w:tc>
        <w:tc>
          <w:tcPr>
            <w:tcW w:w="1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760" w:type="dxa"/>
            <w:vAlign w:val="bottom"/>
            <w:gridSpan w:val="3"/>
          </w:tcPr>
          <w:p>
            <w:pPr>
              <w:ind w:left="100"/>
              <w:spacing w:after="0" w:line="182" w:lineRule="exact"/>
              <w:rPr>
                <w:sz w:val="20"/>
                <w:szCs w:val="20"/>
                <w:color w:val="auto"/>
              </w:rPr>
            </w:pPr>
            <w:r>
              <w:rPr>
                <w:rFonts w:ascii="Arial" w:cs="Arial" w:eastAsia="Arial" w:hAnsi="Arial"/>
                <w:sz w:val="18"/>
                <w:szCs w:val="18"/>
                <w:color w:val="auto"/>
              </w:rPr>
              <w:t>(Principal Financial Officer and Principal</w:t>
            </w: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color w:val="auto"/>
              </w:rPr>
              <w:t>Accounting Officer)</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ind w:left="340"/>
              <w:spacing w:after="0"/>
              <w:rPr>
                <w:sz w:val="20"/>
                <w:szCs w:val="20"/>
                <w:color w:val="auto"/>
              </w:rPr>
            </w:pPr>
            <w:r>
              <w:rPr>
                <w:rFonts w:ascii="Arial" w:cs="Arial" w:eastAsia="Arial" w:hAnsi="Arial"/>
                <w:sz w:val="18"/>
                <w:szCs w:val="18"/>
                <w:color w:val="auto"/>
                <w:w w:val="88"/>
              </w:rPr>
              <w:t>October 7, 2019</w:t>
            </w:r>
          </w:p>
        </w:tc>
      </w:tr>
      <w:tr>
        <w:trPr>
          <w:trHeight w:val="224"/>
        </w:trPr>
        <w:tc>
          <w:tcPr>
            <w:tcW w:w="20" w:type="dxa"/>
            <w:vAlign w:val="bottom"/>
          </w:tcPr>
          <w:p>
            <w:pPr>
              <w:spacing w:after="0"/>
              <w:rPr>
                <w:sz w:val="19"/>
                <w:szCs w:val="19"/>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Jeff A. Zadoks</w:t>
            </w:r>
          </w:p>
        </w:tc>
        <w:tc>
          <w:tcPr>
            <w:tcW w:w="1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ind w:left="340"/>
              <w:spacing w:after="0"/>
              <w:rPr>
                <w:sz w:val="20"/>
                <w:szCs w:val="20"/>
                <w:color w:val="auto"/>
              </w:rPr>
            </w:pPr>
            <w:r>
              <w:rPr>
                <w:rFonts w:ascii="Arial" w:cs="Arial" w:eastAsia="Arial" w:hAnsi="Arial"/>
                <w:sz w:val="18"/>
                <w:szCs w:val="18"/>
                <w:color w:val="auto"/>
                <w:w w:val="88"/>
              </w:rPr>
              <w:t>October 7, 2019</w:t>
            </w:r>
          </w:p>
        </w:tc>
      </w:tr>
      <w:tr>
        <w:trPr>
          <w:trHeight w:val="224"/>
        </w:trPr>
        <w:tc>
          <w:tcPr>
            <w:tcW w:w="20" w:type="dxa"/>
            <w:vAlign w:val="bottom"/>
          </w:tcPr>
          <w:p>
            <w:pPr>
              <w:spacing w:after="0"/>
              <w:rPr>
                <w:sz w:val="19"/>
                <w:szCs w:val="19"/>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Diedre J. Gray</w:t>
            </w:r>
          </w:p>
        </w:tc>
        <w:tc>
          <w:tcPr>
            <w:tcW w:w="1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8"/>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21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3"/>
              </w:rPr>
              <w:t>/s/ Darcy Horn Davenport</w:t>
            </w:r>
          </w:p>
        </w:tc>
        <w:tc>
          <w:tcPr>
            <w:tcW w:w="16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580" w:type="dxa"/>
            <w:vAlign w:val="bottom"/>
            <w:gridSpan w:val="2"/>
          </w:tcPr>
          <w:p>
            <w:pPr>
              <w:spacing w:after="0" w:line="195" w:lineRule="exact"/>
              <w:rPr>
                <w:sz w:val="20"/>
                <w:szCs w:val="20"/>
                <w:color w:val="auto"/>
              </w:rPr>
            </w:pPr>
            <w:r>
              <w:rPr>
                <w:rFonts w:ascii="Arial" w:cs="Arial" w:eastAsia="Arial" w:hAnsi="Arial"/>
                <w:sz w:val="18"/>
                <w:szCs w:val="18"/>
                <w:color w:val="auto"/>
              </w:rPr>
              <w:t>Name:</w:t>
            </w:r>
          </w:p>
        </w:tc>
        <w:tc>
          <w:tcPr>
            <w:tcW w:w="218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Darcy Horn Davenport</w:t>
            </w:r>
          </w:p>
        </w:tc>
        <w:tc>
          <w:tcPr>
            <w:tcW w:w="1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2180" w:type="dxa"/>
            <w:vAlign w:val="bottom"/>
            <w:gridSpan w:val="2"/>
          </w:tcPr>
          <w:p>
            <w:pPr>
              <w:ind w:left="40"/>
              <w:spacing w:after="0"/>
              <w:rPr>
                <w:sz w:val="20"/>
                <w:szCs w:val="20"/>
                <w:color w:val="auto"/>
              </w:rPr>
            </w:pPr>
            <w:r>
              <w:rPr>
                <w:rFonts w:ascii="Arial" w:cs="Arial" w:eastAsia="Arial" w:hAnsi="Arial"/>
                <w:sz w:val="18"/>
                <w:szCs w:val="18"/>
                <w:color w:val="auto"/>
              </w:rPr>
              <w:t>Attorney-in-Fact</w:t>
            </w:r>
          </w:p>
        </w:tc>
        <w:tc>
          <w:tcPr>
            <w:tcW w:w="1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 - 4</w:t>
      </w:r>
    </w:p>
    <w:p>
      <w:pPr>
        <w:sectPr>
          <w:pgSz w:w="11900" w:h="16838" w:orient="portrait"/>
          <w:cols w:equalWidth="0" w:num="1">
            <w:col w:w="11220"/>
          </w:cols>
          <w:pgMar w:left="240" w:top="459" w:right="4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HARES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LASS</w:t>
      </w:r>
      <w:r>
        <w:rPr>
          <w:rFonts w:ascii="Arial" w:cs="Arial" w:eastAsia="Arial" w:hAnsi="Arial"/>
          <w:sz w:val="18"/>
          <w:szCs w:val="18"/>
          <w:b w:val="1"/>
          <w:bCs w:val="1"/>
          <w:color w:val="auto"/>
        </w:rPr>
        <w:t xml:space="preserve"> A </w:t>
      </w:r>
      <w:r>
        <w:rPr>
          <w:rFonts w:ascii="Arial" w:cs="Arial" w:eastAsia="Arial" w:hAnsi="Arial"/>
          <w:sz w:val="15"/>
          <w:szCs w:val="15"/>
          <w:b w:val="1"/>
          <w:bCs w:val="1"/>
          <w:color w:val="auto"/>
        </w:rPr>
        <w:t>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ELL</w:t>
      </w:r>
      <w:r>
        <w:rPr>
          <w:rFonts w:ascii="Arial" w:cs="Arial" w:eastAsia="Arial" w:hAnsi="Arial"/>
          <w:sz w:val="18"/>
          <w:szCs w:val="18"/>
          <w:b w:val="1"/>
          <w:bCs w:val="1"/>
          <w:color w:val="auto"/>
        </w:rPr>
        <w:t>R</w:t>
      </w:r>
      <w:r>
        <w:rPr>
          <w:rFonts w:ascii="Arial" w:cs="Arial" w:eastAsia="Arial" w:hAnsi="Arial"/>
          <w:sz w:val="15"/>
          <w:szCs w:val="15"/>
          <w:b w:val="1"/>
          <w:bCs w:val="1"/>
          <w:color w:val="auto"/>
        </w:rPr>
        <w:t>ING</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RANDS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LASS</w:t>
      </w:r>
      <w:r>
        <w:rPr>
          <w:rFonts w:ascii="Arial" w:cs="Arial" w:eastAsia="Arial" w:hAnsi="Arial"/>
          <w:sz w:val="18"/>
          <w:szCs w:val="18"/>
          <w:b w:val="1"/>
          <w:bCs w:val="1"/>
          <w:color w:val="auto"/>
        </w:rPr>
        <w:t xml:space="preserve"> A C</w:t>
      </w:r>
      <w:r>
        <w:rPr>
          <w:rFonts w:ascii="Arial" w:cs="Arial" w:eastAsia="Arial" w:hAnsi="Arial"/>
          <w:sz w:val="15"/>
          <w:szCs w:val="15"/>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UNDERWRITING AGREEMENT</w:t>
      </w:r>
    </w:p>
    <w:p>
      <w:pPr>
        <w:spacing w:after="0" w:line="229" w:lineRule="exact"/>
        <w:rPr>
          <w:sz w:val="20"/>
          <w:szCs w:val="20"/>
          <w:color w:val="auto"/>
        </w:rPr>
      </w:pPr>
    </w:p>
    <w:p>
      <w:pPr>
        <w:ind w:left="9720"/>
        <w:spacing w:after="0"/>
        <w:tabs>
          <w:tab w:leader="none" w:pos="10560" w:val="left"/>
        </w:tabs>
        <w:rPr>
          <w:sz w:val="20"/>
          <w:szCs w:val="20"/>
          <w:color w:val="auto"/>
        </w:rPr>
      </w:pPr>
      <w:r>
        <w:rPr>
          <w:rFonts w:ascii="Arial" w:cs="Arial" w:eastAsia="Arial" w:hAnsi="Arial"/>
          <w:sz w:val="15"/>
          <w:szCs w:val="15"/>
          <w:color w:val="auto"/>
        </w:rPr>
        <w:t>October</w:t>
      </w:r>
      <w:r>
        <w:rPr>
          <w:sz w:val="20"/>
          <w:szCs w:val="20"/>
          <w:color w:val="auto"/>
        </w:rPr>
        <w:tab/>
      </w:r>
      <w:r>
        <w:rPr>
          <w:rFonts w:ascii="Arial" w:cs="Arial" w:eastAsia="Arial" w:hAnsi="Arial"/>
          <w:sz w:val="15"/>
          <w:szCs w:val="15"/>
          <w:color w:val="auto"/>
        </w:rPr>
        <w:t>, 2019</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ORGAN</w:t>
      </w:r>
      <w:r>
        <w:rPr>
          <w:rFonts w:ascii="Arial" w:cs="Arial" w:eastAsia="Arial" w:hAnsi="Arial"/>
          <w:sz w:val="18"/>
          <w:szCs w:val="18"/>
          <w:color w:val="auto"/>
        </w:rPr>
        <w:t xml:space="preserve"> S</w:t>
      </w:r>
      <w:r>
        <w:rPr>
          <w:rFonts w:ascii="Arial" w:cs="Arial" w:eastAsia="Arial" w:hAnsi="Arial"/>
          <w:sz w:val="15"/>
          <w:szCs w:val="15"/>
          <w:color w:val="auto"/>
        </w:rPr>
        <w:t>TANLEY</w:t>
      </w:r>
      <w:r>
        <w:rPr>
          <w:rFonts w:ascii="Arial" w:cs="Arial" w:eastAsia="Arial" w:hAnsi="Arial"/>
          <w:sz w:val="18"/>
          <w:szCs w:val="18"/>
          <w:color w:val="auto"/>
        </w:rPr>
        <w:t xml:space="preserve"> &amp; C</w:t>
      </w:r>
      <w:r>
        <w:rPr>
          <w:rFonts w:ascii="Arial" w:cs="Arial" w:eastAsia="Arial" w:hAnsi="Arial"/>
          <w:sz w:val="15"/>
          <w:szCs w:val="15"/>
          <w:color w:val="auto"/>
        </w:rPr>
        <w:t>O</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5"/>
          <w:szCs w:val="15"/>
          <w:color w:val="auto"/>
        </w:rPr>
        <w:t>OLDMAN</w:t>
      </w:r>
      <w:r>
        <w:rPr>
          <w:rFonts w:ascii="Arial" w:cs="Arial" w:eastAsia="Arial" w:hAnsi="Arial"/>
          <w:sz w:val="18"/>
          <w:szCs w:val="18"/>
          <w:color w:val="auto"/>
        </w:rPr>
        <w:t xml:space="preserve"> S</w:t>
      </w:r>
      <w:r>
        <w:rPr>
          <w:rFonts w:ascii="Arial" w:cs="Arial" w:eastAsia="Arial" w:hAnsi="Arial"/>
          <w:sz w:val="15"/>
          <w:szCs w:val="15"/>
          <w:color w:val="auto"/>
        </w:rPr>
        <w:t>ACHS</w:t>
      </w:r>
      <w:r>
        <w:rPr>
          <w:rFonts w:ascii="Arial" w:cs="Arial" w:eastAsia="Arial" w:hAnsi="Arial"/>
          <w:sz w:val="18"/>
          <w:szCs w:val="18"/>
          <w:color w:val="auto"/>
        </w:rPr>
        <w:t xml:space="preserve"> &amp; C</w:t>
      </w:r>
      <w:r>
        <w:rPr>
          <w:rFonts w:ascii="Arial" w:cs="Arial" w:eastAsia="Arial" w:hAnsi="Arial"/>
          <w:sz w:val="15"/>
          <w:szCs w:val="15"/>
          <w:color w:val="auto"/>
        </w:rPr>
        <w:t>O</w:t>
      </w:r>
      <w:r>
        <w:rPr>
          <w:rFonts w:ascii="Arial" w:cs="Arial" w:eastAsia="Arial" w:hAnsi="Arial"/>
          <w:sz w:val="18"/>
          <w:szCs w:val="18"/>
          <w:color w:val="auto"/>
        </w:rPr>
        <w: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ITIGROUP</w:t>
      </w:r>
      <w:r>
        <w:rPr>
          <w:rFonts w:ascii="Arial" w:cs="Arial" w:eastAsia="Arial" w:hAnsi="Arial"/>
          <w:sz w:val="18"/>
          <w:szCs w:val="18"/>
          <w:color w:val="auto"/>
        </w:rPr>
        <w:t xml:space="preserve"> G</w:t>
      </w:r>
      <w:r>
        <w:rPr>
          <w:rFonts w:ascii="Arial" w:cs="Arial" w:eastAsia="Arial" w:hAnsi="Arial"/>
          <w:sz w:val="15"/>
          <w:szCs w:val="15"/>
          <w:color w:val="auto"/>
        </w:rPr>
        <w:t>LOBAL</w:t>
      </w:r>
      <w:r>
        <w:rPr>
          <w:rFonts w:ascii="Arial" w:cs="Arial" w:eastAsia="Arial" w:hAnsi="Arial"/>
          <w:sz w:val="18"/>
          <w:szCs w:val="18"/>
          <w:color w:val="auto"/>
        </w:rPr>
        <w:t xml:space="preserve"> M</w:t>
      </w:r>
      <w:r>
        <w:rPr>
          <w:rFonts w:ascii="Arial" w:cs="Arial" w:eastAsia="Arial" w:hAnsi="Arial"/>
          <w:sz w:val="15"/>
          <w:szCs w:val="15"/>
          <w:color w:val="auto"/>
        </w:rPr>
        <w:t>ARKETS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5"/>
          <w:szCs w:val="15"/>
          <w:color w:val="auto"/>
        </w:rPr>
        <w:t>ORGAN</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Underwriters named in Schedule I attached hereto,</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BellRing Brands,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to the several Underwriters named in Schedule</w:t>
      </w:r>
    </w:p>
    <w:p>
      <w:pPr>
        <w:spacing w:after="0" w:line="50" w:lineRule="exact"/>
        <w:rPr>
          <w:sz w:val="20"/>
          <w:szCs w:val="20"/>
          <w:color w:val="auto"/>
        </w:rPr>
      </w:pPr>
    </w:p>
    <w:p>
      <w:pPr>
        <w:ind w:right="600"/>
        <w:spacing w:after="0" w:line="265" w:lineRule="auto"/>
        <w:rPr>
          <w:sz w:val="20"/>
          <w:szCs w:val="20"/>
          <w:color w:val="auto"/>
        </w:rPr>
      </w:pPr>
      <w:r>
        <w:rPr>
          <w:rFonts w:ascii="Arial" w:cs="Arial" w:eastAsia="Arial" w:hAnsi="Arial"/>
          <w:sz w:val="17"/>
          <w:szCs w:val="17"/>
          <w:color w:val="auto"/>
        </w:rPr>
        <w:t>I hereto (the “</w:t>
      </w:r>
      <w:r>
        <w:rPr>
          <w:rFonts w:ascii="Arial" w:cs="Arial" w:eastAsia="Arial" w:hAnsi="Arial"/>
          <w:sz w:val="17"/>
          <w:szCs w:val="17"/>
          <w:b w:val="1"/>
          <w:bCs w:val="1"/>
          <w:color w:val="auto"/>
        </w:rPr>
        <w:t>Underwriters</w:t>
      </w:r>
      <w:r>
        <w:rPr>
          <w:rFonts w:ascii="Arial" w:cs="Arial" w:eastAsia="Arial" w:hAnsi="Arial"/>
          <w:sz w:val="17"/>
          <w:szCs w:val="17"/>
          <w:color w:val="auto"/>
        </w:rPr>
        <w:t>”) an aggregate of shares (the “</w:t>
      </w:r>
      <w:r>
        <w:rPr>
          <w:rFonts w:ascii="Arial" w:cs="Arial" w:eastAsia="Arial" w:hAnsi="Arial"/>
          <w:sz w:val="17"/>
          <w:szCs w:val="17"/>
          <w:b w:val="1"/>
          <w:bCs w:val="1"/>
          <w:color w:val="auto"/>
        </w:rPr>
        <w:t>Firm Stock</w:t>
      </w:r>
      <w:r>
        <w:rPr>
          <w:rFonts w:ascii="Arial" w:cs="Arial" w:eastAsia="Arial" w:hAnsi="Arial"/>
          <w:sz w:val="17"/>
          <w:szCs w:val="17"/>
          <w:color w:val="auto"/>
        </w:rPr>
        <w:t>”) of its Class A common stock, par value $0.01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The Company also proposes to issue and sell to the several Underwriters not more than an additional shares of its</w:t>
      </w:r>
    </w:p>
    <w:p>
      <w:pPr>
        <w:spacing w:after="0" w:line="295" w:lineRule="auto"/>
        <w:rPr>
          <w:sz w:val="20"/>
          <w:szCs w:val="20"/>
          <w:color w:val="auto"/>
        </w:rPr>
      </w:pPr>
      <w:r>
        <w:rPr>
          <w:rFonts w:ascii="Arial" w:cs="Arial" w:eastAsia="Arial" w:hAnsi="Arial"/>
          <w:sz w:val="16"/>
          <w:szCs w:val="16"/>
          <w:color w:val="auto"/>
        </w:rPr>
        <w:t>Class A common stock, par value $0.01 per share (the “</w:t>
      </w:r>
      <w:r>
        <w:rPr>
          <w:rFonts w:ascii="Arial" w:cs="Arial" w:eastAsia="Arial" w:hAnsi="Arial"/>
          <w:sz w:val="16"/>
          <w:szCs w:val="16"/>
          <w:b w:val="1"/>
          <w:bCs w:val="1"/>
          <w:color w:val="auto"/>
        </w:rPr>
        <w:t>Option Stock</w:t>
      </w:r>
      <w:r>
        <w:rPr>
          <w:rFonts w:ascii="Arial" w:cs="Arial" w:eastAsia="Arial" w:hAnsi="Arial"/>
          <w:sz w:val="16"/>
          <w:szCs w:val="16"/>
          <w:color w:val="auto"/>
        </w:rPr>
        <w:t>”) if and to the extent that you, as representatives of the several underwriters (the “</w:t>
      </w:r>
      <w:r>
        <w:rPr>
          <w:rFonts w:ascii="Arial" w:cs="Arial" w:eastAsia="Arial" w:hAnsi="Arial"/>
          <w:sz w:val="16"/>
          <w:szCs w:val="16"/>
          <w:b w:val="1"/>
          <w:bCs w:val="1"/>
          <w:color w:val="auto"/>
        </w:rPr>
        <w:t>Representatives</w:t>
      </w:r>
      <w:r>
        <w:rPr>
          <w:rFonts w:ascii="Arial" w:cs="Arial" w:eastAsia="Arial" w:hAnsi="Arial"/>
          <w:sz w:val="16"/>
          <w:szCs w:val="16"/>
          <w:color w:val="auto"/>
        </w:rPr>
        <w:t>”) of the offering, shall have determined to exercise, on behalf of the Underwriters, the right to purchase such shares of Class A common stock granted to the Underwriters in Section 2 hereof. The Firm Stock and the Option Stock, if purchased, are hereinafter collectively called the “</w:t>
      </w:r>
      <w:r>
        <w:rPr>
          <w:rFonts w:ascii="Arial" w:cs="Arial" w:eastAsia="Arial" w:hAnsi="Arial"/>
          <w:sz w:val="16"/>
          <w:szCs w:val="16"/>
          <w:b w:val="1"/>
          <w:bCs w:val="1"/>
          <w:color w:val="auto"/>
        </w:rPr>
        <w:t>Stock</w:t>
      </w:r>
      <w:r>
        <w:rPr>
          <w:rFonts w:ascii="Arial" w:cs="Arial" w:eastAsia="Arial" w:hAnsi="Arial"/>
          <w:sz w:val="16"/>
          <w:szCs w:val="16"/>
          <w:color w:val="auto"/>
        </w:rPr>
        <w:t>.” This Agreement is to confirm the agreement concerning the purchase of the Stock from the Company by the Underwriters.</w:t>
      </w:r>
    </w:p>
    <w:p>
      <w:pPr>
        <w:sectPr>
          <w:pgSz w:w="11900" w:h="16838" w:orient="portrait"/>
          <w:cols w:equalWidth="0" w:num="1">
            <w:col w:w="11020"/>
          </w:cols>
          <w:pgMar w:left="440" w:top="122" w:right="439" w:bottom="1440" w:gutter="0" w:footer="0" w:header="0"/>
        </w:sectPr>
      </w:pPr>
    </w:p>
    <w:bookmarkStart w:id="238" w:name="page239"/>
    <w:bookmarkEnd w:id="238"/>
    <w:p>
      <w:pPr>
        <w:ind w:left="10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on Form S-1 (File No</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333-233867), including a prospectus, relating to the Stock. The registration statement as amended at the time it becomes effective, including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information (if any) deemed to be part of the registration statement at the time of effectiveness pursuant to Rule 430A under the Securities Act of 1933,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is hereinafter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 prospectus in the form first used to confirm sales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(or in the form first made available to the Underwriters by the Company to meet requests of purchasers pursuant to Rule 173 under the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 is hereinafter referred to as the “</w:t>
      </w:r>
      <w:r>
        <w:rPr>
          <w:rFonts w:ascii="Arial" w:cs="Arial" w:eastAsia="Arial" w:hAnsi="Arial"/>
          <w:sz w:val="17"/>
          <w:szCs w:val="17"/>
          <w:b w:val="1"/>
          <w:bCs w:val="1"/>
          <w:color w:val="auto"/>
        </w:rPr>
        <w:t>Prospectus</w:t>
      </w:r>
      <w:r>
        <w:rPr>
          <w:rFonts w:ascii="Arial" w:cs="Arial" w:eastAsia="Arial" w:hAnsi="Arial"/>
          <w:sz w:val="17"/>
          <w:szCs w:val="17"/>
          <w:color w:val="auto"/>
        </w:rPr>
        <w:t>.” If the Company has filed an abbreviated registration statement to register additional shares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common stock pursuant to Rule 462(b) under the Securities Act (the “</w:t>
      </w:r>
      <w:r>
        <w:rPr>
          <w:rFonts w:ascii="Arial" w:cs="Arial" w:eastAsia="Arial" w:hAnsi="Arial"/>
          <w:sz w:val="17"/>
          <w:szCs w:val="17"/>
          <w:b w:val="1"/>
          <w:bCs w:val="1"/>
          <w:color w:val="auto"/>
        </w:rPr>
        <w:t>Rule 462 Registration Statement</w:t>
      </w:r>
      <w:r>
        <w:rPr>
          <w:rFonts w:ascii="Arial" w:cs="Arial" w:eastAsia="Arial" w:hAnsi="Arial"/>
          <w:sz w:val="17"/>
          <w:szCs w:val="17"/>
          <w:color w:val="auto"/>
        </w:rPr>
        <w:t>”), then any reference herein to the term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be deemed to include such Rule 462 Registration Statement. “</w:t>
      </w:r>
      <w:r>
        <w:rPr>
          <w:rFonts w:ascii="Arial" w:cs="Arial" w:eastAsia="Arial" w:hAnsi="Arial"/>
          <w:sz w:val="16"/>
          <w:szCs w:val="16"/>
          <w:b w:val="1"/>
          <w:bCs w:val="1"/>
          <w:color w:val="auto"/>
        </w:rPr>
        <w:t>Effective Date</w:t>
      </w:r>
      <w:r>
        <w:rPr>
          <w:rFonts w:ascii="Arial" w:cs="Arial" w:eastAsia="Arial" w:hAnsi="Arial"/>
          <w:sz w:val="16"/>
          <w:szCs w:val="16"/>
          <w:color w:val="auto"/>
        </w:rPr>
        <w:t>” means the date and time as of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registration statement, or the most recent post-effective amendment thereto, became effective, or is deemed to have become effective by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Commission, in accordance with the rules and regulations under the Securities Act.</w:t>
      </w:r>
    </w:p>
    <w:p>
      <w:pPr>
        <w:spacing w:after="0" w:line="207" w:lineRule="exact"/>
        <w:rPr>
          <w:sz w:val="20"/>
          <w:szCs w:val="20"/>
          <w:color w:val="auto"/>
        </w:rPr>
      </w:pPr>
    </w:p>
    <w:p>
      <w:pPr>
        <w:ind w:right="60" w:firstLine="992"/>
        <w:spacing w:after="0" w:line="258" w:lineRule="auto"/>
        <w:rPr>
          <w:sz w:val="20"/>
          <w:szCs w:val="20"/>
          <w:color w:val="auto"/>
        </w:rPr>
      </w:pPr>
      <w:r>
        <w:rPr>
          <w:rFonts w:ascii="Arial" w:cs="Arial" w:eastAsia="Arial" w:hAnsi="Arial"/>
          <w:sz w:val="18"/>
          <w:szCs w:val="18"/>
          <w:color w:val="auto"/>
        </w:rPr>
        <w:t>In connection with the sale of Stock by the Company to the Underwriters, the Company and Post Holdings, Inc. (“</w:t>
      </w:r>
      <w:r>
        <w:rPr>
          <w:rFonts w:ascii="Arial" w:cs="Arial" w:eastAsia="Arial" w:hAnsi="Arial"/>
          <w:sz w:val="18"/>
          <w:szCs w:val="18"/>
          <w:b w:val="1"/>
          <w:bCs w:val="1"/>
          <w:color w:val="auto"/>
        </w:rPr>
        <w:t>Post</w:t>
      </w:r>
      <w:r>
        <w:rPr>
          <w:rFonts w:ascii="Arial" w:cs="Arial" w:eastAsia="Arial" w:hAnsi="Arial"/>
          <w:sz w:val="18"/>
          <w:szCs w:val="18"/>
          <w:color w:val="auto"/>
        </w:rPr>
        <w:t>”) will complete a series of formation transactions whereby Post’s Active Nutrition business will be transferred to BellRing Brands, LLC and the other transactions described below and in the master transaction agreement will be completed, which collectively are referred to herein as the “</w:t>
      </w:r>
      <w:r>
        <w:rPr>
          <w:rFonts w:ascii="Arial" w:cs="Arial" w:eastAsia="Arial" w:hAnsi="Arial"/>
          <w:sz w:val="18"/>
          <w:szCs w:val="18"/>
          <w:b w:val="1"/>
          <w:bCs w:val="1"/>
          <w:color w:val="auto"/>
        </w:rPr>
        <w:t>Transactions</w:t>
      </w:r>
      <w:r>
        <w:rPr>
          <w:rFonts w:ascii="Arial" w:cs="Arial" w:eastAsia="Arial" w:hAnsi="Arial"/>
          <w:sz w:val="18"/>
          <w:szCs w:val="18"/>
          <w:color w:val="auto"/>
        </w:rPr>
        <w:t>.” Each of the Company and BellRing Brands, LLC is referred to herein as a “</w:t>
      </w:r>
      <w:r>
        <w:rPr>
          <w:rFonts w:ascii="Arial" w:cs="Arial" w:eastAsia="Arial" w:hAnsi="Arial"/>
          <w:sz w:val="18"/>
          <w:szCs w:val="18"/>
          <w:b w:val="1"/>
          <w:bCs w:val="1"/>
          <w:color w:val="auto"/>
        </w:rPr>
        <w:t>BellRing 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BellRing Parties</w:t>
      </w:r>
      <w:r>
        <w:rPr>
          <w:rFonts w:ascii="Arial" w:cs="Arial" w:eastAsia="Arial" w:hAnsi="Arial"/>
          <w:sz w:val="18"/>
          <w:szCs w:val="18"/>
          <w:color w:val="auto"/>
        </w:rPr>
        <w:t>.” The Transactions include, or will include, the following:</w:t>
      </w:r>
    </w:p>
    <w:p>
      <w:pPr>
        <w:spacing w:after="0" w:line="80" w:lineRule="exact"/>
        <w:rPr>
          <w:sz w:val="20"/>
          <w:szCs w:val="20"/>
          <w:color w:val="auto"/>
        </w:rPr>
      </w:pPr>
    </w:p>
    <w:p>
      <w:pPr>
        <w:ind w:left="680" w:hanging="236"/>
        <w:spacing w:after="0"/>
        <w:tabs>
          <w:tab w:leader="none" w:pos="6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Prior to completion of the offering contemplated by this Agreement:</w:t>
      </w:r>
    </w:p>
    <w:p>
      <w:pPr>
        <w:spacing w:after="0" w:line="117" w:lineRule="exact"/>
        <w:rPr>
          <w:rFonts w:ascii="Arial" w:cs="Arial" w:eastAsia="Arial" w:hAnsi="Arial"/>
          <w:sz w:val="18"/>
          <w:szCs w:val="18"/>
          <w:color w:val="auto"/>
        </w:rPr>
      </w:pPr>
    </w:p>
    <w:p>
      <w:pPr>
        <w:ind w:left="440" w:right="160" w:firstLine="428"/>
        <w:spacing w:after="0" w:line="264" w:lineRule="auto"/>
        <w:tabs>
          <w:tab w:leader="none" w:pos="107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each of TA/DEI-B1 Acquisition Corp., a Delaware corporation, TA/DEI-B2 Acquisition Corp., a Delaware corporation and TA/DEI-B3 Acquisition Corp., a Delaware corporation merged with and into the TA/DEI-A Acquisition Corp., a Delaware corporation (the “</w:t>
      </w:r>
      <w:r>
        <w:rPr>
          <w:rFonts w:ascii="Arial" w:cs="Arial" w:eastAsia="Arial" w:hAnsi="Arial"/>
          <w:sz w:val="18"/>
          <w:szCs w:val="18"/>
          <w:b w:val="1"/>
          <w:bCs w:val="1"/>
          <w:color w:val="auto"/>
        </w:rPr>
        <w:t>A Blocker</w:t>
      </w:r>
      <w:r>
        <w:rPr>
          <w:rFonts w:ascii="Arial" w:cs="Arial" w:eastAsia="Arial" w:hAnsi="Arial"/>
          <w:sz w:val="18"/>
          <w:szCs w:val="18"/>
          <w:color w:val="auto"/>
        </w:rPr>
        <w:t>”), with the A Blocker as the sole surviving corporation;</w:t>
      </w:r>
    </w:p>
    <w:p>
      <w:pPr>
        <w:spacing w:after="0" w:line="69" w:lineRule="exact"/>
        <w:rPr>
          <w:rFonts w:ascii="Arial" w:cs="Arial" w:eastAsia="Arial" w:hAnsi="Arial"/>
          <w:sz w:val="18"/>
          <w:szCs w:val="18"/>
          <w:color w:val="auto"/>
        </w:rPr>
      </w:pPr>
    </w:p>
    <w:p>
      <w:pPr>
        <w:ind w:left="1140" w:hanging="272"/>
        <w:spacing w:after="0"/>
        <w:tabs>
          <w:tab w:leader="none" w:pos="114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Premier Nutrition Corporation (“</w:t>
      </w:r>
      <w:r>
        <w:rPr>
          <w:rFonts w:ascii="Arial" w:cs="Arial" w:eastAsia="Arial" w:hAnsi="Arial"/>
          <w:sz w:val="17"/>
          <w:szCs w:val="17"/>
          <w:b w:val="1"/>
          <w:bCs w:val="1"/>
          <w:color w:val="auto"/>
        </w:rPr>
        <w:t>Premier Nutrition</w:t>
      </w:r>
      <w:r>
        <w:rPr>
          <w:rFonts w:ascii="Arial" w:cs="Arial" w:eastAsia="Arial" w:hAnsi="Arial"/>
          <w:sz w:val="17"/>
          <w:szCs w:val="17"/>
          <w:color w:val="auto"/>
        </w:rPr>
        <w:t>”) converted from a Delaware corporation to a Delaware limited liability company;</w:t>
      </w:r>
    </w:p>
    <w:p>
      <w:pPr>
        <w:spacing w:after="0" w:line="128" w:lineRule="exact"/>
        <w:rPr>
          <w:rFonts w:ascii="Arial" w:cs="Arial" w:eastAsia="Arial" w:hAnsi="Arial"/>
          <w:sz w:val="17"/>
          <w:szCs w:val="17"/>
          <w:color w:val="auto"/>
        </w:rPr>
      </w:pPr>
    </w:p>
    <w:p>
      <w:pPr>
        <w:ind w:left="440" w:right="140" w:firstLine="428"/>
        <w:spacing w:after="0" w:line="266" w:lineRule="auto"/>
        <w:tabs>
          <w:tab w:leader="none" w:pos="117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each of Premier Nutrition and Dymatize Enterprises, LLC (“</w:t>
      </w:r>
      <w:r>
        <w:rPr>
          <w:rFonts w:ascii="Arial" w:cs="Arial" w:eastAsia="Arial" w:hAnsi="Arial"/>
          <w:sz w:val="18"/>
          <w:szCs w:val="18"/>
          <w:b w:val="1"/>
          <w:bCs w:val="1"/>
          <w:color w:val="auto"/>
        </w:rPr>
        <w:t>Dymatize Enterprises</w:t>
      </w:r>
      <w:r>
        <w:rPr>
          <w:rFonts w:ascii="Arial" w:cs="Arial" w:eastAsia="Arial" w:hAnsi="Arial"/>
          <w:sz w:val="18"/>
          <w:szCs w:val="18"/>
          <w:color w:val="auto"/>
        </w:rPr>
        <w:t>”) distributed (in one or more distributions to or by their applicable affiliates) to Post their respective intercompany receivables due from Post or its subsidiaries (other than BellRing Brands, LLC and its subsidiaries) in cancellation of such intercompany balances;</w:t>
      </w:r>
    </w:p>
    <w:p>
      <w:pPr>
        <w:spacing w:after="0" w:line="72" w:lineRule="exact"/>
        <w:rPr>
          <w:rFonts w:ascii="Arial" w:cs="Arial" w:eastAsia="Arial" w:hAnsi="Arial"/>
          <w:sz w:val="18"/>
          <w:szCs w:val="18"/>
          <w:color w:val="auto"/>
        </w:rPr>
      </w:pPr>
    </w:p>
    <w:p>
      <w:pPr>
        <w:ind w:left="440" w:firstLine="428"/>
        <w:spacing w:after="0" w:line="308" w:lineRule="auto"/>
        <w:tabs>
          <w:tab w:leader="none" w:pos="1168" w:val="left"/>
        </w:tabs>
        <w:numPr>
          <w:ilvl w:val="1"/>
          <w:numId w:val="129"/>
        </w:numPr>
        <w:rPr>
          <w:rFonts w:ascii="Arial" w:cs="Arial" w:eastAsia="Arial" w:hAnsi="Arial"/>
          <w:sz w:val="17"/>
          <w:szCs w:val="17"/>
          <w:color w:val="auto"/>
        </w:rPr>
      </w:pPr>
      <w:r>
        <w:rPr>
          <w:rFonts w:ascii="Arial" w:cs="Arial" w:eastAsia="Arial" w:hAnsi="Arial"/>
          <w:sz w:val="17"/>
          <w:szCs w:val="17"/>
          <w:color w:val="auto"/>
        </w:rPr>
        <w:t>Post Acquisition Sub IV, LLC merged with and into BellRing Brands, LLC, with BellRing Brands, LLC as the surviving entity, and, as a result, Active Nutrition International GmbH (“</w:t>
      </w:r>
      <w:r>
        <w:rPr>
          <w:rFonts w:ascii="Arial" w:cs="Arial" w:eastAsia="Arial" w:hAnsi="Arial"/>
          <w:sz w:val="17"/>
          <w:szCs w:val="17"/>
          <w:b w:val="1"/>
          <w:bCs w:val="1"/>
          <w:color w:val="auto"/>
        </w:rPr>
        <w:t>Active Nutrition International</w:t>
      </w:r>
      <w:r>
        <w:rPr>
          <w:rFonts w:ascii="Arial" w:cs="Arial" w:eastAsia="Arial" w:hAnsi="Arial"/>
          <w:sz w:val="17"/>
          <w:szCs w:val="17"/>
          <w:color w:val="auto"/>
        </w:rPr>
        <w:t>”) is a direct subsidiary of BellRing Brands, LLC;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239" w:name="page240"/>
    <w:bookmarkEnd w:id="239"/>
    <w:p>
      <w:pPr>
        <w:ind w:right="220" w:firstLine="428"/>
        <w:spacing w:after="0" w:line="277" w:lineRule="auto"/>
        <w:tabs>
          <w:tab w:leader="none" w:pos="678" w:val="left"/>
        </w:tabs>
        <w:numPr>
          <w:ilvl w:val="1"/>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Post contributed all of the equity interests in Premier Nutrition to BellRing Brands, LLC, such that BellRing Brands, LLC is the direct holder of such equity interests; and</w:t>
      </w:r>
    </w:p>
    <w:p>
      <w:pPr>
        <w:spacing w:after="0" w:line="58" w:lineRule="exact"/>
        <w:rPr>
          <w:rFonts w:ascii="Arial" w:cs="Arial" w:eastAsia="Arial" w:hAnsi="Arial"/>
          <w:sz w:val="18"/>
          <w:szCs w:val="18"/>
          <w:color w:val="auto"/>
        </w:rPr>
      </w:pPr>
    </w:p>
    <w:p>
      <w:pPr>
        <w:ind w:right="80" w:firstLine="428"/>
        <w:spacing w:after="0" w:line="261" w:lineRule="auto"/>
        <w:tabs>
          <w:tab w:leader="none" w:pos="72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Post will borrow $1,309.5 million under an unsecured bridge loan (the “</w:t>
      </w:r>
      <w:r>
        <w:rPr>
          <w:rFonts w:ascii="Arial" w:cs="Arial" w:eastAsia="Arial" w:hAnsi="Arial"/>
          <w:sz w:val="18"/>
          <w:szCs w:val="18"/>
          <w:b w:val="1"/>
          <w:bCs w:val="1"/>
          <w:color w:val="auto"/>
        </w:rPr>
        <w:t>Post bridge loan</w:t>
      </w:r>
      <w:r>
        <w:rPr>
          <w:rFonts w:ascii="Arial" w:cs="Arial" w:eastAsia="Arial" w:hAnsi="Arial"/>
          <w:sz w:val="18"/>
          <w:szCs w:val="18"/>
          <w:color w:val="auto"/>
        </w:rPr>
        <w:t>”) that Post and certain of its subsidiaries as guarantors (other than the Company, but including BellRing Brands, LLC and its domestic subsidiaries) will enter into with one or more financial institutions, the net proceeds of which shall be used by Post to refinance and repay a portion of the term loan under Post’s existing credit agreement;</w:t>
      </w:r>
    </w:p>
    <w:p>
      <w:pPr>
        <w:spacing w:after="0" w:line="75" w:lineRule="exact"/>
        <w:rPr>
          <w:rFonts w:ascii="Arial" w:cs="Arial" w:eastAsia="Arial" w:hAnsi="Arial"/>
          <w:sz w:val="18"/>
          <w:szCs w:val="18"/>
          <w:color w:val="auto"/>
        </w:rPr>
      </w:pPr>
    </w:p>
    <w:p>
      <w:pPr>
        <w:ind w:left="260" w:hanging="256"/>
        <w:spacing w:after="0"/>
        <w:tabs>
          <w:tab w:leader="none" w:pos="2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On the day the consummation of the offering contemplated by this Agreement occurs, but prior to the consummation of the offering:</w:t>
      </w:r>
    </w:p>
    <w:p>
      <w:pPr>
        <w:spacing w:after="0" w:line="128" w:lineRule="exact"/>
        <w:rPr>
          <w:rFonts w:ascii="Arial" w:cs="Arial" w:eastAsia="Arial" w:hAnsi="Arial"/>
          <w:sz w:val="17"/>
          <w:szCs w:val="17"/>
          <w:color w:val="auto"/>
        </w:rPr>
      </w:pPr>
    </w:p>
    <w:p>
      <w:pPr>
        <w:ind w:right="660" w:firstLine="428"/>
        <w:spacing w:after="0" w:line="277" w:lineRule="auto"/>
        <w:tabs>
          <w:tab w:leader="none" w:pos="63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BellRing Brands, LLC will contribute all of the equity interests in Active Nutrition International GmbH and Premier Nutrition to Dymatize Enterprises, such that Dymatize Enterprises will be the direct holder of such equity interests;</w:t>
      </w:r>
    </w:p>
    <w:p>
      <w:pPr>
        <w:spacing w:after="0" w:line="62" w:lineRule="exact"/>
        <w:rPr>
          <w:rFonts w:ascii="Arial" w:cs="Arial" w:eastAsia="Arial" w:hAnsi="Arial"/>
          <w:sz w:val="18"/>
          <w:szCs w:val="18"/>
          <w:color w:val="auto"/>
        </w:rPr>
      </w:pPr>
    </w:p>
    <w:p>
      <w:pPr>
        <w:ind w:left="700" w:hanging="272"/>
        <w:spacing w:after="0"/>
        <w:tabs>
          <w:tab w:leader="none" w:pos="7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as further described in the master transaction agreement,</w:t>
      </w:r>
    </w:p>
    <w:p>
      <w:pPr>
        <w:spacing w:after="0" w:line="117" w:lineRule="exact"/>
        <w:rPr>
          <w:rFonts w:ascii="Arial" w:cs="Arial" w:eastAsia="Arial" w:hAnsi="Arial"/>
          <w:sz w:val="18"/>
          <w:szCs w:val="18"/>
          <w:color w:val="auto"/>
        </w:rPr>
      </w:pPr>
    </w:p>
    <w:p>
      <w:pPr>
        <w:ind w:left="1260" w:hanging="303"/>
        <w:spacing w:after="0"/>
        <w:tabs>
          <w:tab w:leader="none" w:pos="1260" w:val="left"/>
        </w:tabs>
        <w:numPr>
          <w:ilvl w:val="2"/>
          <w:numId w:val="131"/>
        </w:numPr>
        <w:rPr>
          <w:rFonts w:ascii="Arial" w:cs="Arial" w:eastAsia="Arial" w:hAnsi="Arial"/>
          <w:sz w:val="17"/>
          <w:szCs w:val="17"/>
          <w:color w:val="auto"/>
        </w:rPr>
      </w:pPr>
      <w:r>
        <w:rPr>
          <w:rFonts w:ascii="Arial" w:cs="Arial" w:eastAsia="Arial" w:hAnsi="Arial"/>
          <w:sz w:val="17"/>
          <w:szCs w:val="17"/>
          <w:color w:val="auto"/>
        </w:rPr>
        <w:t>Post will and will cause its other applicable subsidiaries to transfer and assign to BellRing Brands, LLC or its applicable</w:t>
      </w:r>
    </w:p>
    <w:p>
      <w:pPr>
        <w:spacing w:after="0" w:line="34"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6"/>
          <w:szCs w:val="16"/>
          <w:color w:val="auto"/>
        </w:rPr>
        <w:t>subsidiaries all of Post’s and such subsidiaries’ right, title and interest in and to all of the assets relating to Post’s Active Nutrition business;</w:t>
      </w:r>
    </w:p>
    <w:p>
      <w:pPr>
        <w:spacing w:after="0" w:line="125" w:lineRule="exact"/>
        <w:rPr>
          <w:rFonts w:ascii="Arial" w:cs="Arial" w:eastAsia="Arial" w:hAnsi="Arial"/>
          <w:sz w:val="17"/>
          <w:szCs w:val="17"/>
          <w:color w:val="auto"/>
        </w:rPr>
      </w:pPr>
    </w:p>
    <w:p>
      <w:pPr>
        <w:ind w:left="560" w:right="620" w:firstLine="397"/>
        <w:spacing w:after="0" w:line="277" w:lineRule="auto"/>
        <w:tabs>
          <w:tab w:leader="none" w:pos="1246" w:val="left"/>
        </w:tabs>
        <w:numPr>
          <w:ilvl w:val="2"/>
          <w:numId w:val="131"/>
        </w:numPr>
        <w:rPr>
          <w:rFonts w:ascii="Arial" w:cs="Arial" w:eastAsia="Arial" w:hAnsi="Arial"/>
          <w:sz w:val="18"/>
          <w:szCs w:val="18"/>
          <w:color w:val="auto"/>
        </w:rPr>
      </w:pPr>
      <w:r>
        <w:rPr>
          <w:rFonts w:ascii="Arial" w:cs="Arial" w:eastAsia="Arial" w:hAnsi="Arial"/>
          <w:sz w:val="18"/>
          <w:szCs w:val="18"/>
          <w:color w:val="auto"/>
        </w:rPr>
        <w:t>BellRing Brands, LLC and its applicable subsidiaries will accept and assume all of the liabilities relating to Post’s Active Nutrition business in accordance with their respective terms;</w:t>
      </w:r>
    </w:p>
    <w:p>
      <w:pPr>
        <w:spacing w:after="0" w:line="62" w:lineRule="exact"/>
        <w:rPr>
          <w:rFonts w:ascii="Arial" w:cs="Arial" w:eastAsia="Arial" w:hAnsi="Arial"/>
          <w:sz w:val="18"/>
          <w:szCs w:val="18"/>
          <w:color w:val="auto"/>
        </w:rPr>
      </w:pPr>
    </w:p>
    <w:p>
      <w:pPr>
        <w:ind w:left="560" w:right="160" w:firstLine="397"/>
        <w:spacing w:after="0" w:line="259" w:lineRule="auto"/>
        <w:tabs>
          <w:tab w:leader="none" w:pos="1246" w:val="left"/>
        </w:tabs>
        <w:numPr>
          <w:ilvl w:val="2"/>
          <w:numId w:val="131"/>
        </w:numPr>
        <w:rPr>
          <w:rFonts w:ascii="Arial" w:cs="Arial" w:eastAsia="Arial" w:hAnsi="Arial"/>
          <w:sz w:val="18"/>
          <w:szCs w:val="18"/>
          <w:color w:val="auto"/>
        </w:rPr>
      </w:pPr>
      <w:r>
        <w:rPr>
          <w:rFonts w:ascii="Arial" w:cs="Arial" w:eastAsia="Arial" w:hAnsi="Arial"/>
          <w:sz w:val="18"/>
          <w:szCs w:val="18"/>
          <w:color w:val="auto"/>
        </w:rPr>
        <w:t>as part of such acceptance and assumption, BellRing Brands, LLC will become the borrower under the Post bridge loan and the domestic subsidiaries of BellRing Brands, LLC will continue to guarantee the obligations under the Post bridge loan, and Post and its subsidiaries (other than BellRing Brands, LLC and its domestic subsidiaries) will be released from all of their obligations under the Post bridge loan (and Post will retain all of the net proceeds of the Post bridge loan);</w:t>
      </w:r>
    </w:p>
    <w:p>
      <w:pPr>
        <w:spacing w:after="0" w:line="78" w:lineRule="exact"/>
        <w:rPr>
          <w:rFonts w:ascii="Arial" w:cs="Arial" w:eastAsia="Arial" w:hAnsi="Arial"/>
          <w:sz w:val="18"/>
          <w:szCs w:val="18"/>
          <w:color w:val="auto"/>
        </w:rPr>
      </w:pPr>
    </w:p>
    <w:p>
      <w:pPr>
        <w:jc w:val="both"/>
        <w:ind w:left="560" w:right="60" w:firstLine="397"/>
        <w:spacing w:after="0" w:line="264" w:lineRule="auto"/>
        <w:tabs>
          <w:tab w:leader="none" w:pos="1256" w:val="left"/>
        </w:tabs>
        <w:numPr>
          <w:ilvl w:val="2"/>
          <w:numId w:val="131"/>
        </w:numPr>
        <w:rPr>
          <w:rFonts w:ascii="Arial" w:cs="Arial" w:eastAsia="Arial" w:hAnsi="Arial"/>
          <w:sz w:val="18"/>
          <w:szCs w:val="18"/>
          <w:color w:val="auto"/>
        </w:rPr>
      </w:pPr>
      <w:r>
        <w:rPr>
          <w:rFonts w:ascii="Arial" w:cs="Arial" w:eastAsia="Arial" w:hAnsi="Arial"/>
          <w:sz w:val="18"/>
          <w:szCs w:val="18"/>
          <w:color w:val="auto"/>
        </w:rPr>
        <w:t>Post and BellRing Brands, LLC will cause BellRing Brands, LLC and its applicable subsidiaries to transfer and assign to Post or certain designated Post subsidiaries all of BellRing Brands, LLC’s and such subsidiaries’ right, title and interest in and to any assets other than those which relate to Post’s Active Nutrition business;</w:t>
      </w:r>
    </w:p>
    <w:p>
      <w:pPr>
        <w:spacing w:after="0" w:line="73" w:lineRule="exact"/>
        <w:rPr>
          <w:rFonts w:ascii="Arial" w:cs="Arial" w:eastAsia="Arial" w:hAnsi="Arial"/>
          <w:sz w:val="18"/>
          <w:szCs w:val="18"/>
          <w:color w:val="auto"/>
        </w:rPr>
      </w:pPr>
    </w:p>
    <w:p>
      <w:pPr>
        <w:ind w:left="560" w:right="40" w:firstLine="397"/>
        <w:spacing w:after="0" w:line="264" w:lineRule="auto"/>
        <w:tabs>
          <w:tab w:leader="none" w:pos="1236" w:val="left"/>
        </w:tabs>
        <w:numPr>
          <w:ilvl w:val="2"/>
          <w:numId w:val="131"/>
        </w:numPr>
        <w:rPr>
          <w:rFonts w:ascii="Arial" w:cs="Arial" w:eastAsia="Arial" w:hAnsi="Arial"/>
          <w:sz w:val="18"/>
          <w:szCs w:val="18"/>
          <w:color w:val="auto"/>
        </w:rPr>
      </w:pPr>
      <w:r>
        <w:rPr>
          <w:rFonts w:ascii="Arial" w:cs="Arial" w:eastAsia="Arial" w:hAnsi="Arial"/>
          <w:sz w:val="18"/>
          <w:szCs w:val="18"/>
          <w:color w:val="auto"/>
        </w:rPr>
        <w:t>Post and certain designated Post subsidiaries will accept and assume all of the liabilities other than those which relate to Post’s Active Nutrition business which are held by BellRing Brands, LLC or its applicable subsidiaries in accordance with their respective terms; and</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880" w:top="274" w:right="439" w:bottom="1440" w:gutter="0" w:footer="0" w:header="0"/>
        </w:sectPr>
      </w:pPr>
    </w:p>
    <w:bookmarkStart w:id="240" w:name="page241"/>
    <w:bookmarkEnd w:id="240"/>
    <w:p>
      <w:pPr>
        <w:ind w:left="560" w:right="160" w:firstLine="397"/>
        <w:spacing w:after="0" w:line="277" w:lineRule="auto"/>
        <w:tabs>
          <w:tab w:leader="none" w:pos="1226" w:val="left"/>
        </w:tabs>
        <w:numPr>
          <w:ilvl w:val="2"/>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these actions, Post and the BellRing Parties will execute and deliver the applicable transfer and assumption documents;</w:t>
      </w:r>
    </w:p>
    <w:p>
      <w:pPr>
        <w:spacing w:after="0" w:line="62" w:lineRule="exact"/>
        <w:rPr>
          <w:rFonts w:ascii="Arial" w:cs="Arial" w:eastAsia="Arial" w:hAnsi="Arial"/>
          <w:sz w:val="18"/>
          <w:szCs w:val="18"/>
          <w:color w:val="auto"/>
        </w:rPr>
      </w:pPr>
    </w:p>
    <w:p>
      <w:pPr>
        <w:ind w:right="660" w:firstLine="428"/>
        <w:spacing w:after="0" w:line="277" w:lineRule="auto"/>
        <w:tabs>
          <w:tab w:leader="none" w:pos="73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Post will cause the BellRing Parties and their subsidiaries to be designated “unrestricted subsidiaries” under Post’s senior note indentures and secured credit facility;</w:t>
      </w:r>
    </w:p>
    <w:p>
      <w:pPr>
        <w:spacing w:after="0" w:line="62" w:lineRule="exact"/>
        <w:rPr>
          <w:rFonts w:ascii="Arial" w:cs="Arial" w:eastAsia="Arial" w:hAnsi="Arial"/>
          <w:sz w:val="18"/>
          <w:szCs w:val="18"/>
          <w:color w:val="auto"/>
        </w:rPr>
      </w:pPr>
    </w:p>
    <w:p>
      <w:pPr>
        <w:ind w:left="740" w:hanging="312"/>
        <w:spacing w:after="0"/>
        <w:tabs>
          <w:tab w:leader="none" w:pos="74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The Company will amend and restate its certificate of incorporation and bylaws to provide for two classes of common stock:</w:t>
      </w:r>
    </w:p>
    <w:p>
      <w:pPr>
        <w:spacing w:after="0" w:line="128" w:lineRule="exact"/>
        <w:rPr>
          <w:rFonts w:ascii="Arial" w:cs="Arial" w:eastAsia="Arial" w:hAnsi="Arial"/>
          <w:sz w:val="17"/>
          <w:szCs w:val="17"/>
          <w:color w:val="auto"/>
        </w:rPr>
      </w:pPr>
    </w:p>
    <w:p>
      <w:pPr>
        <w:ind w:left="560" w:right="220" w:firstLine="397"/>
        <w:spacing w:after="0" w:line="277" w:lineRule="auto"/>
        <w:tabs>
          <w:tab w:leader="none" w:pos="1256" w:val="left"/>
        </w:tabs>
        <w:numPr>
          <w:ilvl w:val="2"/>
          <w:numId w:val="133"/>
        </w:numPr>
        <w:rPr>
          <w:rFonts w:ascii="Arial" w:cs="Arial" w:eastAsia="Arial" w:hAnsi="Arial"/>
          <w:sz w:val="18"/>
          <w:szCs w:val="18"/>
          <w:color w:val="auto"/>
        </w:rPr>
      </w:pPr>
      <w:r>
        <w:rPr>
          <w:rFonts w:ascii="Arial" w:cs="Arial" w:eastAsia="Arial" w:hAnsi="Arial"/>
          <w:sz w:val="18"/>
          <w:szCs w:val="18"/>
          <w:color w:val="auto"/>
        </w:rPr>
        <w:t>Class A common stock, par value $0.01 per share, which will have economic interests, including eligibility for dividends and distributions upon liquidation, and will have one vote per share, and</w:t>
      </w:r>
    </w:p>
    <w:p>
      <w:pPr>
        <w:spacing w:after="0" w:line="62" w:lineRule="exact"/>
        <w:rPr>
          <w:rFonts w:ascii="Arial" w:cs="Arial" w:eastAsia="Arial" w:hAnsi="Arial"/>
          <w:sz w:val="18"/>
          <w:szCs w:val="18"/>
          <w:color w:val="auto"/>
        </w:rPr>
      </w:pPr>
    </w:p>
    <w:p>
      <w:pPr>
        <w:ind w:left="560" w:right="580" w:firstLine="397"/>
        <w:spacing w:after="0" w:line="277" w:lineRule="auto"/>
        <w:tabs>
          <w:tab w:leader="none" w:pos="1246" w:val="left"/>
        </w:tabs>
        <w:numPr>
          <w:ilvl w:val="2"/>
          <w:numId w:val="133"/>
        </w:numPr>
        <w:rPr>
          <w:rFonts w:ascii="Arial" w:cs="Arial" w:eastAsia="Arial" w:hAnsi="Arial"/>
          <w:sz w:val="18"/>
          <w:szCs w:val="18"/>
          <w:color w:val="auto"/>
        </w:rPr>
      </w:pPr>
      <w:r>
        <w:rPr>
          <w:rFonts w:ascii="Arial" w:cs="Arial" w:eastAsia="Arial" w:hAnsi="Arial"/>
          <w:sz w:val="18"/>
          <w:szCs w:val="18"/>
          <w:color w:val="auto"/>
        </w:rPr>
        <w:t>Class B common stock, par value $0.01 per share, which will have no economic interests and will have the voting rights described in the Registration Statement;</w:t>
      </w:r>
    </w:p>
    <w:p>
      <w:pPr>
        <w:spacing w:after="0" w:line="62" w:lineRule="exact"/>
        <w:rPr>
          <w:rFonts w:ascii="Arial" w:cs="Arial" w:eastAsia="Arial" w:hAnsi="Arial"/>
          <w:sz w:val="18"/>
          <w:szCs w:val="18"/>
          <w:color w:val="auto"/>
        </w:rPr>
      </w:pPr>
    </w:p>
    <w:p>
      <w:pPr>
        <w:ind w:firstLine="428"/>
        <w:spacing w:after="0" w:line="286" w:lineRule="auto"/>
        <w:tabs>
          <w:tab w:leader="none" w:pos="678" w:val="left"/>
        </w:tabs>
        <w:numPr>
          <w:ilvl w:val="1"/>
          <w:numId w:val="133"/>
        </w:numPr>
        <w:rPr>
          <w:rFonts w:ascii="Arial" w:cs="Arial" w:eastAsia="Arial" w:hAnsi="Arial"/>
          <w:sz w:val="17"/>
          <w:szCs w:val="17"/>
          <w:color w:val="auto"/>
        </w:rPr>
      </w:pPr>
      <w:r>
        <w:rPr>
          <w:rFonts w:ascii="Arial" w:cs="Arial" w:eastAsia="Arial" w:hAnsi="Arial"/>
          <w:sz w:val="17"/>
          <w:szCs w:val="17"/>
          <w:color w:val="auto"/>
        </w:rPr>
        <w:t>The Company will issue 1 share of the Company’s Class B common stock to Post, in exchange for the 1,000 shares of common stock of the Company initially issued to Post in connection with the incorporation of the Company (which shares of common stock will be cancelled as part of the exchange), together with additional consideration described in the master transaction agreement;</w:t>
      </w:r>
    </w:p>
    <w:p>
      <w:pPr>
        <w:spacing w:after="0" w:line="57" w:lineRule="exact"/>
        <w:rPr>
          <w:rFonts w:ascii="Arial" w:cs="Arial" w:eastAsia="Arial" w:hAnsi="Arial"/>
          <w:sz w:val="17"/>
          <w:szCs w:val="17"/>
          <w:color w:val="auto"/>
        </w:rPr>
      </w:pPr>
    </w:p>
    <w:p>
      <w:pPr>
        <w:ind w:left="240" w:hanging="236"/>
        <w:spacing w:after="0"/>
        <w:tabs>
          <w:tab w:leader="none" w:pos="2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Immediately following the consummation of the offering contemplated by this Agreement on the day of such consummation:</w:t>
      </w:r>
    </w:p>
    <w:p>
      <w:pPr>
        <w:spacing w:after="0" w:line="23" w:lineRule="exact"/>
        <w:rPr>
          <w:rFonts w:ascii="Arial" w:cs="Arial" w:eastAsia="Arial" w:hAnsi="Arial"/>
          <w:sz w:val="18"/>
          <w:szCs w:val="18"/>
          <w:color w:val="auto"/>
        </w:rPr>
      </w:pPr>
    </w:p>
    <w:p>
      <w:pPr>
        <w:ind w:left="640" w:hanging="212"/>
        <w:spacing w:after="0" w:line="190" w:lineRule="auto"/>
        <w:tabs>
          <w:tab w:leader="none" w:pos="640" w:val="left"/>
        </w:tabs>
        <w:numPr>
          <w:ilvl w:val="1"/>
          <w:numId w:val="134"/>
        </w:numPr>
        <w:rPr>
          <w:rFonts w:ascii="Arial" w:cs="Arial" w:eastAsia="Arial" w:hAnsi="Arial"/>
          <w:sz w:val="12"/>
          <w:szCs w:val="12"/>
          <w:color w:val="auto"/>
        </w:rPr>
      </w:pPr>
      <w:r>
        <w:rPr>
          <w:rFonts w:ascii="Arial" w:cs="Arial" w:eastAsia="Arial" w:hAnsi="Arial"/>
          <w:sz w:val="12"/>
          <w:szCs w:val="12"/>
          <w:color w:val="auto"/>
        </w:rPr>
        <w:t>Post and the BellRing Parties will enter into the amended and restated limited liability company agreement of BellRing Brands, LLC,</w:t>
      </w:r>
    </w:p>
    <w:p>
      <w:pPr>
        <w:spacing w:after="0" w:line="20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which, among other things, Post’s membership interests in BellRing Brands, LLC will be reclassified as BellRing Brands, LLC nonvoting units;</w:t>
      </w:r>
    </w:p>
    <w:p>
      <w:pPr>
        <w:spacing w:after="0" w:line="62" w:lineRule="exact"/>
        <w:rPr>
          <w:sz w:val="20"/>
          <w:szCs w:val="20"/>
          <w:color w:val="auto"/>
        </w:rPr>
      </w:pPr>
    </w:p>
    <w:p>
      <w:pPr>
        <w:ind w:right="20" w:firstLine="428"/>
        <w:spacing w:after="0" w:line="264" w:lineRule="auto"/>
        <w:tabs>
          <w:tab w:leader="none" w:pos="68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Company will contribute the net proceeds it receives in the offering contemplated by this Agreement to BellRing Brands, LLC, in exchange for a number of BellRing Brands, LLC Units equal to the number of shares of Class A common stock sold in the offering contemplated by this Agreement;</w:t>
      </w:r>
    </w:p>
    <w:p>
      <w:pPr>
        <w:spacing w:after="0" w:line="73" w:lineRule="exact"/>
        <w:rPr>
          <w:rFonts w:ascii="Arial" w:cs="Arial" w:eastAsia="Arial" w:hAnsi="Arial"/>
          <w:sz w:val="18"/>
          <w:szCs w:val="18"/>
          <w:color w:val="auto"/>
        </w:rPr>
      </w:pPr>
    </w:p>
    <w:p>
      <w:pPr>
        <w:ind w:left="740" w:hanging="312"/>
        <w:spacing w:after="0"/>
        <w:tabs>
          <w:tab w:leader="none" w:pos="7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BellRing Brands, LLC will appoint the BellRing Brands, LLC managers; and</w:t>
      </w:r>
    </w:p>
    <w:p>
      <w:pPr>
        <w:spacing w:after="0" w:line="117" w:lineRule="exact"/>
        <w:rPr>
          <w:rFonts w:ascii="Arial" w:cs="Arial" w:eastAsia="Arial" w:hAnsi="Arial"/>
          <w:sz w:val="18"/>
          <w:szCs w:val="18"/>
          <w:color w:val="auto"/>
        </w:rPr>
      </w:pPr>
    </w:p>
    <w:p>
      <w:pPr>
        <w:ind w:left="740" w:hanging="312"/>
        <w:spacing w:after="0"/>
        <w:tabs>
          <w:tab w:leader="none" w:pos="74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Post and the BellRing Parties and/or their respective subsidiaries, as applicable, will enter into (i) the employee matters agreement,</w:t>
      </w:r>
    </w:p>
    <w:p>
      <w:pPr>
        <w:spacing w:after="0" w:line="46" w:lineRule="exact"/>
        <w:rPr>
          <w:rFonts w:ascii="Arial" w:cs="Arial" w:eastAsia="Arial" w:hAnsi="Arial"/>
          <w:sz w:val="16"/>
          <w:szCs w:val="16"/>
          <w:color w:val="auto"/>
        </w:rPr>
      </w:pPr>
    </w:p>
    <w:p>
      <w:pPr>
        <w:ind w:right="40" w:firstLine="4"/>
        <w:spacing w:after="0" w:line="261" w:lineRule="auto"/>
        <w:tabs>
          <w:tab w:leader="none" w:pos="26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investor rights agreement, (iii) the license agreement, (iv) the tax matters agreement, (v) the tax receivable agreement, and (vi) the master services agreement, collectively referred to herein as the “</w:t>
      </w:r>
      <w:r>
        <w:rPr>
          <w:rFonts w:ascii="Arial" w:cs="Arial" w:eastAsia="Arial" w:hAnsi="Arial"/>
          <w:sz w:val="18"/>
          <w:szCs w:val="18"/>
          <w:b w:val="1"/>
          <w:bCs w:val="1"/>
          <w:color w:val="auto"/>
        </w:rPr>
        <w:t>Transaction Documents</w:t>
      </w:r>
      <w:r>
        <w:rPr>
          <w:rFonts w:ascii="Arial" w:cs="Arial" w:eastAsia="Arial" w:hAnsi="Arial"/>
          <w:sz w:val="18"/>
          <w:szCs w:val="18"/>
          <w:color w:val="auto"/>
        </w:rPr>
        <w:t>.”</w:t>
      </w:r>
    </w:p>
    <w:p>
      <w:pPr>
        <w:spacing w:after="0" w:line="11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80"/>
          </w:cols>
          <w:pgMar w:left="880" w:top="274" w:right="539" w:bottom="1440" w:gutter="0" w:footer="0" w:header="0"/>
        </w:sectPr>
      </w:pPr>
    </w:p>
    <w:bookmarkStart w:id="241" w:name="page242"/>
    <w:bookmarkEnd w:id="241"/>
    <w:p>
      <w:pPr>
        <w:ind w:right="80" w:firstLine="992"/>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Agreement, “</w:t>
      </w:r>
      <w:r>
        <w:rPr>
          <w:rFonts w:ascii="Arial" w:cs="Arial" w:eastAsia="Arial" w:hAnsi="Arial"/>
          <w:sz w:val="17"/>
          <w:szCs w:val="17"/>
          <w:b w:val="1"/>
          <w:bCs w:val="1"/>
          <w:color w:val="auto"/>
        </w:rPr>
        <w:t>free writing prospectus</w:t>
      </w:r>
      <w:r>
        <w:rPr>
          <w:rFonts w:ascii="Arial" w:cs="Arial" w:eastAsia="Arial" w:hAnsi="Arial"/>
          <w:sz w:val="17"/>
          <w:szCs w:val="17"/>
          <w:color w:val="auto"/>
        </w:rPr>
        <w:t>” has the meaning set forth in Rule 405 under the Securities Act, “</w:t>
      </w:r>
      <w:r>
        <w:rPr>
          <w:rFonts w:ascii="Arial" w:cs="Arial" w:eastAsia="Arial" w:hAnsi="Arial"/>
          <w:sz w:val="17"/>
          <w:szCs w:val="17"/>
          <w:b w:val="1"/>
          <w:bCs w:val="1"/>
          <w:color w:val="auto"/>
        </w:rPr>
        <w:t>Time of Sale</w:t>
      </w:r>
      <w:r>
        <w:rPr>
          <w:rFonts w:ascii="Arial" w:cs="Arial" w:eastAsia="Arial" w:hAnsi="Arial"/>
          <w:sz w:val="17"/>
          <w:szCs w:val="17"/>
          <w:color w:val="auto"/>
        </w:rPr>
        <w:t xml:space="preserve"> </w:t>
      </w:r>
      <w:r>
        <w:rPr>
          <w:rFonts w:ascii="Arial" w:cs="Arial" w:eastAsia="Arial" w:hAnsi="Arial"/>
          <w:sz w:val="17"/>
          <w:szCs w:val="17"/>
          <w:b w:val="1"/>
          <w:bCs w:val="1"/>
          <w:color w:val="auto"/>
        </w:rPr>
        <w:t>Prospectus</w:t>
      </w:r>
      <w:r>
        <w:rPr>
          <w:rFonts w:ascii="Arial" w:cs="Arial" w:eastAsia="Arial" w:hAnsi="Arial"/>
          <w:sz w:val="17"/>
          <w:szCs w:val="17"/>
          <w:color w:val="auto"/>
        </w:rPr>
        <w:t>” means the preliminary prospectus together with the documents and pricing information set forth in Schedule IV hereto, and “</w:t>
      </w:r>
      <w:r>
        <w:rPr>
          <w:rFonts w:ascii="Arial" w:cs="Arial" w:eastAsia="Arial" w:hAnsi="Arial"/>
          <w:sz w:val="17"/>
          <w:szCs w:val="17"/>
          <w:b w:val="1"/>
          <w:bCs w:val="1"/>
          <w:color w:val="auto"/>
        </w:rPr>
        <w:t>broadly available road show</w:t>
      </w:r>
      <w:r>
        <w:rPr>
          <w:rFonts w:ascii="Arial" w:cs="Arial" w:eastAsia="Arial" w:hAnsi="Arial"/>
          <w:sz w:val="17"/>
          <w:szCs w:val="17"/>
          <w:color w:val="auto"/>
        </w:rPr>
        <w:t>” means a “bona fide electronic road show” as defined in Rule 433(h)(5) under the Securities Act that has been made available</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restriction to any person. As used herein, the terms “Registration Statement,” “preliminary prospectus,” “Time of Sale Prospectus” and “Prospectus” shall include the documents, if any, incorporated by reference therein as of the date hereof.</w:t>
      </w:r>
    </w:p>
    <w:p>
      <w:pPr>
        <w:spacing w:after="0" w:line="64" w:lineRule="exact"/>
        <w:rPr>
          <w:sz w:val="20"/>
          <w:szCs w:val="20"/>
          <w:color w:val="auto"/>
        </w:rPr>
      </w:pPr>
    </w:p>
    <w:p>
      <w:pPr>
        <w:ind w:left="1180" w:hanging="184"/>
        <w:spacing w:after="0"/>
        <w:tabs>
          <w:tab w:leader="none" w:pos="1180" w:val="left"/>
        </w:tabs>
        <w:numPr>
          <w:ilvl w:val="1"/>
          <w:numId w:val="137"/>
        </w:numPr>
        <w:rPr>
          <w:rFonts w:ascii="Arial" w:cs="Arial" w:eastAsia="Arial" w:hAnsi="Arial"/>
          <w:sz w:val="16"/>
          <w:szCs w:val="16"/>
          <w:color w:val="auto"/>
        </w:rPr>
      </w:pPr>
      <w:r>
        <w:rPr>
          <w:rFonts w:ascii="Arial" w:cs="Arial" w:eastAsia="Arial" w:hAnsi="Arial"/>
          <w:sz w:val="16"/>
          <w:szCs w:val="16"/>
          <w:i w:val="1"/>
          <w:iCs w:val="1"/>
          <w:color w:val="auto"/>
        </w:rPr>
        <w:t>Representations, Warranties and Agreements of the BellRing Parties</w:t>
      </w:r>
      <w:r>
        <w:rPr>
          <w:rFonts w:ascii="Arial" w:cs="Arial" w:eastAsia="Arial" w:hAnsi="Arial"/>
          <w:sz w:val="16"/>
          <w:szCs w:val="16"/>
          <w:color w:val="auto"/>
        </w:rPr>
        <w:t>. Each BellRing Party, jointly and severally, represents, warrants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agrees that:</w:t>
      </w:r>
    </w:p>
    <w:p>
      <w:pPr>
        <w:spacing w:after="0" w:line="102" w:lineRule="exact"/>
        <w:rPr>
          <w:rFonts w:ascii="Arial" w:cs="Arial" w:eastAsia="Arial" w:hAnsi="Arial"/>
          <w:sz w:val="16"/>
          <w:szCs w:val="16"/>
          <w:color w:val="auto"/>
        </w:rPr>
      </w:pPr>
    </w:p>
    <w:p>
      <w:pPr>
        <w:ind w:right="120" w:firstLine="444"/>
        <w:spacing w:after="0" w:line="277" w:lineRule="auto"/>
        <w:tabs>
          <w:tab w:leader="none" w:pos="68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Registration Statement has become effective; no stop order suspending the effectiveness of the Registration Statement is in effect, and no proceedings for such purpose are pending before or threatened by the Commission.</w:t>
      </w:r>
    </w:p>
    <w:p>
      <w:pPr>
        <w:spacing w:after="0" w:line="62" w:lineRule="exact"/>
        <w:rPr>
          <w:rFonts w:ascii="Arial" w:cs="Arial" w:eastAsia="Arial" w:hAnsi="Arial"/>
          <w:sz w:val="18"/>
          <w:szCs w:val="18"/>
          <w:color w:val="auto"/>
        </w:rPr>
      </w:pPr>
    </w:p>
    <w:p>
      <w:pPr>
        <w:ind w:firstLine="444"/>
        <w:spacing w:after="0" w:line="268" w:lineRule="auto"/>
        <w:tabs>
          <w:tab w:leader="none" w:pos="696"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will comply in all material respects with the Securities Act and the applicable rules and regulations of the Commission thereunder, (iii) the Time of Sale Prospectus does not, and at the time of each sale of the Stock in connection with the offering when the Prospectus is not yet available to prospective purchasers and at the Initial Delivery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which information is limited to the information set forth in Section 8(f), through the Representatives expressly for use therein.</w:t>
      </w:r>
    </w:p>
    <w:p>
      <w:pPr>
        <w:spacing w:after="0" w:line="75" w:lineRule="exact"/>
        <w:rPr>
          <w:rFonts w:ascii="Arial" w:cs="Arial" w:eastAsia="Arial" w:hAnsi="Arial"/>
          <w:sz w:val="17"/>
          <w:szCs w:val="17"/>
          <w:color w:val="auto"/>
        </w:rPr>
      </w:pPr>
    </w:p>
    <w:p>
      <w:pPr>
        <w:ind w:right="40" w:firstLine="444"/>
        <w:spacing w:after="0" w:line="271" w:lineRule="auto"/>
        <w:tabs>
          <w:tab w:leader="none" w:pos="68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V hereto, and electronic road shows, if any, each furnished to you before first use, the Company has not prepared, used or referred to, and will not, without your prior consent, prepare, use or refer to, any free writing prospectus.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242" w:name="page243"/>
    <w:bookmarkEnd w:id="242"/>
    <w:p>
      <w:pPr>
        <w:ind w:left="-40" w:firstLine="444"/>
        <w:spacing w:after="0" w:line="289" w:lineRule="auto"/>
        <w:tabs>
          <w:tab w:leader="none" w:pos="656" w:val="left"/>
        </w:tabs>
        <w:numPr>
          <w:ilvl w:val="0"/>
          <w:numId w:val="1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of the BellRing Parties and each of the entities that is or will become upon completion of the Transactions a subsidiary of BellRing Brands, LLC (collectively, the “</w:t>
      </w:r>
      <w:r>
        <w:rPr>
          <w:rFonts w:ascii="Arial" w:cs="Arial" w:eastAsia="Arial" w:hAnsi="Arial"/>
          <w:sz w:val="16"/>
          <w:szCs w:val="16"/>
          <w:b w:val="1"/>
          <w:bCs w:val="1"/>
          <w:color w:val="auto"/>
        </w:rPr>
        <w:t>Subsidiaries</w:t>
      </w:r>
      <w:r>
        <w:rPr>
          <w:rFonts w:ascii="Arial" w:cs="Arial" w:eastAsia="Arial" w:hAnsi="Arial"/>
          <w:sz w:val="16"/>
          <w:szCs w:val="16"/>
          <w:color w:val="auto"/>
        </w:rPr>
        <w:t>”) has been duly incorporated or organized (as applicable), is validly existing and in good standing as a corporation or other business entity under the laws of its jurisdiction of organization and is duly qualified to do business and in good standing as a foreign corporation or other business entity in each jurisdiction in which its ownership or lease of property or the conduct of its businesses requires such qualification, except where the failure to be so qualified or in good standing would not, individually or in the aggregate, reasonably be expected to have a material adverse effect on the condition (financial or otherwise), results of operations, stockholders’ equity, properties, business or prospects of the BellRing Parties and the Subsidiaries, taken as a whole (a “</w:t>
      </w:r>
      <w:r>
        <w:rPr>
          <w:rFonts w:ascii="Arial" w:cs="Arial" w:eastAsia="Arial" w:hAnsi="Arial"/>
          <w:sz w:val="16"/>
          <w:szCs w:val="16"/>
          <w:b w:val="1"/>
          <w:bCs w:val="1"/>
          <w:color w:val="auto"/>
        </w:rPr>
        <w:t>Material Adverse Effect</w:t>
      </w:r>
      <w:r>
        <w:rPr>
          <w:rFonts w:ascii="Arial" w:cs="Arial" w:eastAsia="Arial" w:hAnsi="Arial"/>
          <w:sz w:val="16"/>
          <w:szCs w:val="16"/>
          <w:color w:val="auto"/>
        </w:rPr>
        <w:t>”). Each of the BellRing Parties and each of the Subsidiaries has all power and authority necessary to own or hold its properties and to conduct the businesses in which it is engaged. Each of the BellRing Parties does not own or control, directly or indirectly, any corporation, association or other entity other than the Subsidiaries set forth on Schedule VI hereto.</w:t>
      </w:r>
    </w:p>
    <w:p>
      <w:pPr>
        <w:spacing w:after="0" w:line="58" w:lineRule="exact"/>
        <w:rPr>
          <w:rFonts w:ascii="Arial" w:cs="Arial" w:eastAsia="Arial" w:hAnsi="Arial"/>
          <w:sz w:val="16"/>
          <w:szCs w:val="16"/>
          <w:color w:val="auto"/>
        </w:rPr>
      </w:pPr>
    </w:p>
    <w:p>
      <w:pPr>
        <w:ind w:left="-40" w:right="20" w:firstLine="444"/>
        <w:spacing w:after="0" w:line="270" w:lineRule="auto"/>
        <w:tabs>
          <w:tab w:leader="none" w:pos="64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Company has an authorized capitalization as set forth in the Time of Sale Prospectus and the Prospectus (except for subsequent issuances of capital stock, if any, pursuant to employee benefit plans described in each of the Time of Sale Prospectus and the Prospectus), and all of the issued shares of capital stock of the Company as of the Initial Delivery Date have been duly authorized and validly issued, and are fully paid and non-assessable. All of the issued shares of capital stock or other ownership interests of BellRing Brands, LLC and each of the Subsidiaries of have been duly authorized and validly issued, are fully paid and non-assessable and (except as set forth in each of the Time of Sale Prospectus and the Prospectus) are, or will be upon completion of the offering contemplated by this Agreement and the Transactions, owned directly or indirectly by the Company, free and clear of all liens, encumbrances, equities or claims, except for (i) liens securing the Post bridge loan and BellRing Brands, LLC’s senior secured credit facilities and (ii) such other liens, encumbrances, equities or claims as would not, individually or in the aggregate, reasonably be expected to have a Material Adverse Effect.</w:t>
      </w:r>
    </w:p>
    <w:p>
      <w:pPr>
        <w:spacing w:after="0" w:line="73" w:lineRule="exact"/>
        <w:rPr>
          <w:rFonts w:ascii="Arial" w:cs="Arial" w:eastAsia="Arial" w:hAnsi="Arial"/>
          <w:sz w:val="17"/>
          <w:szCs w:val="17"/>
          <w:color w:val="auto"/>
        </w:rPr>
      </w:pPr>
    </w:p>
    <w:p>
      <w:pPr>
        <w:ind w:left="-40" w:right="100" w:firstLine="444"/>
        <w:spacing w:after="0" w:line="279" w:lineRule="auto"/>
        <w:tabs>
          <w:tab w:leader="none" w:pos="62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shares of the Stock have been duly authorized and, when issued and delivered in accordance with the terms of this Agreement and the Company’s Amended and Restated Certificate of Incorporation, as amended (the “</w:t>
      </w:r>
      <w:r>
        <w:rPr>
          <w:rFonts w:ascii="Arial" w:cs="Arial" w:eastAsia="Arial" w:hAnsi="Arial"/>
          <w:sz w:val="17"/>
          <w:szCs w:val="17"/>
          <w:b w:val="1"/>
          <w:bCs w:val="1"/>
          <w:color w:val="auto"/>
        </w:rPr>
        <w:t>Certificate</w:t>
      </w:r>
      <w:r>
        <w:rPr>
          <w:rFonts w:ascii="Arial" w:cs="Arial" w:eastAsia="Arial" w:hAnsi="Arial"/>
          <w:sz w:val="17"/>
          <w:szCs w:val="17"/>
          <w:color w:val="auto"/>
        </w:rPr>
        <w:t>”), will be validly issued, fully paid and non-assessable, and the issuance of such shares of the Stock will not be subject to any preemptive or similar rights. The shares of the Stock will conform in all material respects to the description thereof in each of the Time of Sale Prospectus and the Prospectus.</w:t>
      </w:r>
    </w:p>
    <w:p>
      <w:pPr>
        <w:spacing w:after="0" w:line="63" w:lineRule="exact"/>
        <w:rPr>
          <w:rFonts w:ascii="Arial" w:cs="Arial" w:eastAsia="Arial" w:hAnsi="Arial"/>
          <w:sz w:val="17"/>
          <w:szCs w:val="17"/>
          <w:color w:val="auto"/>
        </w:rPr>
      </w:pPr>
    </w:p>
    <w:p>
      <w:pPr>
        <w:ind w:left="-40" w:right="40" w:firstLine="444"/>
        <w:spacing w:after="0" w:line="264" w:lineRule="auto"/>
        <w:tabs>
          <w:tab w:leader="none" w:pos="65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Each of the BellRing Parties has all requisite corporate or limited liability company, as applicable, power and authority to execute, deliver and perform its obligations under this Agreement. This Agreement has been duly and validly authorized, executed and delivered by each of the BellRing Parties.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80" w:top="274" w:right="479" w:bottom="1440" w:gutter="0" w:footer="0" w:header="0"/>
        </w:sectPr>
      </w:pPr>
    </w:p>
    <w:bookmarkStart w:id="243" w:name="page244"/>
    <w:bookmarkEnd w:id="243"/>
    <w:p>
      <w:pPr>
        <w:ind w:left="-20" w:firstLine="444"/>
        <w:spacing w:after="0" w:line="269" w:lineRule="auto"/>
        <w:tabs>
          <w:tab w:leader="none" w:pos="676" w:val="left"/>
        </w:tabs>
        <w:numPr>
          <w:ilvl w:val="0"/>
          <w:numId w:val="1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execution, delivery and performance by each of the BellRing Parties of this Agreement and the issue and sale of the Stock, the application of the proceeds from the sale of the Stock as described under “Use of Proceeds” in the Time of Sale Prospectus and the Prospectus and the consummation by each of the BellRing Parties of the Transactions and the other transactions contemplated hereby and thereby, will not (i) conflict with or result in a breach or violation of any of the terms or provisions of, impose any lien, charge or encumbrance upon any property or assets of any of the BellRing Parties or the Subsidiaries, or constitute a default under, any indenture, mortgage, deed of trust, loan agreement, license, lease or other agreement or instrument to which any of the BellRing Parties or the Subsidiaries is a party or by which any of the BellRing Parties or the Subsidiaries is bound or to which any of the property or assets of any of the BellRing Parties or the Subsidiaries is subject; (ii) result in any violation of the provisions of the charter or bylaws (or similar organizational documents) of any of the BellRing Parties or the Subsidiaries; or (iii) result in any violation by the BellRing Parties or the Subsidiaries of any statute or any judgment, order, decree, rule or regulation of any court or governmental agency or body having jurisdiction over any of the BellRing Parties or the Subsidiaries or any of their properties or assets, except, with respect to clauses (i) and (iii), conflicts or violations that would not reasonably be expected to have a Material Adverse Effect.</w:t>
      </w:r>
    </w:p>
    <w:p>
      <w:pPr>
        <w:spacing w:after="0" w:line="74" w:lineRule="exact"/>
        <w:rPr>
          <w:rFonts w:ascii="Arial" w:cs="Arial" w:eastAsia="Arial" w:hAnsi="Arial"/>
          <w:sz w:val="17"/>
          <w:szCs w:val="17"/>
          <w:color w:val="auto"/>
        </w:rPr>
      </w:pPr>
    </w:p>
    <w:p>
      <w:pPr>
        <w:ind w:left="-20" w:right="20" w:firstLine="444"/>
        <w:spacing w:after="0" w:line="254" w:lineRule="auto"/>
        <w:tabs>
          <w:tab w:leader="none" w:pos="63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 consent, approval, authorization or order of, or filing, registration or qualification with, any court or governmental agency or body having jurisdiction over any of the BellRing Parties or the Subsidiaries or any of their respective properties or assets is required for the issue and sale of the Stock, the execution, delivery and performance by the BellRing Parties of this Agreement, the application of the proceeds from the sale of the Stock as described under “Use of Proceeds” in the Time of Sale Prospectus and the Prospectus and the consummation by the BellRing Parties of the Transactions and the other transactions contemplated hereby and thereby, except for such consents, approvals, authorizations, orders, filings, registrations or qualifications (x) as may be required under state securities or Blue Sky laws or foreign laws in connection with the purchase and distribution of the Stock by the Underwriters, (y) with respect to the approval of the listing application with The New York Stock Exchange or (z) as have been obtained or made and are in full force and effect.</w:t>
      </w:r>
    </w:p>
    <w:p>
      <w:pPr>
        <w:spacing w:after="0" w:line="84" w:lineRule="exact"/>
        <w:rPr>
          <w:rFonts w:ascii="Arial" w:cs="Arial" w:eastAsia="Arial" w:hAnsi="Arial"/>
          <w:sz w:val="18"/>
          <w:szCs w:val="18"/>
          <w:color w:val="auto"/>
        </w:rPr>
      </w:pPr>
    </w:p>
    <w:p>
      <w:pPr>
        <w:ind w:left="-20" w:right="60" w:firstLine="444"/>
        <w:spacing w:after="0" w:line="272" w:lineRule="auto"/>
        <w:tabs>
          <w:tab w:leader="none" w:pos="636"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historical financial statements (including the related notes and supporting schedules) included in the Time of Sale Prospectus comply as to form in all material respects with the requirements of Regulation S-X under the Securities Act, present fairly the financial condition, results of operations and cash flows of the Company at the dates and for the periods indicated, and have been prepared in conformity with accounting principles generally accepted in the United States applied on a consistent basis throughout the periods involved. All disclosures included in the Registration Statement, the Time of Sale Prospectus and the Prospectus regarding “non-GAAP financial measures” (as such term is defined by the rules and regulations of Commission) comply in all material respects with Regulation G of the Securities Exchange Act of 1934, as amended (the “Exchange Act”), and Item 10 of Regulation S-K of the Securities Act, to the extent applicable.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4" w:right="459" w:bottom="1440" w:gutter="0" w:footer="0" w:header="0"/>
        </w:sectPr>
      </w:pPr>
    </w:p>
    <w:bookmarkStart w:id="244" w:name="page245"/>
    <w:bookmarkEnd w:id="244"/>
    <w:p>
      <w:pPr>
        <w:ind w:left="-4" w:firstLine="444"/>
        <w:spacing w:after="0" w:line="258" w:lineRule="auto"/>
        <w:tabs>
          <w:tab w:leader="none" w:pos="692" w:val="left"/>
        </w:tabs>
        <w:numPr>
          <w:ilvl w:val="1"/>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 forma financial information included in the Time of Sale Prospectus (collectively, the “</w:t>
      </w:r>
      <w:r>
        <w:rPr>
          <w:rFonts w:ascii="Arial" w:cs="Arial" w:eastAsia="Arial" w:hAnsi="Arial"/>
          <w:sz w:val="18"/>
          <w:szCs w:val="18"/>
          <w:b w:val="1"/>
          <w:bCs w:val="1"/>
          <w:color w:val="auto"/>
        </w:rPr>
        <w:t>Pro Forma Information</w:t>
      </w:r>
      <w:r>
        <w:rPr>
          <w:rFonts w:ascii="Arial" w:cs="Arial" w:eastAsia="Arial" w:hAnsi="Arial"/>
          <w:sz w:val="18"/>
          <w:szCs w:val="18"/>
          <w:color w:val="auto"/>
        </w:rPr>
        <w:t>”) includes assumptions that provide a reasonable basis for presenting the significant effects directly attributable to the transactions and events described therein, the related pro forma adjustments give appropriate effect to those assumptions, and the pro forma adjustments reflect the proper application of those adjustments to the historical financial statement amounts in the Pro Forma Information. The Pro Forma Information complies as to form in all material respects with the applicable requirements of Regulation S-X under the Act.</w:t>
      </w:r>
    </w:p>
    <w:p>
      <w:pPr>
        <w:spacing w:after="0" w:line="79" w:lineRule="exact"/>
        <w:rPr>
          <w:rFonts w:ascii="Arial" w:cs="Arial" w:eastAsia="Arial" w:hAnsi="Arial"/>
          <w:sz w:val="18"/>
          <w:szCs w:val="18"/>
          <w:color w:val="auto"/>
        </w:rPr>
      </w:pPr>
    </w:p>
    <w:p>
      <w:pPr>
        <w:ind w:left="-4" w:right="240" w:firstLine="444"/>
        <w:spacing w:after="0" w:line="302" w:lineRule="auto"/>
        <w:tabs>
          <w:tab w:leader="none" w:pos="652" w:val="left"/>
        </w:tabs>
        <w:numPr>
          <w:ilvl w:val="1"/>
          <w:numId w:val="141"/>
        </w:numPr>
        <w:rPr>
          <w:rFonts w:ascii="Arial" w:cs="Arial" w:eastAsia="Arial" w:hAnsi="Arial"/>
          <w:sz w:val="16"/>
          <w:szCs w:val="16"/>
          <w:color w:val="auto"/>
        </w:rPr>
      </w:pPr>
      <w:r>
        <w:rPr>
          <w:rFonts w:ascii="Arial" w:cs="Arial" w:eastAsia="Arial" w:hAnsi="Arial"/>
          <w:sz w:val="16"/>
          <w:szCs w:val="16"/>
          <w:color w:val="auto"/>
        </w:rPr>
        <w:t>PricewaterhouseCoopers LLP, which has audited certain financial statements of the Company and the combination of Premier Nutrition, Dymatize Enterprises and Active Nutrition International (collectively, “</w:t>
      </w:r>
      <w:r>
        <w:rPr>
          <w:rFonts w:ascii="Arial" w:cs="Arial" w:eastAsia="Arial" w:hAnsi="Arial"/>
          <w:sz w:val="16"/>
          <w:szCs w:val="16"/>
          <w:b w:val="1"/>
          <w:bCs w:val="1"/>
          <w:color w:val="auto"/>
        </w:rPr>
        <w:t>Active Nutrition</w:t>
      </w:r>
      <w:r>
        <w:rPr>
          <w:rFonts w:ascii="Arial" w:cs="Arial" w:eastAsia="Arial" w:hAnsi="Arial"/>
          <w:sz w:val="16"/>
          <w:szCs w:val="16"/>
          <w:color w:val="auto"/>
        </w:rPr>
        <w:t>”), whose reports appear in the Time of Sale Prospectus and which has delivered the initial letter referred to in Section 7(e) hereof, are independent registered public accountants as required by the Securities Act and the rules and regulations thereunder and the rules and regulations of the Public Company Accounting Oversight Board (the “</w:t>
      </w:r>
      <w:r>
        <w:rPr>
          <w:rFonts w:ascii="Arial" w:cs="Arial" w:eastAsia="Arial" w:hAnsi="Arial"/>
          <w:sz w:val="16"/>
          <w:szCs w:val="16"/>
          <w:b w:val="1"/>
          <w:bCs w:val="1"/>
          <w:color w:val="auto"/>
        </w:rPr>
        <w:t>PCAOB</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736" w:hanging="296"/>
        <w:spacing w:after="0"/>
        <w:tabs>
          <w:tab w:leader="none" w:pos="736" w:val="left"/>
        </w:tabs>
        <w:numPr>
          <w:ilvl w:val="1"/>
          <w:numId w:val="141"/>
        </w:numPr>
        <w:rPr>
          <w:rFonts w:ascii="Arial" w:cs="Arial" w:eastAsia="Arial" w:hAnsi="Arial"/>
          <w:sz w:val="16"/>
          <w:szCs w:val="16"/>
          <w:color w:val="auto"/>
        </w:rPr>
      </w:pPr>
      <w:r>
        <w:rPr>
          <w:rFonts w:ascii="Arial" w:cs="Arial" w:eastAsia="Arial" w:hAnsi="Arial"/>
          <w:sz w:val="16"/>
          <w:szCs w:val="16"/>
          <w:color w:val="auto"/>
        </w:rPr>
        <w:t>The BellRing Parties and the Subsidiaries maintain a system of internal accounting controls sufficient to provide reasonable assurances that</w:t>
      </w:r>
    </w:p>
    <w:p>
      <w:pPr>
        <w:spacing w:after="0" w:line="46" w:lineRule="exact"/>
        <w:rPr>
          <w:rFonts w:ascii="Arial" w:cs="Arial" w:eastAsia="Arial" w:hAnsi="Arial"/>
          <w:sz w:val="16"/>
          <w:szCs w:val="16"/>
          <w:color w:val="auto"/>
        </w:rPr>
      </w:pPr>
    </w:p>
    <w:p>
      <w:pPr>
        <w:ind w:left="-4" w:right="20" w:firstLine="4"/>
        <w:spacing w:after="0" w:line="252" w:lineRule="auto"/>
        <w:tabs>
          <w:tab w:leader="none" w:pos="21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transactions are executed in accordance with management’s general or specific authorization, (ii) transactions are recorded as necessary (A) to permit preparation of the financial statements in conformity with generally accepted accounting principles or any other criteria applicable to such statements and (B) to maintain accountability for assets, (iii) access to the assets is permitted only in accordance with management’s general or specific authorization, and (iv) the recorded accountability for assets is compared with existing assets at reasonable intervals and appropriate action is taken with respect to any differences. Except as described in the Time of Sale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83" w:lineRule="exact"/>
        <w:rPr>
          <w:rFonts w:ascii="Arial" w:cs="Arial" w:eastAsia="Arial" w:hAnsi="Arial"/>
          <w:sz w:val="18"/>
          <w:szCs w:val="18"/>
          <w:color w:val="auto"/>
        </w:rPr>
      </w:pPr>
    </w:p>
    <w:p>
      <w:pPr>
        <w:jc w:val="both"/>
        <w:ind w:left="-4" w:right="220" w:firstLine="444"/>
        <w:spacing w:after="0" w:line="279" w:lineRule="auto"/>
        <w:tabs>
          <w:tab w:leader="none" w:pos="692" w:val="left"/>
        </w:tabs>
        <w:numPr>
          <w:ilvl w:val="1"/>
          <w:numId w:val="142"/>
        </w:numPr>
        <w:rPr>
          <w:rFonts w:ascii="Arial" w:cs="Arial" w:eastAsia="Arial" w:hAnsi="Arial"/>
          <w:sz w:val="17"/>
          <w:szCs w:val="17"/>
          <w:color w:val="auto"/>
        </w:rPr>
      </w:pPr>
      <w:r>
        <w:rPr>
          <w:rFonts w:ascii="Arial" w:cs="Arial" w:eastAsia="Arial" w:hAnsi="Arial"/>
          <w:sz w:val="17"/>
          <w:szCs w:val="17"/>
          <w:color w:val="auto"/>
        </w:rPr>
        <w:t>The Company maintains disclosure controls and procedures (as such term is defined in Rule 13a-15(e) under the Exchange Act) that will comply with the requirements of the Exchange Act within the time period required; such disclosure controls and procedures have been designed to ensure that material information relating to the BellRing Parties and the Subsidiaries is made known to the Company’s principal executive officer and principal financial officer by others within those entities; and such disclosure controls and procedures are effective.</w:t>
      </w:r>
    </w:p>
    <w:p>
      <w:pPr>
        <w:spacing w:after="0" w:line="63" w:lineRule="exact"/>
        <w:rPr>
          <w:rFonts w:ascii="Arial" w:cs="Arial" w:eastAsia="Arial" w:hAnsi="Arial"/>
          <w:sz w:val="17"/>
          <w:szCs w:val="17"/>
          <w:color w:val="auto"/>
        </w:rPr>
      </w:pPr>
    </w:p>
    <w:p>
      <w:pPr>
        <w:ind w:left="-4" w:right="20" w:firstLine="444"/>
        <w:spacing w:after="0" w:line="255" w:lineRule="auto"/>
        <w:tabs>
          <w:tab w:leader="none" w:pos="692" w:val="left"/>
        </w:tabs>
        <w:numPr>
          <w:ilvl w:val="1"/>
          <w:numId w:val="142"/>
        </w:numPr>
        <w:rPr>
          <w:rFonts w:ascii="Arial" w:cs="Arial" w:eastAsia="Arial" w:hAnsi="Arial"/>
          <w:sz w:val="18"/>
          <w:szCs w:val="18"/>
          <w:color w:val="auto"/>
        </w:rPr>
      </w:pPr>
      <w:r>
        <w:rPr>
          <w:rFonts w:ascii="Arial" w:cs="Arial" w:eastAsia="Arial" w:hAnsi="Arial"/>
          <w:sz w:val="18"/>
          <w:szCs w:val="18"/>
          <w:color w:val="auto"/>
        </w:rPr>
        <w:t>Since the date of the most recent balance sheet of Active Nutrition reviewed or audited by PricewaterhouseCoopers LLP, the Company has not been advised of or become aware of (A) any significant deficiencies not previously disclosed to the Company’s auditors and Post’s audit committee in the design or operation of internal controls that could adversely affect the ability of the BellRing Parties or the Subsidiaries to record, process, summarize and report financial data, or any material weaknesses in internal controls or (B) any fraud, whether or not material, that involves management or other employees who have a significant role in the internal controls of the Company, BellRing Brands, LLC and each of the Subsidiaries.</w:t>
      </w:r>
    </w:p>
    <w:p>
      <w:pPr>
        <w:spacing w:after="0" w:line="126"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96"/>
          </w:cols>
          <w:pgMar w:left="444" w:top="270" w:right="459" w:bottom="1440" w:gutter="0" w:footer="0" w:header="0"/>
        </w:sectPr>
      </w:pPr>
    </w:p>
    <w:bookmarkStart w:id="245" w:name="page246"/>
    <w:bookmarkEnd w:id="245"/>
    <w:p>
      <w:pPr>
        <w:ind w:firstLine="444"/>
        <w:spacing w:after="0" w:line="273" w:lineRule="auto"/>
        <w:tabs>
          <w:tab w:leader="none" w:pos="696" w:val="left"/>
        </w:tabs>
        <w:numPr>
          <w:ilvl w:val="1"/>
          <w:numId w:val="1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section entitled “Management’s Discussion and Analysis of Financial Condition and Results of Operations – Critical Accounting Policies and Estimates” set forth in the Time of Sale Prospectus accurately describes in all material respects (i) the accounting policies that the Company believes are the most important in the portrayal of the Company’s financial condition and results of operations and that require management’s most difficult, subjective or complex judgments; (ii) the judgments and uncertainties affecting the application of critical accounting policies; and (iii) the likelihood that materially different amounts would be reported under different conditions or using different assumptions and an explanation thereof, in each case to the extent required to be described in a registration statement filed under the Securities Act.</w:t>
      </w:r>
    </w:p>
    <w:p>
      <w:pPr>
        <w:spacing w:after="0" w:line="70" w:lineRule="exact"/>
        <w:rPr>
          <w:rFonts w:ascii="Arial" w:cs="Arial" w:eastAsia="Arial" w:hAnsi="Arial"/>
          <w:sz w:val="17"/>
          <w:szCs w:val="17"/>
          <w:color w:val="auto"/>
        </w:rPr>
      </w:pPr>
    </w:p>
    <w:p>
      <w:pPr>
        <w:ind w:right="440" w:firstLine="444"/>
        <w:spacing w:after="0" w:line="264" w:lineRule="auto"/>
        <w:tabs>
          <w:tab w:leader="none" w:pos="696"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There is and has been no failure on the part of the Company and any of the Company’s directors or officers, in their capacities as such, to comply, in all material respects, with any provision of the Sarbanes-Oxley Act of 2002 and the rules and regulations promulgated in connection therewith, with which any of them are required to comply.</w:t>
      </w:r>
    </w:p>
    <w:p>
      <w:pPr>
        <w:spacing w:after="0" w:line="73" w:lineRule="exact"/>
        <w:rPr>
          <w:rFonts w:ascii="Arial" w:cs="Arial" w:eastAsia="Arial" w:hAnsi="Arial"/>
          <w:sz w:val="18"/>
          <w:szCs w:val="18"/>
          <w:color w:val="auto"/>
        </w:rPr>
      </w:pPr>
    </w:p>
    <w:p>
      <w:pPr>
        <w:ind w:right="400" w:firstLine="444"/>
        <w:spacing w:after="0" w:line="288" w:lineRule="auto"/>
        <w:tabs>
          <w:tab w:leader="none" w:pos="665" w:val="left"/>
        </w:tabs>
        <w:numPr>
          <w:ilvl w:val="1"/>
          <w:numId w:val="143"/>
        </w:numPr>
        <w:rPr>
          <w:rFonts w:ascii="Arial" w:cs="Arial" w:eastAsia="Arial" w:hAnsi="Arial"/>
          <w:sz w:val="16"/>
          <w:szCs w:val="16"/>
          <w:color w:val="auto"/>
        </w:rPr>
      </w:pPr>
      <w:r>
        <w:rPr>
          <w:rFonts w:ascii="Arial" w:cs="Arial" w:eastAsia="Arial" w:hAnsi="Arial"/>
          <w:sz w:val="16"/>
          <w:szCs w:val="16"/>
          <w:color w:val="auto"/>
        </w:rPr>
        <w:t>Except as disclosed in the Time of Sale Prospectus, since the date of the latest audited financial statements included in the Time of Sale Prospectus, none of the BellRing Parties or the Subsidiaries has (i) sustained any loss or interference with its business from fire, explosion, flood or other calamity, whether or not covered by insurance, or from any labor disturbance or dispute or court or governmental action, order or decree,</w:t>
      </w:r>
    </w:p>
    <w:p>
      <w:pPr>
        <w:ind w:firstLine="4"/>
        <w:spacing w:after="0" w:line="287" w:lineRule="auto"/>
        <w:tabs>
          <w:tab w:leader="none" w:pos="26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issued or granted any securities (other than the Common Stock contemplated hereby), (iii) incurred any material liability or obligation, direct or contingent, other than liabilities and obligations that were incurred in the ordinary course of business, (iv) entered into any material transaction not in the ordinary course of business, or (v) declared or paid any dividend on its capital stock, and, except as disclosed in the Time of Sale Prospectus, since such date, there has not been any change in the capital stock or limited liability interests (other than the Common Stock contemplated hereby), as applicable, or long-term debt of any of the BellRing Parties or the Subsidiaries or any adverse change, or any development involving a prospective adverse change, in or affecting the condition (financial or otherwise), results of operations, stockholders’ equity, properties, management, business or prospects of the Company or its subsidiaries taken as a whole, in each case except (a) as described in the Time of Sale Prospectus and the Prospectus or (b) as would not, individually or in the aggregate, reasonably be expected to have a Material Adverse Effect.</w:t>
      </w:r>
    </w:p>
    <w:p>
      <w:pPr>
        <w:spacing w:after="0" w:line="62" w:lineRule="exact"/>
        <w:rPr>
          <w:rFonts w:ascii="Arial" w:cs="Arial" w:eastAsia="Arial" w:hAnsi="Arial"/>
          <w:sz w:val="16"/>
          <w:szCs w:val="16"/>
          <w:color w:val="auto"/>
        </w:rPr>
      </w:pPr>
    </w:p>
    <w:p>
      <w:pPr>
        <w:ind w:right="20" w:firstLine="444"/>
        <w:spacing w:after="0" w:line="271" w:lineRule="auto"/>
        <w:tabs>
          <w:tab w:leader="none" w:pos="676" w:val="left"/>
        </w:tabs>
        <w:numPr>
          <w:ilvl w:val="1"/>
          <w:numId w:val="144"/>
        </w:numPr>
        <w:rPr>
          <w:rFonts w:ascii="Arial" w:cs="Arial" w:eastAsia="Arial" w:hAnsi="Arial"/>
          <w:sz w:val="17"/>
          <w:szCs w:val="17"/>
          <w:color w:val="auto"/>
        </w:rPr>
      </w:pPr>
      <w:r>
        <w:rPr>
          <w:rFonts w:ascii="Arial" w:cs="Arial" w:eastAsia="Arial" w:hAnsi="Arial"/>
          <w:sz w:val="17"/>
          <w:szCs w:val="17"/>
          <w:color w:val="auto"/>
        </w:rPr>
        <w:t>Each of the BellRing Parties and the Subsidiaries have good and marketable title to all real property and good and marketable title to all personal property owned by them, in each case, free and clear of all liens, encumbrances and defects, except (i) such liens, encumbrances and defects as are described in the Time of Sale Prospectus, (ii) such as do not materially affect the value of such property and do not materially interfere with the use made and proposed to be made of such property by the BellRing Parties and the Subsidiaries, (iii) liens securing the obligations under the Post bridge loan and BellRing Brands, LLC’s senior secured credit facilities or (iv) such liens, encumbrances and defects as would not, individually or in the aggregate, reasonably be expected to have a Material Adverse Effect. All assets held under lease by the BellRing Parties and the Subsidiaries are held by them under valid, subsisting and enforceable leases, with such exceptions as do not materially interfere with the use made and proposed to be made of such assets by the BellRing Parties and the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46" w:name="page247"/>
    <w:bookmarkEnd w:id="246"/>
    <w:p>
      <w:pPr>
        <w:ind w:left="-40" w:right="20" w:firstLine="444"/>
        <w:spacing w:after="0" w:line="270" w:lineRule="auto"/>
        <w:tabs>
          <w:tab w:leader="none" w:pos="616" w:val="left"/>
        </w:tabs>
        <w:numPr>
          <w:ilvl w:val="0"/>
          <w:numId w:val="1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of the BellRing Parties and the Subsidiaries have such permits, licenses, patents, franchises, certificates of need and other approvals or authorizations of governmental or regulatory authorities (“</w:t>
      </w:r>
      <w:r>
        <w:rPr>
          <w:rFonts w:ascii="Arial" w:cs="Arial" w:eastAsia="Arial" w:hAnsi="Arial"/>
          <w:sz w:val="17"/>
          <w:szCs w:val="17"/>
          <w:b w:val="1"/>
          <w:bCs w:val="1"/>
          <w:color w:val="auto"/>
        </w:rPr>
        <w:t>Permits</w:t>
      </w:r>
      <w:r>
        <w:rPr>
          <w:rFonts w:ascii="Arial" w:cs="Arial" w:eastAsia="Arial" w:hAnsi="Arial"/>
          <w:sz w:val="17"/>
          <w:szCs w:val="17"/>
          <w:color w:val="auto"/>
        </w:rPr>
        <w:t>”) as are necessary under applicable law to own their properties and conduct their businesses in the manner described in the Time of Sale Prospectus, except for any of the foregoing that would not, individually or in the aggregate, reasonably be expected to have a Material Adverse Effect. The BellRing Parties and the Subsidiaries have fulfilled and performed all of their respective obligations with respect to the Permits, and no event has occurred that allows, or after notice or lapse of time would allow, revocation or termination thereof or results in any other impairment of the rights of the holder or any such Permits, except for any of the foregoing that would not reasonably be expected to have a Material Adverse Effect. Neither the BellRing Parties nor any of the Subsidiaries has received notice of any revocation or modification of any such Permits or has any reason to believe that any such Permits will not be renewed in the ordinary course, except where such event would not reasonably be expected to have a Material Adverse Effect.</w:t>
      </w:r>
    </w:p>
    <w:p>
      <w:pPr>
        <w:spacing w:after="0" w:line="73" w:lineRule="exact"/>
        <w:rPr>
          <w:rFonts w:ascii="Arial" w:cs="Arial" w:eastAsia="Arial" w:hAnsi="Arial"/>
          <w:sz w:val="17"/>
          <w:szCs w:val="17"/>
          <w:color w:val="auto"/>
        </w:rPr>
      </w:pPr>
    </w:p>
    <w:p>
      <w:pPr>
        <w:ind w:left="-40" w:firstLine="444"/>
        <w:spacing w:after="0" w:line="272" w:lineRule="auto"/>
        <w:tabs>
          <w:tab w:leader="none" w:pos="65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Except as described in the Time of Sale Prospectus and the Prospectus, the BellRing Parties and the Subsidiaries own or possess, or have applied for, adequate rights to use all material patents, patent applications, trademarks, service marks, trade names, trademark registrations, service mark registrations, copyrights, licenses, know-how, software, systems and technology (including trade secrets and other unpatented and/or unpatentable proprietary or confidential information, systems or procedures) necessary for the conduct of their respective businesses (except as would not, individually or in the aggregate, reasonably be expected to have a Material Adverse Effect), and the conduct of their respective businesses will not conflict with, and have not received any notice of any claim of conflict with, any such rights of others that would reasonably be expected to result, individually or in the aggregate, in a Material Adverse Effect.</w:t>
      </w:r>
    </w:p>
    <w:p>
      <w:pPr>
        <w:spacing w:after="0" w:line="69" w:lineRule="exact"/>
        <w:rPr>
          <w:rFonts w:ascii="Arial" w:cs="Arial" w:eastAsia="Arial" w:hAnsi="Arial"/>
          <w:sz w:val="17"/>
          <w:szCs w:val="17"/>
          <w:color w:val="auto"/>
        </w:rPr>
      </w:pPr>
    </w:p>
    <w:p>
      <w:pPr>
        <w:ind w:left="-40" w:right="40" w:firstLine="444"/>
        <w:spacing w:after="0" w:line="297" w:lineRule="auto"/>
        <w:tabs>
          <w:tab w:leader="none" w:pos="65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Except as described in the Time of Sale Prospectus, there are no legal or governmental proceedings pending or threatened to which any of the BellRing Parties and the Subsidiaries are a party or of which any property or assets of the BellRing Parties and the Subsidiaries are the subject that would, individually or in the aggregate, reasonably be expected to have a Material Adverse Effect or would, individually or in the aggregate, reasonably be expected to have a material adverse effect on the performance by the Company of this Agreement or the consummation of the transactions contemplated hereby; and to the Company’s knowledge, no such proceedings are threatened or contemplated by governmental authorities or others.</w:t>
      </w:r>
    </w:p>
    <w:p>
      <w:pPr>
        <w:spacing w:after="0" w:line="50" w:lineRule="exact"/>
        <w:rPr>
          <w:rFonts w:ascii="Arial" w:cs="Arial" w:eastAsia="Arial" w:hAnsi="Arial"/>
          <w:sz w:val="16"/>
          <w:szCs w:val="16"/>
          <w:color w:val="auto"/>
        </w:rPr>
      </w:pPr>
    </w:p>
    <w:p>
      <w:pPr>
        <w:ind w:left="-40" w:right="60" w:firstLine="444"/>
        <w:spacing w:after="0" w:line="297" w:lineRule="auto"/>
        <w:tabs>
          <w:tab w:leader="none" w:pos="69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There are no contracts or other documents required to be described in the Registration Statement or the Time of Sale Prospectus or filed as exhibits to the Registration Statement, that are not described and filed as required. The statements made in the Time of Sale Prospectus, insofar as they purport to constitute summaries of the terms of the contracts and other documents described and filed, constitute accurate summaries of the terms of such contracts and documents in all material respects. Neither the BellRing Parties nor any of the Subsidiaries has received written notice that any other party to any such contract or other document has any intention not to render full performance as contemplated by the terms thereof.</w:t>
      </w:r>
    </w:p>
    <w:p>
      <w:pPr>
        <w:spacing w:after="0" w:line="50" w:lineRule="exact"/>
        <w:rPr>
          <w:rFonts w:ascii="Arial" w:cs="Arial" w:eastAsia="Arial" w:hAnsi="Arial"/>
          <w:sz w:val="16"/>
          <w:szCs w:val="16"/>
          <w:color w:val="auto"/>
        </w:rPr>
      </w:pPr>
    </w:p>
    <w:p>
      <w:pPr>
        <w:jc w:val="both"/>
        <w:ind w:left="-40" w:right="180" w:firstLine="444"/>
        <w:spacing w:after="0" w:line="259" w:lineRule="auto"/>
        <w:tabs>
          <w:tab w:leader="none" w:pos="65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BellRing Parties and the Subsidiaries carry insurance, or are covered by insurance carried by other persons, from insurers of recognized financial responsibility in such amounts and covering such risks as is customary for companies engaged in similar businesses in similar industries. All such policies of insurance are in full force and effect; the BellRing Parties and the Subsidiaries are in compliance with the terms of such policies in all material respects;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80" w:top="274" w:right="459" w:bottom="1440" w:gutter="0" w:footer="0" w:header="0"/>
        </w:sectPr>
      </w:pPr>
    </w:p>
    <w:bookmarkStart w:id="247" w:name="page248"/>
    <w:bookmarkEnd w:id="24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none of the BellRing Parties or the Subsidiaries has received notice from any insurer or agent of such insurer that capital improvements or other expenditures are required or necessary to be made in order to continue such insurance; there are no claims by the BellRing Parties or the Subsidiaries under any such policy or instrument as to which any insurance company is denying liability or defending under a reservation of rights clause; and the Company does not have any reason to believe that any of the BellRing Parties or the Subsidiaries will not continue to be insured under a renewal of their existing insurance coverage when such coverage expires or be able to obtain similar coverage from similar insurers, in each case other than as would not reasonably be expected to have a Material Adverse Effect.</w:t>
      </w:r>
    </w:p>
    <w:p>
      <w:pPr>
        <w:spacing w:after="0" w:line="85" w:lineRule="exact"/>
        <w:rPr>
          <w:sz w:val="20"/>
          <w:szCs w:val="20"/>
          <w:color w:val="auto"/>
        </w:rPr>
      </w:pPr>
    </w:p>
    <w:p>
      <w:pPr>
        <w:jc w:val="both"/>
        <w:ind w:right="20" w:firstLine="444"/>
        <w:spacing w:after="0" w:line="259" w:lineRule="auto"/>
        <w:tabs>
          <w:tab w:leader="none" w:pos="69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Except as described in the Time of Sale Prospectus, no transaction, direct or indirect, that is required to be described in a registration statement of the Company pursuant to Item 404 of Regulation S-K exists between or among any of the BellRing Parties and the Subsidiaries, on the one hand, and any related persons (as such term is defined in Item 404 of Regulation S-K), on the other hand, that is required to be described in the Time of Sale Prospectus which is not so described.</w:t>
      </w:r>
    </w:p>
    <w:p>
      <w:pPr>
        <w:spacing w:after="0" w:line="78" w:lineRule="exact"/>
        <w:rPr>
          <w:rFonts w:ascii="Arial" w:cs="Arial" w:eastAsia="Arial" w:hAnsi="Arial"/>
          <w:sz w:val="18"/>
          <w:szCs w:val="18"/>
          <w:color w:val="auto"/>
        </w:rPr>
      </w:pPr>
    </w:p>
    <w:p>
      <w:pPr>
        <w:ind w:right="360" w:firstLine="444"/>
        <w:spacing w:after="0" w:line="277" w:lineRule="auto"/>
        <w:tabs>
          <w:tab w:leader="none" w:pos="68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 labor disturbance by or dispute with the employees of any of the BellRing Parties or the Subsidiaries exists or, to the knowledge of the Company, is imminent that would reasonably be expected to have a Material Adverse Effect.</w:t>
      </w:r>
    </w:p>
    <w:p>
      <w:pPr>
        <w:spacing w:after="0" w:line="62" w:lineRule="exact"/>
        <w:rPr>
          <w:sz w:val="20"/>
          <w:szCs w:val="20"/>
          <w:color w:val="auto"/>
        </w:rPr>
      </w:pPr>
    </w:p>
    <w:p>
      <w:pPr>
        <w:ind w:right="160" w:firstLine="444"/>
        <w:spacing w:after="0" w:line="271" w:lineRule="auto"/>
        <w:tabs>
          <w:tab w:leader="none" w:pos="76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None of the BellRing Parties or the Subsidiaries (i) is in violation of its charter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(iii)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(ii) and (iii), to the extent any such conflict, breach, violation or default would not, individually or in the aggregate, reasonably be expected to have a Material Adverse Effect.</w:t>
      </w:r>
    </w:p>
    <w:p>
      <w:pPr>
        <w:spacing w:after="0" w:line="70" w:lineRule="exact"/>
        <w:rPr>
          <w:rFonts w:ascii="Arial" w:cs="Arial" w:eastAsia="Arial" w:hAnsi="Arial"/>
          <w:sz w:val="17"/>
          <w:szCs w:val="17"/>
          <w:color w:val="auto"/>
        </w:rPr>
      </w:pPr>
    </w:p>
    <w:p>
      <w:pPr>
        <w:ind w:right="60" w:firstLine="444"/>
        <w:spacing w:after="0" w:line="271" w:lineRule="auto"/>
        <w:tabs>
          <w:tab w:leader="none" w:pos="786"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BellRing Parties and the Subsidiaries (i) are and, to the knowledge of the Company, in the five years immediately prior hereto were,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the use, handling, storage, manufacturing, transportation, treatment, discharge, disposal or release of, or exposure to,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applicable to such entity, which compliance includes, without limitation, obtaining, maintaining and complying with all Permits required by or issued pursuant to Environmental Laws to conduct their respective businesses in the manner described in the Time of Sale Prospectus and the Prospectus, and (ii) have not received written notice or do not otherwise have knowledge (I) of any actual or alleged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48" w:name="page249"/>
    <w:bookmarkEnd w:id="248"/>
    <w:p>
      <w:pPr>
        <w:ind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violation of Environmental Laws, or (II) of any actual or potential liability for the presence, disposal or release of hazardous or toxic substances or wastes, pollutants or contaminants, except (A) in the case of clause (i) or (ii) where such non-compliance, violation or liability would not, individually or in the aggregate, reasonably be expected to have a Material Adverse Effect or (B) as described in the Time of Sale Prospectus and the Prospectus. Except as described in the Time of Sale Prospectus and the Prospectus, (x) there are no proceedings that are pending or, to the knowledge of the Company, threatened (in writing or known by an officer of the Company to be threatened), or contemplated against the BellRing Parties and the Subsidiaries under Environmental Laws in which a governmental authority is also a party, other than such proceedings regarding which it is reasonably believed no monetary sanctions of $100,000 or more will be imposed, and (y) the Company is not aware of any liabilities under Environmental Laws or concerning hazardous or toxic substances or wastes, pollutants or contaminants, that could reasonably be expected to have a material effect on the capital expenditures, earnings or competitive position of the Company or its subsidiaries.</w:t>
      </w:r>
    </w:p>
    <w:p>
      <w:pPr>
        <w:spacing w:after="0" w:line="74" w:lineRule="exact"/>
        <w:rPr>
          <w:sz w:val="20"/>
          <w:szCs w:val="20"/>
          <w:color w:val="auto"/>
        </w:rPr>
      </w:pPr>
    </w:p>
    <w:p>
      <w:pPr>
        <w:ind w:firstLine="444"/>
        <w:spacing w:after="0" w:line="297" w:lineRule="auto"/>
        <w:tabs>
          <w:tab w:leader="none" w:pos="76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Each of the BellRing Parties and the Subsidiaries have filed all federal, state, local and foreign tax returns required to be filed through the date hereof, subject to permitted extensions, and have paid all taxes due, in each case except as would not, individually or in the aggregate, reasonably be expected to have a Material Adverse Effect, no tax deficiency has been determined adversely to any of the BellRing Parties or the Subsidiaries, nor does the Company have any knowledge of any tax deficiencies that have been, or would reasonably be expected to be asserted against any of the BellRing Parties or the Subsidiaries, that would, individually or in the aggregate, reasonably be expected to have a Material Adverse Effect.</w:t>
      </w:r>
    </w:p>
    <w:p>
      <w:pPr>
        <w:spacing w:after="0" w:line="50" w:lineRule="exact"/>
        <w:rPr>
          <w:rFonts w:ascii="Arial" w:cs="Arial" w:eastAsia="Arial" w:hAnsi="Arial"/>
          <w:sz w:val="16"/>
          <w:szCs w:val="16"/>
          <w:color w:val="auto"/>
        </w:rPr>
      </w:pPr>
    </w:p>
    <w:p>
      <w:pPr>
        <w:ind w:left="780" w:hanging="336"/>
        <w:spacing w:after="0"/>
        <w:tabs>
          <w:tab w:leader="none" w:pos="7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 Each “employee benefit plan” (within the meaning of Section 3(3) of the Employee Retirement Security Act of 1974, as amended</w:t>
      </w:r>
    </w:p>
    <w:p>
      <w:pPr>
        <w:spacing w:after="0" w:line="3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w:t>
      </w:r>
      <w:r>
        <w:rPr>
          <w:rFonts w:ascii="Arial" w:cs="Arial" w:eastAsia="Arial" w:hAnsi="Arial"/>
          <w:sz w:val="17"/>
          <w:szCs w:val="17"/>
          <w:color w:val="auto"/>
        </w:rPr>
        <w:t>”)) for which the Company or any member, upon completion of the Transactions, of its “Controlled Group” (defined as any organization which is a member of a controlled group of corporations within the meaning of Section 414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would have any liability (each a “</w:t>
      </w:r>
      <w:r>
        <w:rPr>
          <w:rFonts w:ascii="Arial" w:cs="Arial" w:eastAsia="Arial" w:hAnsi="Arial"/>
          <w:sz w:val="17"/>
          <w:szCs w:val="17"/>
          <w:b w:val="1"/>
          <w:bCs w:val="1"/>
          <w:color w:val="auto"/>
        </w:rPr>
        <w:t>Plan</w:t>
      </w:r>
      <w:r>
        <w:rPr>
          <w:rFonts w:ascii="Arial" w:cs="Arial" w:eastAsia="Arial" w:hAnsi="Arial"/>
          <w:sz w:val="17"/>
          <w:szCs w:val="17"/>
          <w:color w:val="auto"/>
        </w:rPr>
        <w:t>”) has been maintained in compliance in all material respects with its terms and with the requirements of all applicable statutes, rules and regulations including ERISA and the Code; (ii) to the knowledge of the Company,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material “reportable event” (within the meaning of Section 4043(c) of ERISA) has occurred or is reasonably expected to occur, (B) there has been no failure to satisfy the minimum funding standard of Sections 302 and 303 of ERISA or Sections 412 and 430 of the Code (whether or not waived in accordance with Section 412(c) of the Code or Section 302(c) of ERISA) and no failure to make by its due date (which failure has not been corrected without material liability) a required installment under Section 430(j) of the Code with respect to any Plan or the failure to make any required contribution to a “multiemployer plan” within the meaning of Section 4001(c)(3) of ERISA (“Multiemployer Plan”), (C) as of the end of the most recent plan year for which a final valuation is available, the present value of the aggregate benefit liabilities under such Plan (determined as of the end of the most recent plan year on the basis of the actuarial assumptions specified for funding purposes in the most recent actuarial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249" w:name="page250"/>
    <w:bookmarkEnd w:id="249"/>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valuation for such Plan) did not exceed the aggregate current fair market value of the assets of such Plan by more than $5.0 million, (D) neither the Company or any member, upon completion of the Transactions, of its Controlled Group has incurred, or reasonably expects to incur, any material liability under Title IV of ERISA (other than contributions to the Plan or premiums to the Pension Benefit Guaranty Corporation in the ordinary course and without default) in respect of a Plan (including a Multiemployer Plan); and (iv) each Plan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with respect to any Plan intended to be qualified under Section 401(a) of the Code effective upon completion of the Transaction, the Company intends to timely submit an application for such a letter and nothing has occurred that would prevent or cause the loss of such tax-qualified status.</w:t>
      </w:r>
    </w:p>
    <w:p>
      <w:pPr>
        <w:spacing w:after="0" w:line="89" w:lineRule="exact"/>
        <w:rPr>
          <w:sz w:val="20"/>
          <w:szCs w:val="20"/>
          <w:color w:val="auto"/>
        </w:rPr>
      </w:pPr>
    </w:p>
    <w:p>
      <w:pPr>
        <w:ind w:firstLine="444"/>
        <w:spacing w:after="0" w:line="279" w:lineRule="auto"/>
        <w:tabs>
          <w:tab w:leader="none" w:pos="76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Except as described in the Time of Sale Prospectus and the Prospectus and except where such restrictions would not reasonably be expected to have a Material Adverse Effect, neither BellRing Brands, LLC nor any Subsidiary will be prohibited, directly or indirectly, from paying any dividends or distributions to the Company, from making any other distribution on such Subsidiary’s equity, from repaying to the Company any loans or advances from the Company or from transferring any property or assets to the Company, BellRing Brands, LLC or any other Subsidiary.</w:t>
      </w:r>
    </w:p>
    <w:p>
      <w:pPr>
        <w:spacing w:after="0" w:line="63" w:lineRule="exact"/>
        <w:rPr>
          <w:rFonts w:ascii="Arial" w:cs="Arial" w:eastAsia="Arial" w:hAnsi="Arial"/>
          <w:sz w:val="17"/>
          <w:szCs w:val="17"/>
          <w:color w:val="auto"/>
        </w:rPr>
      </w:pPr>
    </w:p>
    <w:p>
      <w:pPr>
        <w:ind w:right="440" w:firstLine="444"/>
        <w:spacing w:after="0" w:line="264" w:lineRule="auto"/>
        <w:tabs>
          <w:tab w:leader="none" w:pos="72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statistical and market-related data included in the Time of Sale Prospectus and the Prospectus and the financial statements of the Company and Active Nutrition included in the Time of Sale Prospectus and the Prospectus are based on or derived from sources that the Company believes to be reliable in all material respects.</w:t>
      </w:r>
    </w:p>
    <w:p>
      <w:pPr>
        <w:spacing w:after="0" w:line="73" w:lineRule="exact"/>
        <w:rPr>
          <w:rFonts w:ascii="Arial" w:cs="Arial" w:eastAsia="Arial" w:hAnsi="Arial"/>
          <w:sz w:val="18"/>
          <w:szCs w:val="18"/>
          <w:color w:val="auto"/>
        </w:rPr>
      </w:pPr>
    </w:p>
    <w:p>
      <w:pPr>
        <w:ind w:right="20" w:firstLine="444"/>
        <w:spacing w:after="0" w:line="259" w:lineRule="auto"/>
        <w:tabs>
          <w:tab w:leader="none" w:pos="78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Company is not, nor after giving effect to the offer and sale of the Stock and the application of the proceeds therefrom as described under “Use of Proceeds” in each of the Time of Sale Prospectus and the Prospectus, will be, an “investment company” or a company “controlled” by an “investment company” within the meaning of the Investment Company Act of 1940, as amended, and the rules and regulations of the Commission thereunder.</w:t>
      </w:r>
    </w:p>
    <w:p>
      <w:pPr>
        <w:spacing w:after="0" w:line="78" w:lineRule="exact"/>
        <w:rPr>
          <w:rFonts w:ascii="Arial" w:cs="Arial" w:eastAsia="Arial" w:hAnsi="Arial"/>
          <w:sz w:val="18"/>
          <w:szCs w:val="18"/>
          <w:color w:val="auto"/>
        </w:rPr>
      </w:pPr>
    </w:p>
    <w:p>
      <w:pPr>
        <w:jc w:val="both"/>
        <w:ind w:right="100" w:firstLine="444"/>
        <w:spacing w:after="0" w:line="293" w:lineRule="auto"/>
        <w:tabs>
          <w:tab w:leader="none" w:pos="78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statements set forth in each of the Time of Sale Prospectus and the Prospectus under the captions “Description of Capital Stock” insofar as they purport to constitute a summary of the terms of the capital stock, and under the captions “Material U.S. Federal Income Tax Considerations for Non-U.S. Holders” and “Underwriting,” insofar as they purport to summarize the provisions of the laws and documents referred to therein, are accurate summaries in all material respects; provided that no representation or warranty is made as to information contained in or omitted from the Time of Sale Prospectus and the Prospectus in reliance upon and in conformity with written information furnished to the Company through the Representatives by or on behalf of any Underwriter specifically for inclusion therein, which information is limited to the information set forth in Section 8(f).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250" w:name="page251"/>
    <w:bookmarkEnd w:id="250"/>
    <w:p>
      <w:pPr>
        <w:ind w:left="-40" w:right="120" w:firstLine="444"/>
        <w:spacing w:after="0" w:line="257" w:lineRule="auto"/>
        <w:tabs>
          <w:tab w:leader="none" w:pos="666"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described in the Time of Sale Prospectus and the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w:t>
      </w:r>
    </w:p>
    <w:p>
      <w:pPr>
        <w:spacing w:after="0" w:line="80" w:lineRule="exact"/>
        <w:rPr>
          <w:rFonts w:ascii="Arial" w:cs="Arial" w:eastAsia="Arial" w:hAnsi="Arial"/>
          <w:sz w:val="18"/>
          <w:szCs w:val="18"/>
          <w:color w:val="auto"/>
        </w:rPr>
      </w:pPr>
    </w:p>
    <w:p>
      <w:pPr>
        <w:ind w:left="-40" w:right="40" w:firstLine="444"/>
        <w:spacing w:after="0" w:line="264" w:lineRule="auto"/>
        <w:tabs>
          <w:tab w:leader="none" w:pos="66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Company is not a party to any contract, agreement or understanding with any person (other than this Agreement) that could give rise to a valid claim against any of them or the Underwriters for a brokerage commission, finder’s fee or like payment in connection with the offering and sale of the Stock.</w:t>
      </w:r>
    </w:p>
    <w:p>
      <w:pPr>
        <w:spacing w:after="0" w:line="73" w:lineRule="exact"/>
        <w:rPr>
          <w:rFonts w:ascii="Arial" w:cs="Arial" w:eastAsia="Arial" w:hAnsi="Arial"/>
          <w:sz w:val="18"/>
          <w:szCs w:val="18"/>
          <w:color w:val="auto"/>
        </w:rPr>
      </w:pPr>
    </w:p>
    <w:p>
      <w:pPr>
        <w:ind w:left="-40" w:right="400" w:firstLine="444"/>
        <w:spacing w:after="0" w:line="312" w:lineRule="auto"/>
        <w:tabs>
          <w:tab w:leader="none" w:pos="746"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Company has not sold, issued or distributed any shares of Common Stock during the six 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38" w:lineRule="exact"/>
        <w:rPr>
          <w:rFonts w:ascii="Arial" w:cs="Arial" w:eastAsia="Arial" w:hAnsi="Arial"/>
          <w:sz w:val="16"/>
          <w:szCs w:val="16"/>
          <w:color w:val="auto"/>
        </w:rPr>
      </w:pPr>
    </w:p>
    <w:p>
      <w:pPr>
        <w:jc w:val="both"/>
        <w:ind w:left="-40" w:right="100" w:firstLine="444"/>
        <w:spacing w:after="0" w:line="342" w:lineRule="auto"/>
        <w:tabs>
          <w:tab w:leader="none" w:pos="666"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Company and its affiliates have not taken, directly or indirectly, any action designed to or that has constituted or that could reasonably be expected to cause or result in the stabilization or manipulation of the price of any security of the Company in connection with the offering of the Stock.</w:t>
      </w:r>
    </w:p>
    <w:p>
      <w:pPr>
        <w:spacing w:after="0" w:line="15" w:lineRule="exact"/>
        <w:rPr>
          <w:rFonts w:ascii="Arial" w:cs="Arial" w:eastAsia="Arial" w:hAnsi="Arial"/>
          <w:sz w:val="16"/>
          <w:szCs w:val="16"/>
          <w:color w:val="auto"/>
        </w:rPr>
      </w:pPr>
    </w:p>
    <w:p>
      <w:pPr>
        <w:jc w:val="both"/>
        <w:ind w:left="-40" w:right="200" w:firstLine="444"/>
        <w:spacing w:after="0" w:line="286" w:lineRule="auto"/>
        <w:tabs>
          <w:tab w:leader="none" w:pos="846"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Company has not taken any action or omitted to take any action without the prior consent of the Representatives (such as issuing any press release relating to any Stock without an appropriate legend) which may result in the loss by any of the Underwriters of the ability to rely on any stabilization safe harbor provided by the Financial Services Authority under the Financial Services and Markets Act 2000.</w:t>
      </w:r>
    </w:p>
    <w:p>
      <w:pPr>
        <w:spacing w:after="0" w:line="57" w:lineRule="exact"/>
        <w:rPr>
          <w:rFonts w:ascii="Arial" w:cs="Arial" w:eastAsia="Arial" w:hAnsi="Arial"/>
          <w:sz w:val="17"/>
          <w:szCs w:val="17"/>
          <w:color w:val="auto"/>
        </w:rPr>
      </w:pPr>
    </w:p>
    <w:p>
      <w:pPr>
        <w:ind w:left="740" w:hanging="336"/>
        <w:spacing w:after="0"/>
        <w:tabs>
          <w:tab w:leader="none" w:pos="7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Stock has been approved for listing, subject to official notice of issuance, on The New York Stock Exchange.</w:t>
      </w:r>
    </w:p>
    <w:p>
      <w:pPr>
        <w:spacing w:after="0" w:line="117" w:lineRule="exact"/>
        <w:rPr>
          <w:rFonts w:ascii="Arial" w:cs="Arial" w:eastAsia="Arial" w:hAnsi="Arial"/>
          <w:sz w:val="18"/>
          <w:szCs w:val="18"/>
          <w:color w:val="auto"/>
        </w:rPr>
      </w:pPr>
    </w:p>
    <w:p>
      <w:pPr>
        <w:ind w:left="-40" w:firstLine="444"/>
        <w:spacing w:after="0" w:line="259" w:lineRule="auto"/>
        <w:tabs>
          <w:tab w:leader="none" w:pos="74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Company has not distributed and, prior to the later to occur of any Delivery Date and completion of the distribution of the Stock, will not distribute any offering material in connection with the offering and sale of the Stock other than any Time of Sale Prospectus, the Prospectus, any free writing prospectus to which the Representatives have consented in accordance with Section 5(a)(vi) and any free writing prospectus set forth on Schedule V hereto.</w:t>
      </w:r>
    </w:p>
    <w:p>
      <w:pPr>
        <w:spacing w:after="0" w:line="78" w:lineRule="exact"/>
        <w:rPr>
          <w:rFonts w:ascii="Arial" w:cs="Arial" w:eastAsia="Arial" w:hAnsi="Arial"/>
          <w:sz w:val="18"/>
          <w:szCs w:val="18"/>
          <w:color w:val="auto"/>
        </w:rPr>
      </w:pPr>
    </w:p>
    <w:p>
      <w:pPr>
        <w:ind w:left="-40" w:right="20" w:firstLine="444"/>
        <w:spacing w:after="0" w:line="273" w:lineRule="auto"/>
        <w:tabs>
          <w:tab w:leader="none" w:pos="746" w:val="left"/>
        </w:tabs>
        <w:numPr>
          <w:ilvl w:val="0"/>
          <w:numId w:val="150"/>
        </w:numPr>
        <w:rPr>
          <w:rFonts w:ascii="Arial" w:cs="Arial" w:eastAsia="Arial" w:hAnsi="Arial"/>
          <w:sz w:val="17"/>
          <w:szCs w:val="17"/>
          <w:color w:val="auto"/>
        </w:rPr>
      </w:pPr>
      <w:r>
        <w:rPr>
          <w:rFonts w:ascii="Arial" w:cs="Arial" w:eastAsia="Arial" w:hAnsi="Arial"/>
          <w:sz w:val="17"/>
          <w:szCs w:val="17"/>
          <w:color w:val="auto"/>
        </w:rPr>
        <w:t>None of the BellRing Parties nor any of the Subsidiaries or affiliates, or any director or officer thereof, nor to the knowledge of the Company, any agent, employee or other person associated with or acting on behalf of any of the BellRing Parties or the Subsidiaries, (i) has taken or will take any action in furtherance of an offer, payment, promise to pay, or authorization or approval of the payment, giving or receipt of money, property, gift, other unlawful expense relating to political activity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80" w:top="274" w:right="459" w:bottom="1440" w:gutter="0" w:footer="0" w:header="0"/>
        </w:sectPr>
      </w:pPr>
    </w:p>
    <w:bookmarkStart w:id="251" w:name="page252"/>
    <w:bookmarkEnd w:id="251"/>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Government Official</w:t>
      </w:r>
      <w:r>
        <w:rPr>
          <w:rFonts w:ascii="Arial" w:cs="Arial" w:eastAsia="Arial" w:hAnsi="Arial"/>
          <w:sz w:val="17"/>
          <w:szCs w:val="17"/>
          <w:color w:val="auto"/>
        </w:rPr>
        <w:t>”) in order to influence official action, or to any person in violation of any applicable anti-corruption laws; (ii) has violated applicable anti-bribery and anti-corruption laws, including the Foreign Corrupt Practices Act of 1977 and the BellRing Parties and the Subsidiaries have instituted and maintained and will continue to maintain policies and procedures reasonably designed to promote and achieve compliance with such laws and with the representations and warranties contained herein; or (iii) has made, offered or agreed to any bribe, rebate, payoff, influence payment, kickback or other unlawful payment or benefit.Neither the BellRing Parties nor the Subsidiaries will use, directly or indirectly, the proceeds of the offering in furtherance of an offer, payment, promise to pay, or authorization of the payment or giving of money, or anything else of value, to any person in violation of any applicable anti-bribery or anti-corruption laws.</w:t>
      </w:r>
    </w:p>
    <w:p>
      <w:pPr>
        <w:spacing w:after="0" w:line="68" w:lineRule="exact"/>
        <w:rPr>
          <w:sz w:val="20"/>
          <w:szCs w:val="20"/>
          <w:color w:val="auto"/>
        </w:rPr>
      </w:pPr>
    </w:p>
    <w:p>
      <w:pPr>
        <w:ind w:right="20" w:firstLine="444"/>
        <w:spacing w:after="0" w:line="271" w:lineRule="auto"/>
        <w:tabs>
          <w:tab w:leader="none" w:pos="78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operations of the BellRing Parties and the Subsidiaries are and have been conducted at all times in compliance in all material respects with applicable financial recordkeeping and reporting requirements, including those of the Currency and Foreign Transactions Reporting Act of 1970, as amended, the Bank Secrecy Act, as amended by Title III of the Uniting and Strengthening America by Providing Appropriate Tools Required to Intercept and Obstruct Terrorism Act of 2001 (USA PATRIOT Act), and the applicable money laundering statutes of all jurisdictions where the BellRing Parties or any of the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or governmental or regulatory agency, authority or body or any arbitrator involving any of the BellRing Parties or the Subsidiaries with respect to the Anti-Money Laundering Laws is pending or, to the knowledge of the Company, threatened.</w:t>
      </w:r>
    </w:p>
    <w:p>
      <w:pPr>
        <w:spacing w:after="0" w:line="70" w:lineRule="exact"/>
        <w:rPr>
          <w:rFonts w:ascii="Arial" w:cs="Arial" w:eastAsia="Arial" w:hAnsi="Arial"/>
          <w:sz w:val="17"/>
          <w:szCs w:val="17"/>
          <w:color w:val="auto"/>
        </w:rPr>
      </w:pPr>
    </w:p>
    <w:p>
      <w:pPr>
        <w:ind w:firstLine="444"/>
        <w:spacing w:after="0" w:line="287" w:lineRule="auto"/>
        <w:tabs>
          <w:tab w:leader="none" w:pos="72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None of the BellRing Parties or the Subsidiaries or affiliates, or any director or officer thereof, nor, to the knowledge of the Company, any agent, employee or affiliate of any of the BellRing Parties or the Subsidiaries, is currently the subject or the target of any sanctions administered or enforced by the U.S. government (including the Office of Foreign Assets Control of the U.S. Treasury Department or the U.S. Department of State), the United Nations Security Council, the European Union, Her Majesty’s Treasury, or other relevant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 nor are the BellRing Parties or any of the Subsidiaries located, organized or resident in a country or territory that is the subject or the target of Sanctions (including, without limitation, Crimea, Cuba, Iran, North Korea, Syria and Venezuela); and the Company will not directly or indirectly use the proceeds of the offering, or lend, contribute or otherwise make available such proceeds to any subsidiary, joint venture partner or other person or entity (i) to fund or facilitate any activities of or business with any person, or in any country or territory, that, at the time of such funding or facilitation, is the subject of Sanctions or (ii) in any other manner that will result in a violation by any person (including any person participating in the transaction, whether as underwriter, advisor, investor or otherwise) of Sanctions. For the past five years, the BellRing Parties and the Subsidiaries have not knowingly engaged in, and are not now knowingly engaged in, any dealings or transactions with any person that at the time of the dealing or transaction is or was the subject or the target of Sanctions or with any country or territory that is the subject or target of Sanctions.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0" w:right="439" w:bottom="1440" w:gutter="0" w:footer="0" w:header="0"/>
        </w:sectPr>
      </w:pPr>
    </w:p>
    <w:bookmarkStart w:id="252" w:name="page253"/>
    <w:bookmarkEnd w:id="252"/>
    <w:p>
      <w:pPr>
        <w:ind w:left="-20" w:right="240" w:firstLine="444"/>
        <w:spacing w:after="0" w:line="264" w:lineRule="auto"/>
        <w:tabs>
          <w:tab w:leader="none" w:pos="726" w:val="left"/>
        </w:tabs>
        <w:numPr>
          <w:ilvl w:val="0"/>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forward-looking statement (within the meaning of Section 27A of the Securities Act and Section 21E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contained in the Time of Sale Prospectus and the Prospectus has been made or reaffirmed without a reasonable basis or has been disclosed other than in good faith.</w:t>
      </w:r>
    </w:p>
    <w:p>
      <w:pPr>
        <w:spacing w:after="0" w:line="73" w:lineRule="exact"/>
        <w:rPr>
          <w:rFonts w:ascii="Arial" w:cs="Arial" w:eastAsia="Arial" w:hAnsi="Arial"/>
          <w:sz w:val="18"/>
          <w:szCs w:val="18"/>
          <w:color w:val="auto"/>
        </w:rPr>
      </w:pPr>
    </w:p>
    <w:p>
      <w:pPr>
        <w:ind w:left="680" w:hanging="256"/>
        <w:spacing w:after="0"/>
        <w:tabs>
          <w:tab w:leader="none" w:pos="6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20" w:right="40" w:firstLine="444"/>
        <w:spacing w:after="0" w:line="255" w:lineRule="auto"/>
        <w:tabs>
          <w:tab w:leader="none" w:pos="76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From the time of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8"/>
          <w:szCs w:val="18"/>
          <w:b w:val="1"/>
          <w:bCs w:val="1"/>
          <w:color w:val="auto"/>
        </w:rPr>
        <w:t>Emerging Growth Company</w:t>
      </w:r>
      <w:r>
        <w:rPr>
          <w:rFonts w:ascii="Arial" w:cs="Arial" w:eastAsia="Arial" w:hAnsi="Arial"/>
          <w:sz w:val="18"/>
          <w:szCs w:val="18"/>
          <w:color w:val="auto"/>
        </w:rPr>
        <w:t>”). “</w:t>
      </w:r>
      <w:r>
        <w:rPr>
          <w:rFonts w:ascii="Arial" w:cs="Arial" w:eastAsia="Arial" w:hAnsi="Arial"/>
          <w:sz w:val="18"/>
          <w:szCs w:val="18"/>
          <w:b w:val="1"/>
          <w:bCs w:val="1"/>
          <w:color w:val="auto"/>
        </w:rPr>
        <w:t>Testing-the-Waters Communication</w:t>
      </w:r>
      <w:r>
        <w:rPr>
          <w:rFonts w:ascii="Arial" w:cs="Arial" w:eastAsia="Arial" w:hAnsi="Arial"/>
          <w:sz w:val="18"/>
          <w:szCs w:val="18"/>
          <w:color w:val="auto"/>
        </w:rPr>
        <w:t>” means any oral or written communication with potential investors undertaken in reliance on Section 5(d) of the Securities Act. “</w:t>
      </w:r>
      <w:r>
        <w:rPr>
          <w:rFonts w:ascii="Arial" w:cs="Arial" w:eastAsia="Arial" w:hAnsi="Arial"/>
          <w:sz w:val="18"/>
          <w:szCs w:val="18"/>
          <w:b w:val="1"/>
          <w:bCs w:val="1"/>
          <w:color w:val="auto"/>
        </w:rPr>
        <w:t>Written Testing-the-Waters Communication</w:t>
      </w:r>
      <w:r>
        <w:rPr>
          <w:rFonts w:ascii="Arial" w:cs="Arial" w:eastAsia="Arial" w:hAnsi="Arial"/>
          <w:sz w:val="18"/>
          <w:szCs w:val="18"/>
          <w:color w:val="auto"/>
        </w:rPr>
        <w:t>” means any Testing-the-Waters Communication that is a written communication within the meaning of Rule 405 under the Securities Act.</w:t>
      </w:r>
    </w:p>
    <w:p>
      <w:pPr>
        <w:spacing w:after="0" w:line="85" w:lineRule="exact"/>
        <w:rPr>
          <w:rFonts w:ascii="Arial" w:cs="Arial" w:eastAsia="Arial" w:hAnsi="Arial"/>
          <w:sz w:val="18"/>
          <w:szCs w:val="18"/>
          <w:color w:val="auto"/>
        </w:rPr>
      </w:pPr>
    </w:p>
    <w:p>
      <w:pPr>
        <w:ind w:left="-20" w:right="100" w:firstLine="444"/>
        <w:spacing w:after="0" w:line="273" w:lineRule="auto"/>
        <w:tabs>
          <w:tab w:leader="none" w:pos="766" w:val="left"/>
        </w:tabs>
        <w:numPr>
          <w:ilvl w:val="0"/>
          <w:numId w:val="152"/>
        </w:numPr>
        <w:rPr>
          <w:rFonts w:ascii="Arial" w:cs="Arial" w:eastAsia="Arial" w:hAnsi="Arial"/>
          <w:sz w:val="17"/>
          <w:szCs w:val="17"/>
          <w:color w:val="auto"/>
        </w:rPr>
      </w:pPr>
      <w:r>
        <w:rPr>
          <w:rFonts w:ascii="Arial" w:cs="Arial" w:eastAsia="Arial" w:hAnsi="Arial"/>
          <w:sz w:val="17"/>
          <w:szCs w:val="17"/>
          <w:color w:val="auto"/>
        </w:rPr>
        <w:t>None of the BellRing Parties or any their affiliates (i) has engaged in any Testing-the-Waters Communication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 (ii) has authorized anyone other than the Representatives to engage in Testing-the-Waters Communications. The Company reconfirms that the Representatives have been authorized to act on its behalf in undertaking Testing-the-Waters Communications. None of the BellRing Parties or any of their affiliates has distributed any Written Testing-the-Waters Communications other than those listed on Schedule III hereto.</w:t>
      </w:r>
    </w:p>
    <w:p>
      <w:pPr>
        <w:spacing w:after="0" w:line="70" w:lineRule="exact"/>
        <w:rPr>
          <w:rFonts w:ascii="Arial" w:cs="Arial" w:eastAsia="Arial" w:hAnsi="Arial"/>
          <w:sz w:val="17"/>
          <w:szCs w:val="17"/>
          <w:color w:val="auto"/>
        </w:rPr>
      </w:pPr>
    </w:p>
    <w:p>
      <w:pPr>
        <w:ind w:left="-20" w:firstLine="444"/>
        <w:spacing w:after="0" w:line="268" w:lineRule="auto"/>
        <w:tabs>
          <w:tab w:leader="none" w:pos="846"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 There has been no material security breach or incident, unauthorized access or disclosure, or other compromise of or relating to the information technology and computer systems, networks, hardware, software, data (including personal data) or databases (including the data and information of customers, employees, suppliers, vendors and any third-party data maintained, processed or stored by the BellRing Parties and the Subsidiaries, and any such data processed or stored by third parties on behalf of the BellRing Parties and the Subsidiaries), equipment or technology, in each case used or held for use in the business of the BellRing Parties or the Subsidiaries (each of the foregoing items, and all such items collectively, “IT Systems and Data”); (ii) none of the BellRing Parties or any of the Subsidiaries have been notified of, and have no knowledge of any material event or condition that would result in, any material security breach or incident, unauthorized access or disclosure or other compromise to their IT Systems and Data; (iii) the IT Systems and Data used by the BellRing Parties and the Subsidiaries are sufficient for, and operate and perform in all material respects as required by, the operation of the businesses of the BellRing Parties and the Subsidiaries as now conducted and as proposed in the Registration Statement and the Prospectus to be conducted; and (iv) the BellRing Parties and the Subsidiaries have implemented appropriate controls, policies, procedures, and technological safeguards to maintain and protect the integrity, continuous operation, redundancy and security of their IT Systems and Data reasonably consistent with industry standards and practices. Except as would not, singly or in the aggregate, reasonably be expected to have a Material Adverse Effect,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60" w:top="274" w:right="459" w:bottom="1440" w:gutter="0" w:footer="0" w:header="0"/>
        </w:sectPr>
      </w:pPr>
    </w:p>
    <w:bookmarkStart w:id="253" w:name="page254"/>
    <w:bookmarkEnd w:id="25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BellRing Parties and the Subsidiaries have operated and currently operate their businesses in compliance, and maintain appropriate information security policies and procedures designed to ensure such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(collectively, “Privacy and Security Obligations”). The BellRing Parties and the Subsidiaries use commercially reasonable efforts to ensure that all third parties permitted to access any IT Systems and Data on their behalf, or to whom they have provided confidential data or any data that constitutes IT Systems and Data, maintain the confidentiality, privacy and security of such IT Systems and Data and comply with applicable Privacy and Security Obligations.</w:t>
      </w:r>
    </w:p>
    <w:p>
      <w:pPr>
        <w:spacing w:after="0" w:line="59" w:lineRule="exact"/>
        <w:rPr>
          <w:sz w:val="20"/>
          <w:szCs w:val="20"/>
          <w:color w:val="auto"/>
        </w:rPr>
      </w:pPr>
    </w:p>
    <w:p>
      <w:pPr>
        <w:ind w:right="40" w:firstLine="444"/>
        <w:spacing w:after="0" w:line="276" w:lineRule="auto"/>
        <w:tabs>
          <w:tab w:leader="none" w:pos="786" w:val="left"/>
        </w:tabs>
        <w:numPr>
          <w:ilvl w:val="0"/>
          <w:numId w:val="153"/>
        </w:numPr>
        <w:rPr>
          <w:rFonts w:ascii="Arial" w:cs="Arial" w:eastAsia="Arial" w:hAnsi="Arial"/>
          <w:sz w:val="17"/>
          <w:szCs w:val="17"/>
          <w:color w:val="auto"/>
        </w:rPr>
      </w:pPr>
      <w:r>
        <w:rPr>
          <w:rFonts w:ascii="Arial" w:cs="Arial" w:eastAsia="Arial" w:hAnsi="Arial"/>
          <w:sz w:val="17"/>
          <w:szCs w:val="17"/>
          <w:color w:val="auto"/>
        </w:rPr>
        <w:t>Each of the Transaction Documents to which each of the BellRing Parties is a party has been, or prior to the consummation of the issuance of sale of Stock contemplated by this Agreement, will be, duly authorized by, as applicable, each of the BellRing Parties and/or the Subsidiaries and, when duly executed and delivered in accordance with its terms by each of the parties thereto, will constitute a valid and legally binding agreement of each such party, as applicable, enforceable against it in accordance with its terms, except as enforceability may be limited by applicable bankruptcy, insolvency or similar laws affecting creditors’ rights generally or by equitable principles relating to enforceability.</w:t>
      </w:r>
    </w:p>
    <w:p>
      <w:pPr>
        <w:spacing w:after="0" w:line="173" w:lineRule="exact"/>
        <w:rPr>
          <w:sz w:val="20"/>
          <w:szCs w:val="20"/>
          <w:color w:val="auto"/>
        </w:rPr>
      </w:pPr>
    </w:p>
    <w:p>
      <w:pPr>
        <w:jc w:val="both"/>
        <w:ind w:right="180" w:firstLine="992"/>
        <w:spacing w:after="0" w:line="264" w:lineRule="auto"/>
        <w:rPr>
          <w:sz w:val="20"/>
          <w:szCs w:val="20"/>
          <w:color w:val="auto"/>
        </w:rPr>
      </w:pPr>
      <w:r>
        <w:rPr>
          <w:rFonts w:ascii="Arial" w:cs="Arial" w:eastAsia="Arial" w:hAnsi="Arial"/>
          <w:sz w:val="18"/>
          <w:szCs w:val="18"/>
          <w:color w:val="auto"/>
        </w:rPr>
        <w:t>Any certificate signed by any officer of the Company and delivered to the Representatives or counsel for the Underwriters in connection with the offering of the Stock shall be deemed a representation and warranty made in the name and on behalf of the Company and not in such officer’s individual capacity, jointly and severally, as to matters covered thereby, to each Underwriter.</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2. </w:t>
      </w:r>
      <w:r>
        <w:rPr>
          <w:rFonts w:ascii="Arial" w:cs="Arial" w:eastAsia="Arial" w:hAnsi="Arial"/>
          <w:sz w:val="16"/>
          <w:szCs w:val="16"/>
          <w:i w:val="1"/>
          <w:iCs w:val="1"/>
          <w:color w:val="auto"/>
        </w:rPr>
        <w:t>Purchase of the Stock by the Underwriters.</w:t>
      </w:r>
      <w:r>
        <w:rPr>
          <w:rFonts w:ascii="Arial" w:cs="Arial" w:eastAsia="Arial" w:hAnsi="Arial"/>
          <w:sz w:val="16"/>
          <w:szCs w:val="16"/>
          <w:color w:val="auto"/>
        </w:rPr>
        <w:t xml:space="preserve"> On the basis of the representations, warranties and covenants contained in, and subject to the</w:t>
      </w:r>
    </w:p>
    <w:p>
      <w:pPr>
        <w:spacing w:after="0" w:line="4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terms and conditions of, this Agreement, the Company agrees to sell shares of the Firm Stock to the several Underwriters, and each of the Underwriters, severally and not jointly, agrees to purchase the number of shares of the Firm Stock set forth opposite that Underwriter’s name in Schedule I hereto. The respective purchase obligations of the Underwriters with respect to the Firm Stock shall be rounded among the Underwriters to avoid fractional shares, as the Representatives may determine.</w:t>
      </w:r>
    </w:p>
    <w:p>
      <w:pPr>
        <w:spacing w:after="0" w:line="190" w:lineRule="exact"/>
        <w:rPr>
          <w:sz w:val="20"/>
          <w:szCs w:val="20"/>
          <w:color w:val="auto"/>
        </w:rPr>
      </w:pPr>
    </w:p>
    <w:p>
      <w:pPr>
        <w:ind w:right="20" w:firstLine="992"/>
        <w:spacing w:after="0" w:line="257" w:lineRule="auto"/>
        <w:rPr>
          <w:sz w:val="20"/>
          <w:szCs w:val="20"/>
          <w:color w:val="auto"/>
        </w:rPr>
      </w:pPr>
      <w:r>
        <w:rPr>
          <w:rFonts w:ascii="Arial" w:cs="Arial" w:eastAsia="Arial" w:hAnsi="Arial"/>
          <w:sz w:val="18"/>
          <w:szCs w:val="18"/>
          <w:color w:val="auto"/>
        </w:rPr>
        <w:t>In addition, the Company grants to the Underwriters an option to purchase up to additional shares of Option Stock. In the event that the Underwriters exercise such option, each Underwriter agrees, severally and not jointly, to purchase the number of shares of Option Stock (subject to such adjustments to eliminate fractional shares as the Representatives may determine) that bears the same proportion to the total number of shares of Option Stock to be sold on such Delivery Date as the number of shares of Firm Stock set forth in Schedule I hereto opposite the name of such Underwriter bears to the total number of shares of Firm Stock.</w:t>
      </w:r>
    </w:p>
    <w:p>
      <w:pPr>
        <w:sectPr>
          <w:pgSz w:w="11900" w:h="16838" w:orient="portrait"/>
          <w:cols w:equalWidth="0" w:num="1">
            <w:col w:w="11020"/>
          </w:cols>
          <w:pgMar w:left="440" w:top="274" w:right="439" w:bottom="1440" w:gutter="0" w:footer="0" w:header="0"/>
        </w:sectPr>
      </w:pP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purchase price payable by the Underwriters for both the Firm Stock and any Option Stock is $</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per share.</w:t>
      </w:r>
    </w:p>
    <w:p>
      <w:pPr>
        <w:spacing w:after="0" w:line="192" w:lineRule="exact"/>
        <w:rPr>
          <w:sz w:val="20"/>
          <w:szCs w:val="20"/>
          <w:color w:val="auto"/>
        </w:rPr>
      </w:pPr>
    </w:p>
    <w:p>
      <w:pPr>
        <w:sectPr>
          <w:pgSz w:w="11900" w:h="16838" w:orient="portrait"/>
          <w:cols w:equalWidth="0" w:num="2">
            <w:col w:w="8140" w:space="720"/>
            <w:col w:w="2160"/>
          </w:cols>
          <w:pgMar w:left="440" w:top="274" w:right="4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020"/>
          </w:cols>
          <w:pgMar w:left="440" w:top="274" w:right="439" w:bottom="1440" w:gutter="0" w:footer="0" w:header="0"/>
          <w:type w:val="continuous"/>
        </w:sectPr>
      </w:pPr>
    </w:p>
    <w:bookmarkStart w:id="254" w:name="page255"/>
    <w:bookmarkEnd w:id="254"/>
    <w:p>
      <w:pPr>
        <w:ind w:right="280" w:firstLine="99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is not obligated to deliver any of the Firm Stock or Option Stock to be delivered on the applicable Delivery Date, except upon payment for all such Stock to be purchased on such Delivery Date as provided herein.</w:t>
      </w:r>
    </w:p>
    <w:p>
      <w:pPr>
        <w:spacing w:after="0" w:line="170" w:lineRule="exact"/>
        <w:rPr>
          <w:sz w:val="20"/>
          <w:szCs w:val="20"/>
          <w:color w:val="auto"/>
        </w:rPr>
      </w:pPr>
    </w:p>
    <w:p>
      <w:pPr>
        <w:ind w:right="760" w:firstLine="996"/>
        <w:spacing w:after="0" w:line="277" w:lineRule="auto"/>
        <w:tabs>
          <w:tab w:leader="none" w:pos="1172"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Offering of Stock by the Underwriters</w:t>
      </w:r>
      <w:r>
        <w:rPr>
          <w:rFonts w:ascii="Arial" w:cs="Arial" w:eastAsia="Arial" w:hAnsi="Arial"/>
          <w:sz w:val="18"/>
          <w:szCs w:val="18"/>
          <w:color w:val="auto"/>
        </w:rPr>
        <w:t>. Upon authorization by the Representatives of the release of the Firm Stock, the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propose to offer the Firm Stock for sale upon the terms and conditions to be set forth in the Prospectus.</w:t>
      </w:r>
    </w:p>
    <w:p>
      <w:pPr>
        <w:spacing w:after="0" w:line="170" w:lineRule="exact"/>
        <w:rPr>
          <w:rFonts w:ascii="Arial" w:cs="Arial" w:eastAsia="Arial" w:hAnsi="Arial"/>
          <w:sz w:val="18"/>
          <w:szCs w:val="18"/>
          <w:color w:val="auto"/>
        </w:rPr>
      </w:pPr>
    </w:p>
    <w:p>
      <w:pPr>
        <w:ind w:left="1180" w:hanging="184"/>
        <w:spacing w:after="0"/>
        <w:tabs>
          <w:tab w:leader="none" w:pos="1180" w:val="left"/>
        </w:tabs>
        <w:numPr>
          <w:ilvl w:val="0"/>
          <w:numId w:val="154"/>
        </w:numPr>
        <w:rPr>
          <w:rFonts w:ascii="Arial" w:cs="Arial" w:eastAsia="Arial" w:hAnsi="Arial"/>
          <w:sz w:val="16"/>
          <w:szCs w:val="16"/>
          <w:color w:val="auto"/>
        </w:rPr>
      </w:pPr>
      <w:r>
        <w:rPr>
          <w:rFonts w:ascii="Arial" w:cs="Arial" w:eastAsia="Arial" w:hAnsi="Arial"/>
          <w:sz w:val="16"/>
          <w:szCs w:val="16"/>
          <w:i w:val="1"/>
          <w:iCs w:val="1"/>
          <w:color w:val="auto"/>
        </w:rPr>
        <w:t xml:space="preserve">Delivery of and Payment for the Stock. </w:t>
      </w:r>
      <w:r>
        <w:rPr>
          <w:rFonts w:ascii="Arial" w:cs="Arial" w:eastAsia="Arial" w:hAnsi="Arial"/>
          <w:sz w:val="16"/>
          <w:szCs w:val="16"/>
          <w:color w:val="auto"/>
        </w:rPr>
        <w:t>Delivery of and payment for the Firm Stock shall be made at 10:00 A.M., New York City time,</w:t>
      </w:r>
    </w:p>
    <w:p>
      <w:pPr>
        <w:spacing w:after="0" w:line="4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 2019 at the offices of Latham &amp; Watkins LLP. This date and time are sometimes referred to as the “</w:t>
      </w:r>
      <w:r>
        <w:rPr>
          <w:rFonts w:ascii="Arial" w:cs="Arial" w:eastAsia="Arial" w:hAnsi="Arial"/>
          <w:sz w:val="16"/>
          <w:szCs w:val="16"/>
          <w:b w:val="1"/>
          <w:bCs w:val="1"/>
          <w:i w:val="1"/>
          <w:iCs w:val="1"/>
          <w:color w:val="auto"/>
        </w:rPr>
        <w:t>Initial Delivery Date</w:t>
      </w:r>
      <w:r>
        <w:rPr>
          <w:rFonts w:ascii="Arial" w:cs="Arial" w:eastAsia="Arial" w:hAnsi="Arial"/>
          <w:sz w:val="16"/>
          <w:szCs w:val="16"/>
          <w:color w:val="auto"/>
        </w:rPr>
        <w:t>.” Delivery of the Firm Stock shall be made to the Representatives for the account of each Underwriter against payment by the several Underwriters through the Representatives and of the respective aggregate purchase prices of the Firm Stock being sold by the Company to or upon the order of the Company of the purchase price by wire transfer in Federal or other immediately available funds to the accounts specified by the Company. Time shall be of the essence, and delivery at the time and place specified pursuant to this Agreement is a further condition of the obligation of each Underwriter hereunder. The Company shall deliver the Firm Stock through the facilities of DTC unless the Representatives shall otherwise instruct.</w:t>
      </w:r>
    </w:p>
    <w:p>
      <w:pPr>
        <w:spacing w:after="0" w:line="164" w:lineRule="exact"/>
        <w:rPr>
          <w:sz w:val="20"/>
          <w:szCs w:val="20"/>
          <w:color w:val="auto"/>
        </w:rPr>
      </w:pPr>
    </w:p>
    <w:p>
      <w:pPr>
        <w:ind w:firstLine="992"/>
        <w:spacing w:after="0" w:line="270" w:lineRule="auto"/>
        <w:rPr>
          <w:sz w:val="20"/>
          <w:szCs w:val="20"/>
          <w:color w:val="auto"/>
        </w:rPr>
      </w:pPr>
      <w:r>
        <w:rPr>
          <w:rFonts w:ascii="Arial" w:cs="Arial" w:eastAsia="Arial" w:hAnsi="Arial"/>
          <w:sz w:val="17"/>
          <w:szCs w:val="17"/>
          <w:color w:val="auto"/>
        </w:rPr>
        <w:t xml:space="preserve">The option granted in Section 2 will expire 30 days after the date of this Agreement and may be exercised in whole or from time to time in part by written notice being given to the Company by the Representatives;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date falls on a day that is not a business day, the option granted in Section 2 will expire on the next succeeding business day. Such notice shall set forth the aggregate number of shares of Option Stock as to which the option is being exercised, the names in which the shares of Option Stock are to be registered, the denominations in which the shares of Option Stock are to be issued and the date and time, as determined by the Representatives, when the shares of Option Stock are to be delivered;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date and time shall not be earlier than the Initial Delivery Date nor earlier than the second business day after the date on which the</w:t>
      </w:r>
      <w:r>
        <w:rPr>
          <w:rFonts w:ascii="Arial" w:cs="Arial" w:eastAsia="Arial" w:hAnsi="Arial"/>
          <w:sz w:val="17"/>
          <w:szCs w:val="17"/>
          <w:i w:val="1"/>
          <w:iCs w:val="1"/>
          <w:color w:val="auto"/>
        </w:rPr>
        <w:t xml:space="preserve"> </w:t>
      </w:r>
      <w:r>
        <w:rPr>
          <w:rFonts w:ascii="Arial" w:cs="Arial" w:eastAsia="Arial" w:hAnsi="Arial"/>
          <w:sz w:val="17"/>
          <w:szCs w:val="17"/>
          <w:color w:val="auto"/>
        </w:rPr>
        <w:t>option shall have been exercised nor later than the fifth business day after the date on which the option shall have been exercised. Each date and time the shares of Option Stock are delivered is sometimes referred to as an “</w:t>
      </w:r>
      <w:r>
        <w:rPr>
          <w:rFonts w:ascii="Arial" w:cs="Arial" w:eastAsia="Arial" w:hAnsi="Arial"/>
          <w:sz w:val="17"/>
          <w:szCs w:val="17"/>
          <w:b w:val="1"/>
          <w:bCs w:val="1"/>
          <w:i w:val="1"/>
          <w:iCs w:val="1"/>
          <w:color w:val="auto"/>
        </w:rPr>
        <w:t>Option Stock Delivery Date</w:t>
      </w:r>
      <w:r>
        <w:rPr>
          <w:rFonts w:ascii="Arial" w:cs="Arial" w:eastAsia="Arial" w:hAnsi="Arial"/>
          <w:sz w:val="17"/>
          <w:szCs w:val="17"/>
          <w:color w:val="auto"/>
        </w:rPr>
        <w:t>,” and the Initial Delivery Date and any Option Stock Delivery Date are sometimes each referred to as a “</w:t>
      </w:r>
      <w:r>
        <w:rPr>
          <w:rFonts w:ascii="Arial" w:cs="Arial" w:eastAsia="Arial" w:hAnsi="Arial"/>
          <w:sz w:val="17"/>
          <w:szCs w:val="17"/>
          <w:b w:val="1"/>
          <w:bCs w:val="1"/>
          <w:i w:val="1"/>
          <w:iCs w:val="1"/>
          <w:color w:val="auto"/>
        </w:rPr>
        <w:t>Delivery Date</w:t>
      </w:r>
      <w:r>
        <w:rPr>
          <w:rFonts w:ascii="Arial" w:cs="Arial" w:eastAsia="Arial" w:hAnsi="Arial"/>
          <w:sz w:val="17"/>
          <w:szCs w:val="17"/>
          <w:color w:val="auto"/>
        </w:rPr>
        <w:t>.”</w:t>
      </w:r>
    </w:p>
    <w:p>
      <w:pPr>
        <w:spacing w:after="0" w:line="182" w:lineRule="exact"/>
        <w:rPr>
          <w:sz w:val="20"/>
          <w:szCs w:val="20"/>
          <w:color w:val="auto"/>
        </w:rPr>
      </w:pPr>
    </w:p>
    <w:p>
      <w:pPr>
        <w:ind w:right="100" w:firstLine="992"/>
        <w:spacing w:after="0" w:line="290" w:lineRule="auto"/>
        <w:rPr>
          <w:sz w:val="20"/>
          <w:szCs w:val="20"/>
          <w:color w:val="auto"/>
        </w:rPr>
      </w:pPr>
      <w:r>
        <w:rPr>
          <w:rFonts w:ascii="Arial" w:cs="Arial" w:eastAsia="Arial" w:hAnsi="Arial"/>
          <w:sz w:val="16"/>
          <w:szCs w:val="16"/>
          <w:color w:val="auto"/>
        </w:rPr>
        <w:t>Delivery of the Option Stock by the Company and payment for the Option Stock by the several Underwriters through the Representatives shall be made at 10:00 A.M., New York City time, on the date specified in the corresponding notice described in the preceding paragraph or at such other date or place as shall be determined by agreement between the Representatives and the Company. On each Option Stock Delivery Date, the Company shall deliver or cause to be delivered the Option Stock to the Representatives for the account of each Underwriter against payment by the several Underwriters through the Representatives and of the respective aggregate purchase prices of the Option Stock being sold by the Company to or upon the order of the Company of the purchase price by wire transfer in immediately available funds to the accounts specified by the Company. Time shall be of the essence, and delivery at the time and place specified pursuant to this Agreement is a further condition of the obligation of each Underwriter hereunder. The Company shall deliver the Option Stock through the facilities of DTC unless the Representatives shall otherwise instruct.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55" w:name="page256"/>
    <w:bookmarkEnd w:id="255"/>
    <w:p>
      <w:pPr>
        <w:ind w:right="40" w:firstLine="99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hereby confirms their engagement of Barclays Capital Inc. as, and Barclays Capital Inc. hereby confirms its agreement with the Company to render services as, a “qualified independent underwriter” within the meaning of FINRA Rule 5121 (“Rule 5121”) with respect to the offering and sale of the Securities. Barclays Capital Inc., solely in its capacity as qualified independent underwriter and not otherwise, is referred to herein as the “QIU.”</w:t>
      </w:r>
    </w:p>
    <w:p>
      <w:pPr>
        <w:spacing w:after="0" w:line="79" w:lineRule="exact"/>
        <w:rPr>
          <w:sz w:val="20"/>
          <w:szCs w:val="20"/>
          <w:color w:val="auto"/>
        </w:rPr>
      </w:pPr>
    </w:p>
    <w:p>
      <w:pPr>
        <w:ind w:left="1180" w:hanging="184"/>
        <w:spacing w:after="0"/>
        <w:tabs>
          <w:tab w:leader="none" w:pos="1180" w:val="left"/>
        </w:tabs>
        <w:numPr>
          <w:ilvl w:val="2"/>
          <w:numId w:val="155"/>
        </w:numPr>
        <w:rPr>
          <w:rFonts w:ascii="Arial" w:cs="Arial" w:eastAsia="Arial" w:hAnsi="Arial"/>
          <w:sz w:val="18"/>
          <w:szCs w:val="18"/>
          <w:color w:val="auto"/>
        </w:rPr>
      </w:pPr>
      <w:r>
        <w:rPr>
          <w:rFonts w:ascii="Arial" w:cs="Arial" w:eastAsia="Arial" w:hAnsi="Arial"/>
          <w:sz w:val="18"/>
          <w:szCs w:val="18"/>
          <w:i w:val="1"/>
          <w:iCs w:val="1"/>
          <w:color w:val="auto"/>
        </w:rPr>
        <w:t>Further Agreements of the BellRing Parties and the Underwriters</w:t>
      </w:r>
      <w:r>
        <w:rPr>
          <w:rFonts w:ascii="Arial" w:cs="Arial" w:eastAsia="Arial" w:hAnsi="Arial"/>
          <w:sz w:val="18"/>
          <w:szCs w:val="18"/>
          <w:color w:val="auto"/>
        </w:rPr>
        <w:t>. (a) Each of the BellRing Parties agrees:</w:t>
      </w:r>
    </w:p>
    <w:p>
      <w:pPr>
        <w:spacing w:after="0" w:line="117" w:lineRule="exact"/>
        <w:rPr>
          <w:rFonts w:ascii="Arial" w:cs="Arial" w:eastAsia="Arial" w:hAnsi="Arial"/>
          <w:sz w:val="18"/>
          <w:szCs w:val="18"/>
          <w:color w:val="auto"/>
        </w:rPr>
      </w:pPr>
    </w:p>
    <w:p>
      <w:pPr>
        <w:ind w:left="440" w:firstLine="428"/>
        <w:spacing w:after="0" w:line="269" w:lineRule="auto"/>
        <w:tabs>
          <w:tab w:leader="none" w:pos="1078" w:val="left"/>
        </w:tabs>
        <w:numPr>
          <w:ilvl w:val="1"/>
          <w:numId w:val="156"/>
        </w:numPr>
        <w:rPr>
          <w:rFonts w:ascii="Arial" w:cs="Arial" w:eastAsia="Arial" w:hAnsi="Arial"/>
          <w:sz w:val="17"/>
          <w:szCs w:val="17"/>
          <w:color w:val="auto"/>
        </w:rPr>
      </w:pPr>
      <w:r>
        <w:rPr>
          <w:rFonts w:ascii="Arial" w:cs="Arial" w:eastAsia="Arial" w:hAnsi="Arial"/>
          <w:sz w:val="17"/>
          <w:szCs w:val="17"/>
          <w:color w:val="auto"/>
        </w:rPr>
        <w:t>To prepare the Prospectus in a form approved by the Representatives and to file such Prospectus pursuant to Rule 424(b) under the Securities Act not later than the Commission’s close of business on the second business day following the execution and delivery of this Agreement; to make no further amendment or any supplement to the Registration Statement or the Prospectus prior to the last Delivery Date except as provided herein; to advise the Representatives, promptly after it receives notice thereof, of the time when any amendment or supplement to the Registration Statement or the Prospectus has been filed and to furnish the Representatives with copies thereof; to advise the Representatives, promptly after it receives notice thereof, of the issuance by the Commission of any stop order or of any order preventing or suspending the use of the Prospectus or any free writing prospectus, of the suspension of the qualification of the Stock for offering or sale in any jurisdiction, of the initiation or threatening of any proceeding or examination for any such purpose or of any request by the Commission for the amending or supplementing of the Registration Statement, the Prospectus or any free writing prospectus or for additional information; and, in the event of the issuance of any stop order or of any order preventing or suspending the use of the Prospectus or any free writing prospectus or suspending any such qualification, to use promptly its best efforts to obtain its withdrawal.</w:t>
      </w:r>
    </w:p>
    <w:p>
      <w:pPr>
        <w:spacing w:after="0" w:line="74" w:lineRule="exact"/>
        <w:rPr>
          <w:rFonts w:ascii="Arial" w:cs="Arial" w:eastAsia="Arial" w:hAnsi="Arial"/>
          <w:sz w:val="17"/>
          <w:szCs w:val="17"/>
          <w:color w:val="auto"/>
        </w:rPr>
      </w:pPr>
    </w:p>
    <w:p>
      <w:pPr>
        <w:jc w:val="both"/>
        <w:ind w:left="440" w:right="60" w:firstLine="428"/>
        <w:spacing w:after="0" w:line="264" w:lineRule="auto"/>
        <w:tabs>
          <w:tab w:leader="none" w:pos="112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Upon the written request of the Representatives, to furnish promptly to the Representatives and to counsel for the Underwriters a signed copy of the Registration Statement as originally filed with the Commission, and each amendment thereto filed with the Commission, including all consents and exhibits filed therewith.</w:t>
      </w:r>
    </w:p>
    <w:p>
      <w:pPr>
        <w:spacing w:after="0" w:line="73" w:lineRule="exact"/>
        <w:rPr>
          <w:rFonts w:ascii="Arial" w:cs="Arial" w:eastAsia="Arial" w:hAnsi="Arial"/>
          <w:sz w:val="18"/>
          <w:szCs w:val="18"/>
          <w:color w:val="auto"/>
        </w:rPr>
      </w:pPr>
    </w:p>
    <w:p>
      <w:pPr>
        <w:ind w:left="1180" w:hanging="312"/>
        <w:spacing w:after="0"/>
        <w:tabs>
          <w:tab w:leader="none" w:pos="118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To deliver promptly to the Representatives such number of the following documents as the Representatives shall reasonably request:</w:t>
      </w:r>
    </w:p>
    <w:p>
      <w:pPr>
        <w:spacing w:after="0" w:line="46" w:lineRule="exact"/>
        <w:rPr>
          <w:rFonts w:ascii="Arial" w:cs="Arial" w:eastAsia="Arial" w:hAnsi="Arial"/>
          <w:sz w:val="16"/>
          <w:szCs w:val="16"/>
          <w:color w:val="auto"/>
        </w:rPr>
      </w:pPr>
    </w:p>
    <w:p>
      <w:pPr>
        <w:jc w:val="both"/>
        <w:ind w:left="440" w:right="100" w:firstLine="4"/>
        <w:spacing w:after="0" w:line="292" w:lineRule="auto"/>
        <w:tabs>
          <w:tab w:leader="none" w:pos="73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conformed copies of the Registration Statement as originally filed with the Commission and each amendment thereto (in each case excluding exhibits other than this Agreement and the computation of per share earnings), (B) the Time of Sale Prospectus, the Prospectus and any amended or supplemented Prospectus, (C) each free writing prospectus, and (D) any document incorporated by reference in the Time of Sale Prospectus or the Prospectus; and, if the delivery of a prospectus is required at any time after the date hereof in connection with the offering or sale of the Stock or any other securities relating thereto and if at such time any events shall have occurred as a result of which the Prospectus as then amended or</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256" w:name="page257"/>
    <w:bookmarkEnd w:id="256"/>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to amend or supplement the Prospectus in order to comply with the Securities Act, to notify the Representatives and, upon its request, to file such document and to prepare and furnish without charge to each Underwriter and to any dealer in securities as many copies as the Representatives may from time to time reasonably request of an amended or supplemented Prospectus that will correct such statement or omission or effect such compliance.</w:t>
      </w:r>
    </w:p>
    <w:p>
      <w:pPr>
        <w:spacing w:after="0" w:line="85" w:lineRule="exact"/>
        <w:rPr>
          <w:sz w:val="20"/>
          <w:szCs w:val="20"/>
          <w:color w:val="auto"/>
        </w:rPr>
      </w:pPr>
    </w:p>
    <w:p>
      <w:pPr>
        <w:ind w:right="240" w:firstLine="428"/>
        <w:spacing w:after="0" w:line="308" w:lineRule="auto"/>
        <w:tabs>
          <w:tab w:leader="none" w:pos="72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To file promptly with the Commission any amendment or supplement to the Registration Statement or the Prospectus that may, in the judgment of the BellRing Parties or the Representatives, be required by the Securities Act or requested by the Commission.</w:t>
      </w:r>
    </w:p>
    <w:p>
      <w:pPr>
        <w:spacing w:after="0" w:line="38" w:lineRule="exact"/>
        <w:rPr>
          <w:rFonts w:ascii="Arial" w:cs="Arial" w:eastAsia="Arial" w:hAnsi="Arial"/>
          <w:sz w:val="17"/>
          <w:szCs w:val="17"/>
          <w:color w:val="auto"/>
        </w:rPr>
      </w:pPr>
    </w:p>
    <w:p>
      <w:pPr>
        <w:ind w:right="340" w:firstLine="428"/>
        <w:spacing w:after="0" w:line="312" w:lineRule="auto"/>
        <w:tabs>
          <w:tab w:leader="none" w:pos="67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Prior to filing with the Commission any amendment or supplement to the Registration Statement, the Prospectus, any document incorporated by reference in the Prospectus or any amendment to any document incorporated by reference in the Prospectus, to furnish a copy thereof to the Representatives and counsel for the Underwriters and obtain the consent of the Representatives to the filing.</w:t>
      </w:r>
    </w:p>
    <w:p>
      <w:pPr>
        <w:spacing w:after="0" w:line="38" w:lineRule="exact"/>
        <w:rPr>
          <w:rFonts w:ascii="Arial" w:cs="Arial" w:eastAsia="Arial" w:hAnsi="Arial"/>
          <w:sz w:val="16"/>
          <w:szCs w:val="16"/>
          <w:color w:val="auto"/>
        </w:rPr>
      </w:pPr>
    </w:p>
    <w:p>
      <w:pPr>
        <w:jc w:val="both"/>
        <w:ind w:right="520" w:firstLine="428"/>
        <w:spacing w:after="0" w:line="312" w:lineRule="auto"/>
        <w:tabs>
          <w:tab w:leader="none" w:pos="72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Not to take any action that would result in an Underwriter, the Company or BellRing Brands, LLC being required to file with the Commission pursuant to Rule 433(d) under the Securities Act a free writing prospectus prepared by or on behalf of the Underwriter that the Underwriter otherwise would not have been required to file thereunder, without the prior written consent of the Representatives.</w:t>
      </w:r>
    </w:p>
    <w:p>
      <w:pPr>
        <w:spacing w:after="0" w:line="38" w:lineRule="exact"/>
        <w:rPr>
          <w:rFonts w:ascii="Arial" w:cs="Arial" w:eastAsia="Arial" w:hAnsi="Arial"/>
          <w:sz w:val="16"/>
          <w:szCs w:val="16"/>
          <w:color w:val="auto"/>
        </w:rPr>
      </w:pPr>
    </w:p>
    <w:p>
      <w:pPr>
        <w:ind w:firstLine="428"/>
        <w:spacing w:after="0" w:line="271" w:lineRule="auto"/>
        <w:tabs>
          <w:tab w:leader="none" w:pos="77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To comply with all applicable requirements of Rule 433 under the Securities Act with respect to any free writing prospectus. If at any time after the date hereof any events shall have occurred as a result of which any free writing prospectus, as then amended or supplemented, would conflict with the information in the Registration Statement, the Time of Sale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free writing prospectus, to notify the Representatives and, upon their request, to file such document and to prepare and furnish without charge to each Underwriter as many copies as the Representatives may from time to time reasonably request of an amended or supplemented free writing prospectus that will correct such conflict, statement or omission or effect such compliance.</w:t>
      </w:r>
    </w:p>
    <w:p>
      <w:pPr>
        <w:spacing w:after="0" w:line="70" w:lineRule="exact"/>
        <w:rPr>
          <w:rFonts w:ascii="Arial" w:cs="Arial" w:eastAsia="Arial" w:hAnsi="Arial"/>
          <w:sz w:val="17"/>
          <w:szCs w:val="17"/>
          <w:color w:val="auto"/>
        </w:rPr>
      </w:pPr>
    </w:p>
    <w:p>
      <w:pPr>
        <w:ind w:right="60" w:firstLine="428"/>
        <w:spacing w:after="0" w:line="276" w:lineRule="auto"/>
        <w:tabs>
          <w:tab w:leader="none" w:pos="82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As soon as practicable after the Effective Date (it being understood that the Company shall have until at least 405 days or, if the fourth quarter following the fiscal quarter that includes the Effective Date is the last fiscal quarter of the Company’s fiscal year, 440 days after the end of the Company’s current fiscal quarter), to make generally available to the Company’s security holders and to deliver to the Representatives an earnings statement of the Company and its subsidiaries (which need not be audited) complying with Section 11(a) of the Securities Act and the rules and regulations thereunder (including, at the option of the Company, Rule 158).</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80"/>
          </w:cols>
          <w:pgMar w:left="880" w:top="274" w:right="439" w:bottom="1440" w:gutter="0" w:footer="0" w:header="0"/>
        </w:sectPr>
      </w:pPr>
    </w:p>
    <w:bookmarkStart w:id="257" w:name="page258"/>
    <w:bookmarkEnd w:id="257"/>
    <w:p>
      <w:pPr>
        <w:ind w:right="80" w:firstLine="428"/>
        <w:spacing w:after="0" w:line="255" w:lineRule="auto"/>
        <w:tabs>
          <w:tab w:leader="none" w:pos="728" w:val="left"/>
        </w:tabs>
        <w:numPr>
          <w:ilvl w:val="1"/>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Promptly from time to time to take such action as the Representatives may reasonably request to qualify the Stock for offering and sale under the securities or Blue Sky laws of such jurisdictions as the parties may agree and to comply with such laws so as to permit the continuance of sales and dealings therein in such jurisdictions for as long as may be necessary to complete the distribution of the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connection therewith neither of the BellRing Parties shall be required to (i) qualify as a foreign corporation in any jurisdiction in which it would not otherwise be required to so qualify, (ii) file a general consent to service of process in any such jurisdiction, or (iii) subject itself to taxation in any jurisdiction in which it would not otherwise be subject.</w:t>
      </w:r>
    </w:p>
    <w:p>
      <w:pPr>
        <w:spacing w:after="0" w:line="85" w:lineRule="exact"/>
        <w:rPr>
          <w:rFonts w:ascii="Arial" w:cs="Arial" w:eastAsia="Arial" w:hAnsi="Arial"/>
          <w:sz w:val="18"/>
          <w:szCs w:val="18"/>
          <w:color w:val="auto"/>
        </w:rPr>
      </w:pPr>
    </w:p>
    <w:p>
      <w:pPr>
        <w:ind w:firstLine="428"/>
        <w:spacing w:after="0" w:line="274" w:lineRule="auto"/>
        <w:tabs>
          <w:tab w:leader="none" w:pos="678" w:val="left"/>
        </w:tabs>
        <w:numPr>
          <w:ilvl w:val="1"/>
          <w:numId w:val="159"/>
        </w:numPr>
        <w:rPr>
          <w:rFonts w:ascii="Arial" w:cs="Arial" w:eastAsia="Arial" w:hAnsi="Arial"/>
          <w:sz w:val="17"/>
          <w:szCs w:val="17"/>
          <w:color w:val="auto"/>
        </w:rPr>
      </w:pPr>
      <w:r>
        <w:rPr>
          <w:rFonts w:ascii="Arial" w:cs="Arial" w:eastAsia="Arial" w:hAnsi="Arial"/>
          <w:sz w:val="17"/>
          <w:szCs w:val="17"/>
          <w:color w:val="auto"/>
        </w:rPr>
        <w:t>Each of the BellRing Parties will promptly notify the Representatives if the Company ceases to be an Emerging Growth Company at any time prior to the later of (a) completion of the distribution of the shares of Common Stock within the meaning of the Securities Act and</w:t>
      </w:r>
    </w:p>
    <w:p>
      <w:pPr>
        <w:ind w:left="260" w:hanging="256"/>
        <w:spacing w:after="0"/>
        <w:tabs>
          <w:tab w:leader="none" w:pos="2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completion of the Restricted Period (as defined in this Section 5).</w:t>
      </w:r>
    </w:p>
    <w:p>
      <w:pPr>
        <w:spacing w:after="0" w:line="102" w:lineRule="exact"/>
        <w:rPr>
          <w:rFonts w:ascii="Arial" w:cs="Arial" w:eastAsia="Arial" w:hAnsi="Arial"/>
          <w:sz w:val="18"/>
          <w:szCs w:val="18"/>
          <w:color w:val="auto"/>
        </w:rPr>
      </w:pPr>
    </w:p>
    <w:p>
      <w:pPr>
        <w:ind w:right="40" w:firstLine="428"/>
        <w:spacing w:after="0" w:line="279" w:lineRule="auto"/>
        <w:tabs>
          <w:tab w:leader="none" w:pos="728" w:val="left"/>
        </w:tabs>
        <w:numPr>
          <w:ilvl w:val="1"/>
          <w:numId w:val="160"/>
        </w:numPr>
        <w:rPr>
          <w:rFonts w:ascii="Arial" w:cs="Arial" w:eastAsia="Arial" w:hAnsi="Arial"/>
          <w:sz w:val="17"/>
          <w:szCs w:val="17"/>
          <w:color w:val="auto"/>
        </w:rPr>
      </w:pPr>
      <w:r>
        <w:rPr>
          <w:rFonts w:ascii="Arial" w:cs="Arial" w:eastAsia="Arial" w:hAnsi="Arial"/>
          <w:sz w:val="17"/>
          <w:szCs w:val="17"/>
          <w:color w:val="auto"/>
        </w:rPr>
        <w:t>The BellRing Parties will deliver to each Underwriter (or its agent), on the date of execution of this Agreement (if not previously delivered), a properly completed and executed Certification Regarding Beneficial Owners of Legal Entity Customers, together with copies of identifying documentation, and the Company and BellRing Brands, LLC each undertakes to provide such additional supporting documentation as each Underwriter may reasonably request in connection with the verification of the foregoing Certification.</w:t>
      </w:r>
    </w:p>
    <w:p>
      <w:pPr>
        <w:spacing w:after="0" w:line="63" w:lineRule="exact"/>
        <w:rPr>
          <w:rFonts w:ascii="Arial" w:cs="Arial" w:eastAsia="Arial" w:hAnsi="Arial"/>
          <w:sz w:val="17"/>
          <w:szCs w:val="17"/>
          <w:color w:val="auto"/>
        </w:rPr>
      </w:pPr>
    </w:p>
    <w:p>
      <w:pPr>
        <w:ind w:right="20" w:firstLine="428"/>
        <w:spacing w:after="0" w:line="268" w:lineRule="auto"/>
        <w:tabs>
          <w:tab w:leader="none" w:pos="778" w:val="left"/>
        </w:tabs>
        <w:numPr>
          <w:ilvl w:val="1"/>
          <w:numId w:val="160"/>
        </w:numPr>
        <w:rPr>
          <w:rFonts w:ascii="Arial" w:cs="Arial" w:eastAsia="Arial" w:hAnsi="Arial"/>
          <w:sz w:val="17"/>
          <w:szCs w:val="17"/>
          <w:color w:val="auto"/>
        </w:rPr>
      </w:pPr>
      <w:r>
        <w:rPr>
          <w:rFonts w:ascii="Arial" w:cs="Arial" w:eastAsia="Arial" w:hAnsi="Arial"/>
          <w:sz w:val="17"/>
          <w:szCs w:val="17"/>
          <w:color w:val="auto"/>
        </w:rPr>
        <w:t>Each of the BellRing Parties also agrees that, without the prior written consent of the Representatives on behalf of the Underwriters, it will not, during the period ending 180 days after the date of the Prospectus (the “</w:t>
      </w:r>
      <w:r>
        <w:rPr>
          <w:rFonts w:ascii="Arial" w:cs="Arial" w:eastAsia="Arial" w:hAnsi="Arial"/>
          <w:sz w:val="17"/>
          <w:szCs w:val="17"/>
          <w:b w:val="1"/>
          <w:bCs w:val="1"/>
          <w:i w:val="1"/>
          <w:iCs w:val="1"/>
          <w:color w:val="auto"/>
        </w:rPr>
        <w:t>Restricted Period</w:t>
      </w:r>
      <w:r>
        <w:rPr>
          <w:rFonts w:ascii="Arial" w:cs="Arial" w:eastAsia="Arial" w:hAnsi="Arial"/>
          <w:sz w:val="17"/>
          <w:szCs w:val="17"/>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for membership interests of BellRing Brands, LLC or any securities convertible into or exercisable or exchangeable for membership interests of BellRing Brands, LLC (such shares of Common Stock, membership interests BellRing Brands, LLC or such other securities collectively, the “</w:t>
      </w:r>
      <w:r>
        <w:rPr>
          <w:rFonts w:ascii="Arial" w:cs="Arial" w:eastAsia="Arial" w:hAnsi="Arial"/>
          <w:sz w:val="17"/>
          <w:szCs w:val="17"/>
          <w:b w:val="1"/>
          <w:bCs w:val="1"/>
          <w:i w:val="1"/>
          <w:iCs w:val="1"/>
          <w:color w:val="auto"/>
        </w:rPr>
        <w:t>Locked-Up Securities</w:t>
      </w:r>
      <w:r>
        <w:rPr>
          <w:rFonts w:ascii="Arial" w:cs="Arial" w:eastAsia="Arial" w:hAnsi="Arial"/>
          <w:sz w:val="17"/>
          <w:szCs w:val="17"/>
          <w:color w:val="auto"/>
        </w:rPr>
        <w:t>”) or (2) enter into any swap or other arrangement that transfers to another, in whole or in part, any of the economic consequences of ownership of the Locked-Up Securities, whether any such transaction described in clause (1) or (2) above is to be settled by delivery of Locked-Up Securities or such other securities, in cash or otherwise. The foregoing sentence shall not apply to (a) the sale of the Stock under this Agreement, (b) the issuance by the Company of any shares of Common Stock upon the exercise of an option or warrant or the conversion of a security outstanding on the date hereof, (c) any grants under the Company’s equity or stock plans in accordance with the terms of such plans as described in the Time of Sale Prospectus and the Prospectus, as such plans may be amended, and the filing of any registration statement on Form S-8 with respect thereto, (d) the establishment of a trading plan pursuant to Rule 10b5-1 under the Exchange Act for</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40"/>
          </w:cols>
          <w:pgMar w:left="880" w:top="274" w:right="479" w:bottom="1440" w:gutter="0" w:footer="0" w:header="0"/>
        </w:sectPr>
      </w:pPr>
    </w:p>
    <w:bookmarkStart w:id="258" w:name="page259"/>
    <w:bookmarkEnd w:id="25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 (e) new shares of Common Stock issued pursuant to redemptions of BellRing Brands, LLC Units held by Post pursuant to the amended and restated limited liability company agreement of BellRing Brands, LLC as described in the Time of Sale Prospectus and the Prospectus and (f) Common Stock or rights to receive Common Stock (including securities convertible into or exercisable or exchangeable for Common Stock) issued or contemplated to be issued in connection with an acquisition or with a strategic or minority investment transaction; provided that (i) the aggregate number of shares of Common Stock issued or issuable upon exchange or conversion of any securities convertible into or exchangeable for Common Stock under clause (f) during the Restricted Period shall not exceed 10% of the total number of shares of Common Stock issued and outstanding as of the date of such acquisition or strategic or minority investment transaction, as the case may be, and (ii) any recipient of such Common Stock or rights to receive Common Stock (including securities convertible into or exercisable or exchangeable for Common Stock) shall have executed and delivered to the Representatives a lock-up letter in the form of Exhibit A hereto.</w:t>
      </w:r>
    </w:p>
    <w:p>
      <w:pPr>
        <w:spacing w:after="0" w:line="80" w:lineRule="exact"/>
        <w:rPr>
          <w:sz w:val="20"/>
          <w:szCs w:val="20"/>
          <w:color w:val="auto"/>
        </w:rPr>
      </w:pPr>
    </w:p>
    <w:p>
      <w:pPr>
        <w:ind w:right="100" w:firstLine="428"/>
        <w:spacing w:after="0" w:line="277" w:lineRule="auto"/>
        <w:tabs>
          <w:tab w:leader="none" w:pos="82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To cause any person becoming an executive officer (as defined in Rule 3b-7 of the Exchange Act) or director of the Company during the Restricted Period to enter into a Lock-Up Agreement substantially in the form of Exhibit A hereto.</w:t>
      </w:r>
    </w:p>
    <w:p>
      <w:pPr>
        <w:spacing w:after="0" w:line="62" w:lineRule="exact"/>
        <w:rPr>
          <w:rFonts w:ascii="Arial" w:cs="Arial" w:eastAsia="Arial" w:hAnsi="Arial"/>
          <w:sz w:val="18"/>
          <w:szCs w:val="18"/>
          <w:color w:val="auto"/>
        </w:rPr>
      </w:pPr>
    </w:p>
    <w:p>
      <w:pPr>
        <w:ind w:firstLine="428"/>
        <w:spacing w:after="0" w:line="277" w:lineRule="auto"/>
        <w:tabs>
          <w:tab w:leader="none" w:pos="81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To apply the net proceeds from the sale of the Stock being sold by the Company substantially in accordance with the description as set forth in the Prospectus under the caption “Use of Proceeds.”</w:t>
      </w:r>
    </w:p>
    <w:p>
      <w:pPr>
        <w:spacing w:after="0" w:line="62" w:lineRule="exact"/>
        <w:rPr>
          <w:rFonts w:ascii="Arial" w:cs="Arial" w:eastAsia="Arial" w:hAnsi="Arial"/>
          <w:sz w:val="18"/>
          <w:szCs w:val="18"/>
          <w:color w:val="auto"/>
        </w:rPr>
      </w:pPr>
    </w:p>
    <w:p>
      <w:pPr>
        <w:ind w:firstLine="428"/>
        <w:spacing w:after="0" w:line="264" w:lineRule="auto"/>
        <w:tabs>
          <w:tab w:leader="none" w:pos="76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Along with their respective affiliates to not take, directly or indirectly, any action designed to or that has constituted or that reasonably would be expected to cause or result in the stabilization or manipulation of the price of any security of the BellRing Parties in connection with the offering of the Stock.</w:t>
      </w:r>
    </w:p>
    <w:p>
      <w:pPr>
        <w:spacing w:after="0" w:line="73" w:lineRule="exact"/>
        <w:rPr>
          <w:rFonts w:ascii="Arial" w:cs="Arial" w:eastAsia="Arial" w:hAnsi="Arial"/>
          <w:sz w:val="18"/>
          <w:szCs w:val="18"/>
          <w:color w:val="auto"/>
        </w:rPr>
      </w:pPr>
    </w:p>
    <w:p>
      <w:pPr>
        <w:ind w:firstLine="428"/>
        <w:spacing w:after="0" w:line="264" w:lineRule="auto"/>
        <w:tabs>
          <w:tab w:leader="none" w:pos="81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To use commercially reasonable efforts to do and perform in all material respects all things required or necessary to be done and performed under this Agreement by it prior to each Delivery Date, and to satisfy in all material respects conditions precedent to the Underwriters’ obligations hereunder to purchase the Stock.</w:t>
      </w:r>
    </w:p>
    <w:p>
      <w:pPr>
        <w:spacing w:after="0" w:line="73" w:lineRule="exact"/>
        <w:rPr>
          <w:rFonts w:ascii="Arial" w:cs="Arial" w:eastAsia="Arial" w:hAnsi="Arial"/>
          <w:sz w:val="18"/>
          <w:szCs w:val="18"/>
          <w:color w:val="auto"/>
        </w:rPr>
      </w:pPr>
    </w:p>
    <w:p>
      <w:pPr>
        <w:ind w:right="760" w:firstLine="428"/>
        <w:spacing w:after="0" w:line="277" w:lineRule="auto"/>
        <w:tabs>
          <w:tab w:leader="none" w:pos="86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To not take any action prohibited by Regulation M under the Exchange Act in connection with the distribution of the Stock contemplated hereby.</w:t>
      </w:r>
    </w:p>
    <w:p>
      <w:pPr>
        <w:spacing w:after="0" w:line="10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00"/>
          </w:cols>
          <w:pgMar w:left="880" w:top="274" w:right="519" w:bottom="1440" w:gutter="0" w:footer="0" w:header="0"/>
        </w:sectPr>
      </w:pPr>
    </w:p>
    <w:bookmarkStart w:id="259" w:name="page260"/>
    <w:bookmarkEnd w:id="259"/>
    <w:p>
      <w:pPr>
        <w:ind w:left="420" w:firstLine="428"/>
        <w:spacing w:after="0" w:line="293" w:lineRule="auto"/>
        <w:tabs>
          <w:tab w:leader="none" w:pos="1098" w:val="left"/>
        </w:tabs>
        <w:numPr>
          <w:ilvl w:val="0"/>
          <w:numId w:val="1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Underwriter severally agrees that such Underwriter shall not include any “issuer information” (as defined in Rule 433 under the Securities Act) in any “free writing prospectus” (as defined in Rule 405 under the Securities Act) used or referred to by such Underwriter without the prior consent of the Company (any such issuer information with respect to whose use the Company has given its consent, “</w:t>
      </w:r>
      <w:r>
        <w:rPr>
          <w:rFonts w:ascii="Arial" w:cs="Arial" w:eastAsia="Arial" w:hAnsi="Arial"/>
          <w:sz w:val="16"/>
          <w:szCs w:val="16"/>
          <w:b w:val="1"/>
          <w:bCs w:val="1"/>
          <w:i w:val="1"/>
          <w:iCs w:val="1"/>
          <w:color w:val="auto"/>
        </w:rPr>
        <w:t>Permitted Issuer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Information</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(i) no such consent shall be required with respect to any such issuer information contained in any document filed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with the Commission prior to the use of such free writing prospectus, and (ii) “issuer information,” as used in this Section 5(b), shall not be deemed to include information prepared by or on behalf of such Underwriter on the basis of or derived from issuer information.</w:t>
      </w:r>
    </w:p>
    <w:p>
      <w:pPr>
        <w:spacing w:after="0" w:line="56" w:lineRule="exact"/>
        <w:rPr>
          <w:rFonts w:ascii="Arial" w:cs="Arial" w:eastAsia="Arial" w:hAnsi="Arial"/>
          <w:sz w:val="16"/>
          <w:szCs w:val="16"/>
          <w:color w:val="auto"/>
        </w:rPr>
      </w:pPr>
    </w:p>
    <w:p>
      <w:pPr>
        <w:ind w:left="-20" w:firstLine="996"/>
        <w:spacing w:after="0" w:line="285" w:lineRule="auto"/>
        <w:tabs>
          <w:tab w:leader="none" w:pos="1152" w:val="left"/>
        </w:tabs>
        <w:numPr>
          <w:ilvl w:val="1"/>
          <w:numId w:val="162"/>
        </w:numPr>
        <w:rPr>
          <w:rFonts w:ascii="Arial" w:cs="Arial" w:eastAsia="Arial" w:hAnsi="Arial"/>
          <w:sz w:val="16"/>
          <w:szCs w:val="16"/>
          <w:color w:val="auto"/>
        </w:rPr>
      </w:pPr>
      <w:r>
        <w:rPr>
          <w:rFonts w:ascii="Arial" w:cs="Arial" w:eastAsia="Arial" w:hAnsi="Arial"/>
          <w:sz w:val="16"/>
          <w:szCs w:val="16"/>
          <w:i w:val="1"/>
          <w:iCs w:val="1"/>
          <w:color w:val="auto"/>
        </w:rPr>
        <w:t xml:space="preserve">Expenses. </w:t>
      </w:r>
      <w:r>
        <w:rPr>
          <w:rFonts w:ascii="Arial" w:cs="Arial" w:eastAsia="Arial" w:hAnsi="Arial"/>
          <w:sz w:val="16"/>
          <w:szCs w:val="16"/>
          <w:color w:val="auto"/>
        </w:rPr>
        <w:t>Each of the BellRing Parties agrees, whether or not the transactions contemplated by this Agreement are consummated or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Agreement is terminated, to pay all expenses, costs, fees and taxes incident to and in connection with (a) the authorization, issuance, sale and delivery of the Stock and any stamp duties or other taxes payable in that connection, and the preparation and printing of certificates for the Stock; (b) the preparation, printing and filing under the Securities Act of the Registration Statement (including any exhibits thereto), the Time of Sale Prospectus, the Prospectus, any free writing prospectus, and any amendment or supplement thereto; (c) the distribution of the Registration Statement (including any exhibits thereto), the Time of Sale Prospectus, the Prospectus, any free writing prospectus, and any amendment or supplement thereto, or any document incorporated by reference therein, all as provided in this Agreement; (d) the production and distribution of this Agreement, any supplemental agreement among Underwriters, and any other related documents in connection with the offering, purchase, sale and delivery of the Stock; (e) the inclusion of the Stock on The New York Stock Exchange and/or any other exchange; (f) the qualification of the Stock under the securities laws of the several jurisdictions as provided in Section 5(a)(ix) and the preparation, printing and distribution of a Blue Sky Memorandum (including related fees and expenses of outside counsel to the Underwriters not to exceed $15,000); (g) the preparation, printing and distribution of one or more versions of the Time of Sale Prospectus and the Prospectus for distribution in Canada, including in the form of a Canadian “wrapper” (excluding related fees and expenses of Canadian counsel to the Underwriters); (h) the investor presentations on any “road show,” undertaken in connection with the marketing of the Stock, including, without limitation, expenses associated with any electronic road show, travel and lodging expenses of the representatives and officers of the BellRing Parties and the cost of any aircraft chartered in connection with the road show; (i) the filing fees incident to, and the reasonable fees and disbursements of counsel to the Underwriters in connection with, the review by FINRA of the terms of sale of the Stock (provided that the amount payable by the Company pursuant to subsection (f) and the reasonable fees and disbursements of counsel to the Underwriters described in this subsection (i) shall not exceed $30,000) and (j) all other costs and expenses incident to the performance of the obligations of the BellRing Parties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provided in this Section 6, in Section 8 and in Section 11, the Underwriters shall pay their own costs and expenses, including the costs and expenses of their counsel, any transfer taxes on the Stock which they may sell and the expenses of advertising any offering of the Stock made by the Underwriters.</w:t>
      </w:r>
    </w:p>
    <w:p>
      <w:pPr>
        <w:spacing w:after="0" w:line="276" w:lineRule="exact"/>
        <w:rPr>
          <w:rFonts w:ascii="Arial" w:cs="Arial" w:eastAsia="Arial" w:hAnsi="Arial"/>
          <w:sz w:val="16"/>
          <w:szCs w:val="16"/>
          <w:color w:val="auto"/>
        </w:rPr>
      </w:pPr>
    </w:p>
    <w:p>
      <w:pPr>
        <w:ind w:left="-20" w:firstLine="996"/>
        <w:spacing w:after="0" w:line="259" w:lineRule="auto"/>
        <w:tabs>
          <w:tab w:leader="none" w:pos="1152" w:val="left"/>
        </w:tabs>
        <w:numPr>
          <w:ilvl w:val="1"/>
          <w:numId w:val="162"/>
        </w:numPr>
        <w:rPr>
          <w:rFonts w:ascii="Arial" w:cs="Arial" w:eastAsia="Arial" w:hAnsi="Arial"/>
          <w:sz w:val="18"/>
          <w:szCs w:val="18"/>
          <w:color w:val="auto"/>
        </w:rPr>
      </w:pPr>
      <w:r>
        <w:rPr>
          <w:rFonts w:ascii="Arial" w:cs="Arial" w:eastAsia="Arial" w:hAnsi="Arial"/>
          <w:sz w:val="18"/>
          <w:szCs w:val="18"/>
          <w:i w:val="1"/>
          <w:iCs w:val="1"/>
          <w:color w:val="auto"/>
        </w:rPr>
        <w:t>Conditions of Underwriters’ Obligations</w:t>
      </w:r>
      <w:r>
        <w:rPr>
          <w:rFonts w:ascii="Arial" w:cs="Arial" w:eastAsia="Arial" w:hAnsi="Arial"/>
          <w:sz w:val="18"/>
          <w:szCs w:val="18"/>
          <w:color w:val="auto"/>
        </w:rPr>
        <w:t>. Each of the BellRing Parties acknowledges and agrees that the respective obligations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hereunder are subject to the accuracy, when made and on each Delivery Date, of the representations and warranties of each of the BellRing Parties contained herein, to the performance by each of the BellRing Parties of its obligations hereunder, and to each of the following additional terms and conditions: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60" w:top="274" w:right="459" w:bottom="1440" w:gutter="0" w:footer="0" w:header="0"/>
        </w:sectPr>
      </w:pPr>
    </w:p>
    <w:bookmarkStart w:id="260" w:name="page261"/>
    <w:bookmarkEnd w:id="260"/>
    <w:p>
      <w:pPr>
        <w:ind w:right="40" w:firstLine="428"/>
        <w:spacing w:after="0" w:line="290" w:lineRule="auto"/>
        <w:tabs>
          <w:tab w:leader="none" w:pos="668" w:val="left"/>
        </w:tabs>
        <w:numPr>
          <w:ilvl w:val="0"/>
          <w:numId w:val="1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Prospectus shall have been timely filed with the Commission in accordance with Section 5(a)(i) and any other material required to be filed by the Company pursuant to Rule 433(d) under the Act shall have been filed with the Commission within the applicable time periods prescribed for such filings by Rule 433. The Company shall have complied with all filing requirements applicable to any free writing prospectus used or referred to after the date hereof; no stop order suspending the effectiveness of the Registration Statement or preventing or suspending the use of the Prospectus or any free writing prospectus shall have been issued and no proceeding or examination for such purpose shall have been initiated or threatened by the Commission; and any request of the Commission for inclusion of additional information in the Registration Statement or the Prospectus or otherwise shall have been complied with. If the Company has elected to rely upon Rule 462(b) under the Securities Act, the Rule 462(b) Registration Statement shall have become effective by 10:00 P.M., Washington, D.C. time, on the date of this Agreement.</w:t>
      </w:r>
    </w:p>
    <w:p>
      <w:pPr>
        <w:spacing w:after="0" w:line="58" w:lineRule="exact"/>
        <w:rPr>
          <w:rFonts w:ascii="Arial" w:cs="Arial" w:eastAsia="Arial" w:hAnsi="Arial"/>
          <w:sz w:val="16"/>
          <w:szCs w:val="16"/>
          <w:color w:val="auto"/>
        </w:rPr>
      </w:pPr>
    </w:p>
    <w:p>
      <w:pPr>
        <w:ind w:right="120" w:firstLine="428"/>
        <w:spacing w:after="0" w:line="302" w:lineRule="auto"/>
        <w:tabs>
          <w:tab w:leader="none" w:pos="678"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All corporate proceedings and other legal matters incident to the authorization, form and validity of this Agreement, the Stock, the Registration Statement, the Prospectus and any free writing prospectus, and all other legal matters relating to this Agreement and the transactions contemplated hereby shall be reasonably satisfactory in all material respects to counsel for the Underwriters, and the BellRing Parties shall have furnished to such counsel all documents and information that they may reasonably request to enable them to pass upon such matters.</w:t>
      </w:r>
    </w:p>
    <w:p>
      <w:pPr>
        <w:spacing w:after="0" w:line="46" w:lineRule="exact"/>
        <w:rPr>
          <w:rFonts w:ascii="Arial" w:cs="Arial" w:eastAsia="Arial" w:hAnsi="Arial"/>
          <w:sz w:val="16"/>
          <w:szCs w:val="16"/>
          <w:color w:val="auto"/>
        </w:rPr>
      </w:pPr>
    </w:p>
    <w:p>
      <w:pPr>
        <w:ind w:right="40" w:firstLine="428"/>
        <w:spacing w:after="0" w:line="277" w:lineRule="auto"/>
        <w:tabs>
          <w:tab w:leader="none" w:pos="66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Lewis Rice LLC shall have furnished to the Representatives its written opinion and negative assurance letter, as counsel to the Company, addressed to the Underwriters and dated such Delivery Date, substantially in the form attached hereto as Exhibit B.</w:t>
      </w:r>
    </w:p>
    <w:p>
      <w:pPr>
        <w:spacing w:after="0" w:line="62" w:lineRule="exact"/>
        <w:rPr>
          <w:rFonts w:ascii="Arial" w:cs="Arial" w:eastAsia="Arial" w:hAnsi="Arial"/>
          <w:sz w:val="18"/>
          <w:szCs w:val="18"/>
          <w:color w:val="auto"/>
        </w:rPr>
      </w:pPr>
    </w:p>
    <w:p>
      <w:pPr>
        <w:ind w:right="640" w:firstLine="428"/>
        <w:spacing w:after="0" w:line="308" w:lineRule="auto"/>
        <w:tabs>
          <w:tab w:leader="none" w:pos="67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Epstein Becker &amp; Green, P.C. shall have furnished to the Representatives its written opinion, as special New York counsel to the Company, addressed to Underwriters and dated such Delivery Date, substantially in form attached hereto as Exhibit C.</w:t>
      </w:r>
    </w:p>
    <w:p>
      <w:pPr>
        <w:spacing w:after="0" w:line="38" w:lineRule="exact"/>
        <w:rPr>
          <w:rFonts w:ascii="Arial" w:cs="Arial" w:eastAsia="Arial" w:hAnsi="Arial"/>
          <w:sz w:val="17"/>
          <w:szCs w:val="17"/>
          <w:color w:val="auto"/>
        </w:rPr>
      </w:pPr>
    </w:p>
    <w:p>
      <w:pPr>
        <w:ind w:firstLine="428"/>
        <w:spacing w:after="0" w:line="302" w:lineRule="auto"/>
        <w:tabs>
          <w:tab w:leader="none" w:pos="668"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Representatives shall have received from Latham &amp; Watkins LLP, counsel for the Underwriters, such opinion or opinions and negative assurance letter, dated such Delivery Date, with respect to the issuance and sale of the Stock, the Registration Statement, the Time of Sale Prospectus and the Prospectus and other related matters as the Representatives may reasonably require, and each of the BellRing Parties shall have furnished to such counsel such documents as they reasonably request for the purpose of enabling them to pass upon such matters.</w:t>
      </w:r>
    </w:p>
    <w:p>
      <w:pPr>
        <w:spacing w:after="0" w:line="46" w:lineRule="exact"/>
        <w:rPr>
          <w:rFonts w:ascii="Arial" w:cs="Arial" w:eastAsia="Arial" w:hAnsi="Arial"/>
          <w:sz w:val="16"/>
          <w:szCs w:val="16"/>
          <w:color w:val="auto"/>
        </w:rPr>
      </w:pPr>
    </w:p>
    <w:p>
      <w:pPr>
        <w:ind w:right="80" w:firstLine="428"/>
        <w:spacing w:after="0" w:line="312" w:lineRule="auto"/>
        <w:tabs>
          <w:tab w:leader="none" w:pos="648"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At the time of execution of this Agreement, the Representatives shall have received from PricewaterhouseCoopers LLP a letter with respect to the Company and Active Nutrition, in form and substance reasonably satisfactory to the Representatives, addressed to the Underwriters and dated the date hereof (i) confirming that they are an independent registered public accounting firm with respect to the Company, within the</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80"/>
          </w:cols>
          <w:pgMar w:left="880" w:top="274" w:right="439" w:bottom="1440" w:gutter="0" w:footer="0" w:header="0"/>
        </w:sectPr>
      </w:pPr>
    </w:p>
    <w:bookmarkStart w:id="261" w:name="page262"/>
    <w:bookmarkEnd w:id="261"/>
    <w:p>
      <w:pPr>
        <w:ind w:right="1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rules and regulations adopted by the Commission and the PCAOB and (ii) stating, as of the date hereof (or, with respect to matters involving changes or developments since the respective dates as of which specified financial information is given in the Time of Sale Prospectus, as of a date not more than three calendar days prior to the date hereof), the conclusions and findings of such firm with respect to the financial information and other matters ordinarily covered by accountants’ “comfort letters” to underwriters in connection with registered public offerings.</w:t>
      </w:r>
    </w:p>
    <w:p>
      <w:pPr>
        <w:spacing w:after="0" w:line="46" w:lineRule="exact"/>
        <w:rPr>
          <w:sz w:val="20"/>
          <w:szCs w:val="20"/>
          <w:color w:val="auto"/>
        </w:rPr>
      </w:pPr>
    </w:p>
    <w:p>
      <w:pPr>
        <w:ind w:right="80" w:firstLine="428"/>
        <w:spacing w:after="0" w:line="270" w:lineRule="auto"/>
        <w:tabs>
          <w:tab w:leader="none" w:pos="67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With respect to the letter of PricewaterhouseCoopers LLP, referred to in the preceding paragraph and delivered to the Representatives concurrently with the execution of this Agreement (the “</w:t>
      </w:r>
      <w:r>
        <w:rPr>
          <w:rFonts w:ascii="Arial" w:cs="Arial" w:eastAsia="Arial" w:hAnsi="Arial"/>
          <w:sz w:val="17"/>
          <w:szCs w:val="17"/>
          <w:b w:val="1"/>
          <w:bCs w:val="1"/>
          <w:i w:val="1"/>
          <w:iCs w:val="1"/>
          <w:color w:val="auto"/>
        </w:rPr>
        <w:t>initial letter</w:t>
      </w:r>
      <w:r>
        <w:rPr>
          <w:rFonts w:ascii="Arial" w:cs="Arial" w:eastAsia="Arial" w:hAnsi="Arial"/>
          <w:sz w:val="17"/>
          <w:szCs w:val="17"/>
          <w:color w:val="auto"/>
        </w:rPr>
        <w:t>”), the Company and Active Nutrition shall have furnished to the Representatives a letter (the “</w:t>
      </w:r>
      <w:r>
        <w:rPr>
          <w:rFonts w:ascii="Arial" w:cs="Arial" w:eastAsia="Arial" w:hAnsi="Arial"/>
          <w:sz w:val="17"/>
          <w:szCs w:val="17"/>
          <w:b w:val="1"/>
          <w:bCs w:val="1"/>
          <w:i w:val="1"/>
          <w:iCs w:val="1"/>
          <w:color w:val="auto"/>
        </w:rPr>
        <w:t>bring-down letter</w:t>
      </w:r>
      <w:r>
        <w:rPr>
          <w:rFonts w:ascii="Arial" w:cs="Arial" w:eastAsia="Arial" w:hAnsi="Arial"/>
          <w:sz w:val="17"/>
          <w:szCs w:val="17"/>
          <w:color w:val="auto"/>
        </w:rPr>
        <w:t>”) with respect to the Company and Active Nutrition, as applicable, addressed to the Underwriters and dated such Delivery Date (i) confirming that they are an independent registered public accounting firm within the applicable rules and regulations adopted by the Commission and the PCAOB, (ii) stating, as of the date of the bring-down letter (or, with respect to matters involving changes or developments since the respective dates as of which specified financial information is given in the Prospectus, as of a date not more than three calendar days prior to the date of the bring-down letters), the conclusions and findings of PricewaterhouseCoopers LLP with respect to the financial information and other matters covered by the initial letter, and (iii) confirming in all material respects the conclusions and findings set forth in the initial letter.</w:t>
      </w:r>
    </w:p>
    <w:p>
      <w:pPr>
        <w:spacing w:after="0" w:line="73" w:lineRule="exact"/>
        <w:rPr>
          <w:rFonts w:ascii="Arial" w:cs="Arial" w:eastAsia="Arial" w:hAnsi="Arial"/>
          <w:sz w:val="17"/>
          <w:szCs w:val="17"/>
          <w:color w:val="auto"/>
        </w:rPr>
      </w:pPr>
    </w:p>
    <w:p>
      <w:pPr>
        <w:jc w:val="both"/>
        <w:ind w:right="180" w:firstLine="428"/>
        <w:spacing w:after="0" w:line="264" w:lineRule="auto"/>
        <w:tabs>
          <w:tab w:leader="none" w:pos="67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Company shall have furnished to the Representatives a certificate, dated such Delivery Date, of its Chief Executive Officer and its Secretary (in the name and on behalf of the Company and not in individual capacities) as to such matters as the Representatives may reasonably request, including, without limitation, a statement:</w:t>
      </w:r>
    </w:p>
    <w:p>
      <w:pPr>
        <w:spacing w:after="0" w:line="73" w:lineRule="exact"/>
        <w:rPr>
          <w:rFonts w:ascii="Arial" w:cs="Arial" w:eastAsia="Arial" w:hAnsi="Arial"/>
          <w:sz w:val="18"/>
          <w:szCs w:val="18"/>
          <w:color w:val="auto"/>
        </w:rPr>
      </w:pPr>
    </w:p>
    <w:p>
      <w:pPr>
        <w:ind w:left="560" w:right="80" w:firstLine="397"/>
        <w:spacing w:after="0" w:line="259" w:lineRule="auto"/>
        <w:tabs>
          <w:tab w:leader="none" w:pos="1176" w:val="left"/>
        </w:tabs>
        <w:numPr>
          <w:ilvl w:val="2"/>
          <w:numId w:val="164"/>
        </w:numPr>
        <w:rPr>
          <w:rFonts w:ascii="Arial" w:cs="Arial" w:eastAsia="Arial" w:hAnsi="Arial"/>
          <w:sz w:val="18"/>
          <w:szCs w:val="18"/>
          <w:color w:val="auto"/>
        </w:rPr>
      </w:pPr>
      <w:r>
        <w:rPr>
          <w:rFonts w:ascii="Arial" w:cs="Arial" w:eastAsia="Arial" w:hAnsi="Arial"/>
          <w:sz w:val="18"/>
          <w:szCs w:val="18"/>
          <w:color w:val="auto"/>
        </w:rPr>
        <w:t>Confirming that the representations, warranties and agreements of the Company in Section 1 are true and correct in all material respects on and as of such Delivery Date, (or, in the case of representations, warranties and agreements that are qualified by materiality or Material Adverse Effect, confirming that such representations, warranties and agreements are true and correct on and as of such Delivery Date);</w:t>
      </w:r>
    </w:p>
    <w:p>
      <w:pPr>
        <w:spacing w:after="0" w:line="78" w:lineRule="exact"/>
        <w:rPr>
          <w:rFonts w:ascii="Arial" w:cs="Arial" w:eastAsia="Arial" w:hAnsi="Arial"/>
          <w:sz w:val="18"/>
          <w:szCs w:val="18"/>
          <w:color w:val="auto"/>
        </w:rPr>
      </w:pPr>
    </w:p>
    <w:p>
      <w:pPr>
        <w:ind w:left="560" w:right="40" w:firstLine="397"/>
        <w:spacing w:after="0" w:line="291" w:lineRule="auto"/>
        <w:tabs>
          <w:tab w:leader="none" w:pos="1226" w:val="left"/>
        </w:tabs>
        <w:numPr>
          <w:ilvl w:val="2"/>
          <w:numId w:val="164"/>
        </w:numPr>
        <w:rPr>
          <w:rFonts w:ascii="Arial" w:cs="Arial" w:eastAsia="Arial" w:hAnsi="Arial"/>
          <w:sz w:val="16"/>
          <w:szCs w:val="16"/>
          <w:color w:val="auto"/>
        </w:rPr>
      </w:pPr>
      <w:r>
        <w:rPr>
          <w:rFonts w:ascii="Arial" w:cs="Arial" w:eastAsia="Arial" w:hAnsi="Arial"/>
          <w:sz w:val="16"/>
          <w:szCs w:val="16"/>
          <w:color w:val="auto"/>
        </w:rPr>
        <w:t>Confirming that they have examined the Registration Statement, the Time of Sale Prospectus and the Prospectus and, in their opinion, (1) the Registration Statement, as of the Effective Date, (2) the Prospectus, as of its date and on the applicable Delivery Date, and</w:t>
      </w:r>
    </w:p>
    <w:p>
      <w:pPr>
        <w:ind w:left="560" w:hanging="4"/>
        <w:spacing w:after="0" w:line="252" w:lineRule="auto"/>
        <w:tabs>
          <w:tab w:leader="none" w:pos="815"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Time of Sale Prospectus, as of the date of this Agreement or as amended or supplemented, if applicable, as of the Delivery Date did not and do not contain any untrue statement of a material fact and did not and do not omit to state a material fact required to be stated therein or necessary to make the statements therein (except in the case of the Registration Statement, in the light of the circumstances under which they were made) not misleading; provided that no representation or warranty is made as to information contained in or omitted from the Time of Sale Prospectus and the Prospectus in reliance upon and in conformity with written information furnished to the Company through the Representatives by or on behalf of any Underwriter specifically for inclusion therein, which information is specified in Section 8(f);</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60"/>
          </w:cols>
          <w:pgMar w:left="880" w:top="274" w:right="459" w:bottom="1440" w:gutter="0" w:footer="0" w:header="0"/>
        </w:sectPr>
      </w:pPr>
    </w:p>
    <w:bookmarkStart w:id="262" w:name="page263"/>
    <w:bookmarkEnd w:id="262"/>
    <w:p>
      <w:pPr>
        <w:ind w:left="560" w:right="160" w:firstLine="397"/>
        <w:spacing w:after="0" w:line="312" w:lineRule="auto"/>
        <w:tabs>
          <w:tab w:leader="none" w:pos="1276" w:val="left"/>
        </w:tabs>
        <w:numPr>
          <w:ilvl w:val="1"/>
          <w:numId w:val="1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no stop order suspending the effectiveness of the Registration Statement has been issued; and no proceedings or examination for that purpose have been instituted or, to the knowledge of such officers, threatened; and the Commission shall not have notified the Company of any objection to the use of the form of the Registration Statement or any post-effective amendment thereto; and</w:t>
      </w:r>
    </w:p>
    <w:p>
      <w:pPr>
        <w:spacing w:after="0" w:line="38" w:lineRule="exact"/>
        <w:rPr>
          <w:rFonts w:ascii="Arial" w:cs="Arial" w:eastAsia="Arial" w:hAnsi="Arial"/>
          <w:sz w:val="16"/>
          <w:szCs w:val="16"/>
          <w:color w:val="auto"/>
        </w:rPr>
      </w:pPr>
    </w:p>
    <w:p>
      <w:pPr>
        <w:ind w:left="560" w:right="100" w:firstLine="397"/>
        <w:spacing w:after="0" w:line="277" w:lineRule="auto"/>
        <w:tabs>
          <w:tab w:leader="none" w:pos="1266"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To the effect of Section 7(h)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representation with respect to the judgment of the Representatives need be made) and Section 7(i).</w:t>
      </w:r>
    </w:p>
    <w:p>
      <w:pPr>
        <w:spacing w:after="0" w:line="62" w:lineRule="exact"/>
        <w:rPr>
          <w:rFonts w:ascii="Arial" w:cs="Arial" w:eastAsia="Arial" w:hAnsi="Arial"/>
          <w:sz w:val="18"/>
          <w:szCs w:val="18"/>
          <w:color w:val="auto"/>
        </w:rPr>
      </w:pPr>
    </w:p>
    <w:p>
      <w:pPr>
        <w:ind w:firstLine="428"/>
        <w:spacing w:after="0" w:line="270" w:lineRule="auto"/>
        <w:tabs>
          <w:tab w:leader="none" w:pos="638"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 None of the BellRing Parties or the Subsidiaries shall have sustained, since the date of the latest audited financial statements included in the Time of Sale Prospectus, any loss or interference with its business from fire, explosion, flood or other calamity, whether or not covered by insurance, or from any labor dispute or court or governmental action, order or decree, or (ii) except as described in the Time of Sale Prospectus and the Prospectus (exclusive of any amendments or supplements thereto) since such date there shall not have been any change in the capital stock or long-term debt of any of the BellRing Parties or the Subsidiaries or any change, or any development involving a prospective change, in or affecting the condition (financial or otherwise), results of operations, stockholders’ equity, properties, management, business or prospects of the BellRing Parties and the Subsidiaries taken as a whole, the effect of which, in any such case described in clause (i) or (ii), is, individually or in the aggregate, in the good faith judgment of the Representatives, so material and adverse as to make it impracticable or inadvisable to proceed with the public offering, sale or delivery of the Stock being delivered on such Delivery Date on the terms and in the manner contemplated in the Prospectus.</w:t>
      </w:r>
    </w:p>
    <w:p>
      <w:pPr>
        <w:spacing w:after="0" w:line="69" w:lineRule="exact"/>
        <w:rPr>
          <w:rFonts w:ascii="Arial" w:cs="Arial" w:eastAsia="Arial" w:hAnsi="Arial"/>
          <w:sz w:val="17"/>
          <w:szCs w:val="17"/>
          <w:color w:val="auto"/>
        </w:rPr>
      </w:pPr>
    </w:p>
    <w:p>
      <w:pPr>
        <w:ind w:right="80" w:firstLine="428"/>
        <w:spacing w:after="0" w:line="302" w:lineRule="auto"/>
        <w:tabs>
          <w:tab w:leader="none" w:pos="638" w:val="left"/>
        </w:tabs>
        <w:numPr>
          <w:ilvl w:val="0"/>
          <w:numId w:val="166"/>
        </w:numPr>
        <w:rPr>
          <w:rFonts w:ascii="Arial" w:cs="Arial" w:eastAsia="Arial" w:hAnsi="Arial"/>
          <w:sz w:val="16"/>
          <w:szCs w:val="16"/>
          <w:color w:val="auto"/>
        </w:rPr>
      </w:pPr>
      <w:r>
        <w:rPr>
          <w:rFonts w:ascii="Arial" w:cs="Arial" w:eastAsia="Arial" w:hAnsi="Arial"/>
          <w:sz w:val="16"/>
          <w:szCs w:val="16"/>
          <w:color w:val="auto"/>
        </w:rPr>
        <w:t>Subsequent to the execution and delivery of this Agreement and prior to the Delivery Date (i) no downgrading shall have occurred in the rating accorded the Company or any of the securities of the BellRing Parties or any of the Subsidiaries by any “nationally recognized statistical rating organization” (as defined by the Commission in Section 3(a)(62) of the Exchange Act), and (ii) no such organization shall have publicly announced that it has under surveillance or review, with possible negative implications, its rating of any of the Company’s securities.</w:t>
      </w:r>
    </w:p>
    <w:p>
      <w:pPr>
        <w:spacing w:after="0" w:line="46" w:lineRule="exact"/>
        <w:rPr>
          <w:rFonts w:ascii="Arial" w:cs="Arial" w:eastAsia="Arial" w:hAnsi="Arial"/>
          <w:sz w:val="16"/>
          <w:szCs w:val="16"/>
          <w:color w:val="auto"/>
        </w:rPr>
      </w:pPr>
    </w:p>
    <w:p>
      <w:pPr>
        <w:jc w:val="both"/>
        <w:ind w:right="20" w:firstLine="428"/>
        <w:spacing w:after="0" w:line="297" w:lineRule="auto"/>
        <w:tabs>
          <w:tab w:leader="none" w:pos="678" w:val="left"/>
        </w:tabs>
        <w:numPr>
          <w:ilvl w:val="0"/>
          <w:numId w:val="166"/>
        </w:numPr>
        <w:rPr>
          <w:rFonts w:ascii="Arial" w:cs="Arial" w:eastAsia="Arial" w:hAnsi="Arial"/>
          <w:sz w:val="16"/>
          <w:szCs w:val="16"/>
          <w:color w:val="auto"/>
        </w:rPr>
      </w:pPr>
      <w:r>
        <w:rPr>
          <w:rFonts w:ascii="Arial" w:cs="Arial" w:eastAsia="Arial" w:hAnsi="Arial"/>
          <w:sz w:val="16"/>
          <w:szCs w:val="16"/>
          <w:color w:val="auto"/>
        </w:rPr>
        <w:t>Subsequent to the execution and delivery of this Agreement there shall not have occurred any of the following: (i) trading in securities generally on The New York Stock Exchange, the Nasdaq Global Select Market or in the over-the-counter market, or trading in any securities of the Company on any exchange or in the over-the-counter market, shall have been suspended or materially limited or the settlement of such trading generally shall have been materially disrupted or minimum prices shall have been established on any such exchange or such market by the SEC or by such exchange (ii) a general moratorium on commercial banking activities shall have been declared by federal</w:t>
      </w:r>
    </w:p>
    <w:p>
      <w:pPr>
        <w:spacing w:after="0" w:line="9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60"/>
          </w:cols>
          <w:pgMar w:left="880" w:top="274" w:right="459" w:bottom="1440" w:gutter="0" w:footer="0" w:header="0"/>
        </w:sectPr>
      </w:pPr>
    </w:p>
    <w:bookmarkStart w:id="263" w:name="page264"/>
    <w:bookmarkEnd w:id="263"/>
    <w:p>
      <w:pPr>
        <w:ind w:left="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state authorities, (iii) the United States shall have become engaged in hostilities, there shall have been an escalation in hostilities involving the United States or there shall have been a declaration of a national emergency or war by the United States,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or there shall have occurred any other calamity or crisis either within or outside of the United States, as to make it, in the good faith judgment of the Representatives, impracticable or inadvisable to proceed with the public offering or delivery of the Stock being delivered on such Delivery Date on the terms and in the manner contemplated in the Prospectus.</w:t>
      </w:r>
    </w:p>
    <w:p>
      <w:pPr>
        <w:spacing w:after="0" w:line="81" w:lineRule="exact"/>
        <w:rPr>
          <w:sz w:val="20"/>
          <w:szCs w:val="20"/>
          <w:color w:val="auto"/>
        </w:rPr>
      </w:pPr>
    </w:p>
    <w:p>
      <w:pPr>
        <w:ind w:left="1080" w:hanging="212"/>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New York Stock Exchange shall have approved the Stock for listing, subject only to official notice of issuance.</w:t>
      </w:r>
    </w:p>
    <w:p>
      <w:pPr>
        <w:spacing w:after="0" w:line="117" w:lineRule="exact"/>
        <w:rPr>
          <w:rFonts w:ascii="Arial" w:cs="Arial" w:eastAsia="Arial" w:hAnsi="Arial"/>
          <w:sz w:val="18"/>
          <w:szCs w:val="18"/>
          <w:color w:val="auto"/>
        </w:rPr>
      </w:pPr>
    </w:p>
    <w:p>
      <w:pPr>
        <w:ind w:left="440" w:right="180" w:firstLine="428"/>
        <w:spacing w:after="0" w:line="259" w:lineRule="auto"/>
        <w:tabs>
          <w:tab w:leader="none" w:pos="116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Lock-Up Agreements, each substantially in the form of Exhibit A hereto, between the Representatives and Post, officers and directors of the Company and/or BellRing Brands, LLC relating to sales and certain other dispositions of shares of Common Stock, membership interests and certain other securities, delivered to the Representatives on or before the date hereof, shall be in full force and effect on such Delivery Date.</w:t>
      </w:r>
    </w:p>
    <w:p>
      <w:pPr>
        <w:spacing w:after="0" w:line="78" w:lineRule="exact"/>
        <w:rPr>
          <w:rFonts w:ascii="Arial" w:cs="Arial" w:eastAsia="Arial" w:hAnsi="Arial"/>
          <w:sz w:val="18"/>
          <w:szCs w:val="18"/>
          <w:color w:val="auto"/>
        </w:rPr>
      </w:pPr>
    </w:p>
    <w:p>
      <w:pPr>
        <w:ind w:left="440" w:right="60" w:firstLine="428"/>
        <w:spacing w:after="0" w:line="259" w:lineRule="auto"/>
        <w:tabs>
          <w:tab w:leader="none" w:pos="111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 shall have furnished to the Representatives on the date hereof and on each Delivery Date, a certificate, dated as of date hereof or the Delivery Date, as applicable, of the Chief Financial Officer of the Company, in the name and on behalf of the Company and not in his individual capacity, with respect to certain financial data set forth in the Time of Sale Prospectus or the Prospectus, as applicable, substantially in the form attached hereto as Exhibit D.</w:t>
      </w:r>
    </w:p>
    <w:p>
      <w:pPr>
        <w:spacing w:after="0" w:line="78" w:lineRule="exact"/>
        <w:rPr>
          <w:rFonts w:ascii="Arial" w:cs="Arial" w:eastAsia="Arial" w:hAnsi="Arial"/>
          <w:sz w:val="18"/>
          <w:szCs w:val="18"/>
          <w:color w:val="auto"/>
        </w:rPr>
      </w:pPr>
    </w:p>
    <w:p>
      <w:pPr>
        <w:ind w:left="440" w:firstLine="428"/>
        <w:spacing w:after="0" w:line="277" w:lineRule="auto"/>
        <w:tabs>
          <w:tab w:leader="none" w:pos="111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FINRA shall have confirmed that it has not raised any objection with respect to the fairness and reasonableness of the underwriting terms and arrangements relating to the offering of the Stock.</w:t>
      </w:r>
    </w:p>
    <w:p>
      <w:pPr>
        <w:spacing w:after="0" w:line="62" w:lineRule="exact"/>
        <w:rPr>
          <w:rFonts w:ascii="Arial" w:cs="Arial" w:eastAsia="Arial" w:hAnsi="Arial"/>
          <w:sz w:val="18"/>
          <w:szCs w:val="18"/>
          <w:color w:val="auto"/>
        </w:rPr>
      </w:pPr>
    </w:p>
    <w:p>
      <w:pPr>
        <w:ind w:left="440" w:right="380" w:firstLine="428"/>
        <w:spacing w:after="0" w:line="277" w:lineRule="auto"/>
        <w:tabs>
          <w:tab w:leader="none" w:pos="111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On or prior to each Delivery Date, each of the BellRing Parties shall have furnished to the Underwriters such further certificates and documents as the Representatives may reasonably request.</w:t>
      </w:r>
    </w:p>
    <w:p>
      <w:pPr>
        <w:spacing w:after="0" w:line="170" w:lineRule="exact"/>
        <w:rPr>
          <w:sz w:val="20"/>
          <w:szCs w:val="20"/>
          <w:color w:val="auto"/>
        </w:rPr>
      </w:pPr>
    </w:p>
    <w:p>
      <w:pPr>
        <w:ind w:right="120" w:firstLine="992"/>
        <w:spacing w:after="0" w:line="277" w:lineRule="auto"/>
        <w:rPr>
          <w:sz w:val="20"/>
          <w:szCs w:val="20"/>
          <w:color w:val="auto"/>
        </w:rPr>
      </w:pPr>
      <w:r>
        <w:rPr>
          <w:rFonts w:ascii="Arial" w:cs="Arial" w:eastAsia="Arial" w:hAnsi="Arial"/>
          <w:sz w:val="18"/>
          <w:szCs w:val="18"/>
          <w:color w:val="auto"/>
        </w:rPr>
        <w:t>All opinions, letters, evidence and certificates mentioned above or elsewhere in this Agreement shall be deemed to be in compliance with the provisions hereof only if they are in form and substance reasonably satisfactory to counsel for the Underwriters.</w:t>
      </w:r>
    </w:p>
    <w:p>
      <w:pPr>
        <w:spacing w:after="0" w:line="62" w:lineRule="exact"/>
        <w:rPr>
          <w:sz w:val="20"/>
          <w:szCs w:val="20"/>
          <w:color w:val="auto"/>
        </w:rPr>
      </w:pPr>
    </w:p>
    <w:p>
      <w:pPr>
        <w:ind w:left="1180" w:hanging="184"/>
        <w:spacing w:after="0"/>
        <w:tabs>
          <w:tab w:leader="none" w:pos="1180" w:val="left"/>
        </w:tabs>
        <w:numPr>
          <w:ilvl w:val="1"/>
          <w:numId w:val="168"/>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w:t>
      </w:r>
    </w:p>
    <w:p>
      <w:pPr>
        <w:spacing w:after="0" w:line="117" w:lineRule="exact"/>
        <w:rPr>
          <w:rFonts w:ascii="Arial" w:cs="Arial" w:eastAsia="Arial" w:hAnsi="Arial"/>
          <w:sz w:val="18"/>
          <w:szCs w:val="18"/>
          <w:color w:val="auto"/>
        </w:rPr>
      </w:pPr>
    </w:p>
    <w:p>
      <w:pPr>
        <w:ind w:left="440" w:right="80" w:firstLine="428"/>
        <w:spacing w:after="0" w:line="264" w:lineRule="auto"/>
        <w:tabs>
          <w:tab w:leader="none" w:pos="110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Each of the BellRing Parties, jointly and severally, hereby agrees to indemnify and hold harmless each Underwriter, its affiliates, directors, officers and employees and each person, if any, who controls any Underwriter within the meaning of Section 15 of the Securities Act or Section 20 of the Exchange Act, from and against 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264" w:name="page265"/>
    <w:bookmarkEnd w:id="26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 claim, damage or liability, joint or several, or any action in respect thereof (including, but not limited to, any loss, claim, damage, liability or action relating to purchases and sales of Stock), to which that Underwriter, affiliate, director, officer, employee or controlling person may become subject, under the Securities Act or otherwise, insofar as such loss, claim, damage, liability or action arises out of, or is based upon, (i) any untrue statement or alleged untrue statement of a material fact contained in (A) the Time of Sale Prospectus, the Registration Statement, the Prospectus or any amendment or supplement thereto, (B) any free writing prospectus or any amendment or supplement thereto, (C) any Permitted Issuer Information used or referred to in any “free writing prospectus” (as defined in Rule 405 under the Securities Act) used or referred to by any Underwriter, (D) any Written Testing-the-Waters Communication; (E) any materials or information provided to investors by, or with the approval of, the Company in connection with the marketing of the offering of the Stock, including any “road show” (as defined in Rule 433 under the Securities Act) not constituting a free writing prospectus (“</w:t>
      </w:r>
      <w:r>
        <w:rPr>
          <w:rFonts w:ascii="Arial" w:cs="Arial" w:eastAsia="Arial" w:hAnsi="Arial"/>
          <w:sz w:val="16"/>
          <w:szCs w:val="16"/>
          <w:b w:val="1"/>
          <w:bCs w:val="1"/>
          <w:color w:val="auto"/>
        </w:rPr>
        <w:t>Marketing Materials</w:t>
      </w:r>
      <w:r>
        <w:rPr>
          <w:rFonts w:ascii="Arial" w:cs="Arial" w:eastAsia="Arial" w:hAnsi="Arial"/>
          <w:sz w:val="16"/>
          <w:szCs w:val="16"/>
          <w:color w:val="auto"/>
        </w:rPr>
        <w:t>”), or (E) any Blue Sky application or other document prepared or executed by the Company (or based upon any written information furnished by the Company) specifically for the purpose of qualifying any or all of the Stock under the securities laws of any state or other jurisdiction (any such application, document or information being hereinafter called a “</w:t>
      </w:r>
      <w:r>
        <w:rPr>
          <w:rFonts w:ascii="Arial" w:cs="Arial" w:eastAsia="Arial" w:hAnsi="Arial"/>
          <w:sz w:val="16"/>
          <w:szCs w:val="16"/>
          <w:b w:val="1"/>
          <w:bCs w:val="1"/>
          <w:color w:val="auto"/>
        </w:rPr>
        <w:t>Blue Sky Application</w:t>
      </w:r>
      <w:r>
        <w:rPr>
          <w:rFonts w:ascii="Arial" w:cs="Arial" w:eastAsia="Arial" w:hAnsi="Arial"/>
          <w:sz w:val="16"/>
          <w:szCs w:val="16"/>
          <w:color w:val="auto"/>
        </w:rPr>
        <w:t xml:space="preserve">”) or (ii) the omission or alleged omission to state in the Time of Sale Prospectus, the Registration Statement, the Prospectus, any free writing prospectus or any amendment or supplement thereto or in any Permitted Issuer Information, any Written Testing-the-Waters Communication, any Marketing Materials or any Blue Sky Application, any material fact required to be stated therein or necessary to make the statements therein (except in the case of the Registration Statement, in light of the circumstances under which they were made) not misleading, and shall reimburse each Underwriter and each such affiliate, director, officer, employee or controlling person promptly upon demand for any legal or other expenses reasonably incurred by that Underwriter, affiliate, director, officer, employee or controlling person in connection with investigating or defending or preparing to defend against any such loss, claim, damage, liability or action as such expenses are incurred;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BellRing Parties shall not be liable in any such case to the extent that any such loss, claim, damage, liability or action arises out of, or is based upon, any untrue statement or alleged untrue statement or omission or alleged omission made in the Time of Sale Prospectus, the Registration Statement, the Prospectus, any free writing prospectus or any such amendment or supplement thereto, or in any Permitted Issuer Information, any Written Testing-the-Waters Communication, any Marketing Materials or any Blue Sky Application, in reliance upon and in conformity with written information concerning such Underwriter furnished to the Company through the Representatives by or on behalf of any Underwriter specifically for inclusion therein, which information consists solely of the information specified in Section 8(f). The foregoing indemnity agreement is in addition to any liability that the BellRing Parties may otherwise have to any Underwriter or to any affiliate, director, officer, employee or controlling person of that Underwriter.</w:t>
      </w:r>
    </w:p>
    <w:p>
      <w:pPr>
        <w:spacing w:after="0" w:line="3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80"/>
          </w:cols>
          <w:pgMar w:left="880" w:top="274" w:right="439" w:bottom="1440" w:gutter="0" w:footer="0" w:header="0"/>
        </w:sectPr>
      </w:pPr>
    </w:p>
    <w:bookmarkStart w:id="265" w:name="page266"/>
    <w:bookmarkEnd w:id="265"/>
    <w:p>
      <w:pPr>
        <w:ind w:right="20" w:firstLine="428"/>
        <w:spacing w:after="0" w:line="286" w:lineRule="auto"/>
        <w:tabs>
          <w:tab w:leader="none" w:pos="678" w:val="left"/>
        </w:tabs>
        <w:numPr>
          <w:ilvl w:val="0"/>
          <w:numId w:val="1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Underwriter, severally and not jointly, hereby agrees to indemnify and hold harmless the BellRing Parties and their respective officers, employees, directors, and each person, if any, who controls the BellRing Parties within the meaning of Section 15 of the Securities Act or Section 20 of the Exchange Act, from and against any loss, claim, damage or liability, joint or several, or any action in respect thereof, to which the BellRing Parties or any such director, officer, employee or controlling person may become subject, under the Securities Act or otherwise, insofar as such loss, claim, damage, liability or action arises out of, or is based upon, (i) any untrue statement or alleged untrue statement of a material fact contained in the Time of Sale Prospectus, the Registration Statement, the Prospectus, any free writing prospectus or any amendment or supplement thereto, any Written Testing-the-Waters Communication or any Marketing Materials or Blue Sky Application, or (ii) the omission or alleged omission to state in the Time of Sale Prospectus, the Registration Statement, the Prospectus, any free writing prospectus or any amendment or supplement thereto, any Written Testing-the-Waters Communication or any Marketing Materials or Blue Sky Application, any material fact required to be stated therein or necessary to make the statements therein (except in the case of the Registration Statement, in light of the circumstances under which they were made) not misleading, but in each case only to the extent that the untrue statement or alleged untrue statement or omission or alleged omission was made in reliance upon and in conformity with written information concerning such Underwriter furnished to the Company through the Representatives by or on behalf of that Underwriter specifically for inclusion therein, which information is limited to the information set forth in Section 8(f). The foregoing indemnity agreement is in addition to any liability that any Underwriter may otherwise have to the BellRing Parties or any such director, officer, employee or controlling person.</w:t>
      </w:r>
    </w:p>
    <w:p>
      <w:pPr>
        <w:spacing w:after="0" w:line="60" w:lineRule="exact"/>
        <w:rPr>
          <w:rFonts w:ascii="Arial" w:cs="Arial" w:eastAsia="Arial" w:hAnsi="Arial"/>
          <w:sz w:val="16"/>
          <w:szCs w:val="16"/>
          <w:color w:val="auto"/>
        </w:rPr>
      </w:pPr>
    </w:p>
    <w:p>
      <w:pPr>
        <w:ind w:firstLine="428"/>
        <w:spacing w:after="0" w:line="268" w:lineRule="auto"/>
        <w:tabs>
          <w:tab w:leader="none" w:pos="668" w:val="left"/>
        </w:tabs>
        <w:numPr>
          <w:ilvl w:val="0"/>
          <w:numId w:val="170"/>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paragraph (a) or (b) above of notice of any claim or the commencement of any action, the indemnified party shall, if a claim in respect thereof is to be made against the indemnifying party under paragraph (a) or (b) above, notify the indemnifying party in writing of the claim or the commencement of that action; provided, however, that the failure to notify the indemnifying party shall not relieve it from any liability that it may have under paragraph (a) or (b) above except to the extent it has been materially prejudiced (through the forfeiture of substantive rights or defenses) by such failure; provided, further, that the failure to notify the indemnifying party shall not relieve it from any liability that it may have to an indemnified party otherwise than under paragraph (a) or (b) above.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under this Section 8 for any legal or other expenses subsequently incurred by the indemnified party in connection with the defense thereof other than reasonable and costs of investigation; provided, however, that the Underwriters shall have the right to employ counsel to represent jointly the Underwriters and their respective affiliates, directors, officers, employees and controlling persons who may be subject to liability arising out of any claim in respect of which indemnity may be sought by the</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60"/>
          </w:cols>
          <w:pgMar w:left="880" w:top="274" w:right="459" w:bottom="1440" w:gutter="0" w:footer="0" w:header="0"/>
        </w:sectPr>
      </w:pPr>
    </w:p>
    <w:bookmarkStart w:id="266" w:name="page267"/>
    <w:bookmarkEnd w:id="26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Underwriters against the Company or BellRing Brands, LLC under this Section 8, but the fees and expenses of such counsel shall be at the expense of the Underwriters unless (i) the BellRing Parties and the Underwriters shall have so mutually agreed; (ii) the BellRing Parties shall have failed within a reasonable time to retain counsel reasonably satisfactory to the Underwriters; (iii) the Underwriters and their respective affiliates, directors, officers, employees and controlling persons shall have reasonably concluded, based on the advice of counsel, that there may be legal defenses available to them that are different from or in addition to those available to the BellRing Parties; or (iv) the named parties in any such proceeding (including any impleaded parties) include both the Underwriters or their respective affiliates, directors, officers, employees or controlling persons, on the one hand, and the BellRing Parties, on the other hand, and representation of both sets of parties by the same counsel would present a conflict due to actual or potential differing interests between them, and in any such event the reasonable and documented fees and expenses of such separate counsel shall be paid by the BellRing Parties. In no event shall the indemnifying parties be liable for the reasonable fees and expenses of more than one counsel (together with one local counsel in each jurisdiction) at any time for all indemnified parties in connection with any one action or separate but substantially similar or related actions arising in the same jurisdiction out of the same general allegations or circumstances; provided that if the use of such counsel chosen to represent all indemnified parties would present such counsel with a conflict of interest, each indemnified party shall have the right to select separate counsel to defend such action on behalf of such indemnified party and the indemnifying party shall be liable for the reasonable and documented fees and expenses of such counsel and that of the other indemnified parties for the QIU in its capacity as a “qualified independent underwriter” and all persons, if any, who control the QIU within the meaning of Section 15 of the Securities Act or Section 20 of Exchange Act in connection with any one action or separate but similar or related actions in the same jurisdiction arising out of the same general allegations or circumstances if, in the reasonable judgment of the QIU, there may exist a conflict of interest between the QIU and the other indemnified parties. Any such separate counsel for the QIU and such control persons of the QIU shall be designated in writing by the QIU. No indemnifying party shall (x)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such indemnified party from all liability arising out of such claim, action, suit or proceeding and does not include a statement as to, or an admission of, fault, culpability or a failure to act by or on behalf of any indemnified party, or (y)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32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80"/>
          </w:cols>
          <w:pgMar w:left="880" w:top="274" w:right="439" w:bottom="1440" w:gutter="0" w:footer="0" w:header="0"/>
        </w:sectPr>
      </w:pPr>
    </w:p>
    <w:bookmarkStart w:id="267" w:name="page268"/>
    <w:bookmarkEnd w:id="267"/>
    <w:p>
      <w:pPr>
        <w:ind w:firstLine="428"/>
        <w:spacing w:after="0" w:line="284" w:lineRule="auto"/>
        <w:tabs>
          <w:tab w:leader="none" w:pos="678" w:val="left"/>
        </w:tabs>
        <w:numPr>
          <w:ilvl w:val="0"/>
          <w:numId w:val="1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indemnification provided for in this Section 8 shall for any reason be unavailable to or insufficient to hold harmless an indemnified party under Section 8(a) and 8(b) in respect of any loss, claim, damage or liability, or any action in respect thereof, referred to therein, for which such indemnification would otherwise be available pursuant to its terms,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BellRing Parties, on the one hand, and the Underwriters, on the other, from the offering of the Stock, or (ii) if the allocation provided by clause (i) above is not permitted by applicable law, in such proportion as is appropriate to reflect not only the relative benefits referred to in clause (i) above but also the relative fault of the BellRing Parties, on the one hand, and the Underwriters, on the other, with respect to the statements or omissions that resulted in such loss, claim, damage or liability, or action in respect thereof, as well as any other relevant equitable considerations. The relative benefits received by the BellRing Parties, on the one hand, and the Underwriters, on the other, with respect to such offering shall be deemed to be in the same proportion as the total net proceeds from the offering of the Stock purchased under this Agreement (before deducting expenses) received by the Company, as set forth in the table on the cover page of the Prospectus, on the one hand, and the total underwriting discounts and commissions received by the Underwriters with respect to the shares of Stock purchased under this Agreement, as set forth in the table on the cover page of the Prospectus, on the other hand. The relative fault shall be determined by reference to whether the untrue or alleged untrue statement of a material fact or omission or alleged omission to state a material fact relates to information supplied by the BellRing Parties or the Underwriters, the intent of the parties and their relative knowledge, access to information and opportunity to correct or prevent such statement or omission. The BellRing Parties and the Underwriters agree that it would not be just and equitable if contribution pursuant to this Section 8(d)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8(d) shall be deemed to include, for purposes of this Section 8(d) and subject to the limitations set forth above, any legal or other expenses reasonably incurred by such indemnified party in connection with investigating or defending any such action or claim. Notwithstanding the provisions of this Section 8(d), in no event shall an Underwriter be required to contribute any amount in excess of the amount by which the discount received by it exceeds the amount of any damages that such Underwriter has otherwise paid or become liable to pay by reason of any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respective obligations to contribute as provided in this Section 8(d) are several in proportion to their respective underwriting obligations hereunder and not joint.</w:t>
      </w:r>
    </w:p>
    <w:p>
      <w:pPr>
        <w:spacing w:after="0" w:line="32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60"/>
          </w:cols>
          <w:pgMar w:left="880" w:top="274" w:right="459" w:bottom="1440" w:gutter="0" w:footer="0" w:header="0"/>
        </w:sectPr>
      </w:pPr>
    </w:p>
    <w:bookmarkStart w:id="268" w:name="page269"/>
    <w:bookmarkEnd w:id="268"/>
    <w:p>
      <w:pPr>
        <w:ind w:left="420" w:right="260" w:firstLine="428"/>
        <w:spacing w:after="0" w:line="257" w:lineRule="auto"/>
        <w:tabs>
          <w:tab w:leader="none" w:pos="1088"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to and without limitation of the Company’s obligation to indemnify Barclays Capital Inc. as an Underwriter, the Company also agrees to indemnify and hold harmless the QIU, its Affiliates and selling agents and each person, if any, who controls the QIU within the meaning of Section 15 of the Securities Act or Section 20 of the Exchange Act, from and against any and all loss, liability, claim, damage and expense whatsoever, as incurred, incurred as a result of the QIU’s participation as a “qualified independent underwriter” within the meaning of Rule 5121 in connection with the offering of the Stock.</w:t>
      </w:r>
    </w:p>
    <w:p>
      <w:pPr>
        <w:spacing w:after="0" w:line="80" w:lineRule="exact"/>
        <w:rPr>
          <w:rFonts w:ascii="Arial" w:cs="Arial" w:eastAsia="Arial" w:hAnsi="Arial"/>
          <w:sz w:val="18"/>
          <w:szCs w:val="18"/>
          <w:color w:val="auto"/>
        </w:rPr>
      </w:pPr>
    </w:p>
    <w:p>
      <w:pPr>
        <w:ind w:left="420" w:right="180" w:firstLine="428"/>
        <w:spacing w:after="0" w:line="273" w:lineRule="auto"/>
        <w:tabs>
          <w:tab w:leader="none" w:pos="1068"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Underwriters severally confirm and each of the BellRing Parties acknowledges and agrees that the statements regarding the concession and reallowance figures and the paragraphs relating to overallotment, stabilization and covering transactions by the Underwriters appearing under the caption “Underwriting” in the Time of Sale Prospectus and the Prospectus are correct and constitute the only information concerning such Underwriters furnished in writing to the Company by or on behalf of the Underwriters specifically for inclusion in the Time of Sale Prospectus, the Registration Statement, the Prospectus, any free writing prospectus or any amendment or supplement thereto, any Blue Sky Application, any Written Testing-the-Waters Communication or any Marketing Materials.</w:t>
      </w:r>
    </w:p>
    <w:p>
      <w:pPr>
        <w:spacing w:after="0" w:line="70" w:lineRule="exact"/>
        <w:rPr>
          <w:rFonts w:ascii="Arial" w:cs="Arial" w:eastAsia="Arial" w:hAnsi="Arial"/>
          <w:sz w:val="17"/>
          <w:szCs w:val="17"/>
          <w:color w:val="auto"/>
        </w:rPr>
      </w:pPr>
    </w:p>
    <w:p>
      <w:pPr>
        <w:ind w:left="420" w:right="80" w:firstLine="428"/>
        <w:spacing w:after="0" w:line="277" w:lineRule="auto"/>
        <w:tabs>
          <w:tab w:leader="none" w:pos="109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Company and the Underwriters agree that Barclays Capital Inc. will not receive any additional benefits hereunder for serving as the QIU in connection with the offering and sale of the Stock.</w:t>
      </w:r>
    </w:p>
    <w:p>
      <w:pPr>
        <w:spacing w:after="0" w:line="62" w:lineRule="exact"/>
        <w:rPr>
          <w:rFonts w:ascii="Arial" w:cs="Arial" w:eastAsia="Arial" w:hAnsi="Arial"/>
          <w:sz w:val="18"/>
          <w:szCs w:val="18"/>
          <w:color w:val="auto"/>
        </w:rPr>
      </w:pPr>
    </w:p>
    <w:p>
      <w:pPr>
        <w:ind w:left="-20" w:firstLine="996"/>
        <w:spacing w:after="0" w:line="288" w:lineRule="auto"/>
        <w:tabs>
          <w:tab w:leader="none" w:pos="1152" w:val="left"/>
        </w:tabs>
        <w:numPr>
          <w:ilvl w:val="1"/>
          <w:numId w:val="172"/>
        </w:numPr>
        <w:rPr>
          <w:rFonts w:ascii="Arial" w:cs="Arial" w:eastAsia="Arial" w:hAnsi="Arial"/>
          <w:sz w:val="16"/>
          <w:szCs w:val="16"/>
          <w:color w:val="auto"/>
        </w:rPr>
      </w:pPr>
      <w:r>
        <w:rPr>
          <w:rFonts w:ascii="Arial" w:cs="Arial" w:eastAsia="Arial" w:hAnsi="Arial"/>
          <w:sz w:val="16"/>
          <w:szCs w:val="16"/>
          <w:i w:val="1"/>
          <w:iCs w:val="1"/>
          <w:color w:val="auto"/>
        </w:rPr>
        <w:t>Defaulting Underwriters</w:t>
      </w:r>
      <w:r>
        <w:rPr>
          <w:rFonts w:ascii="Arial" w:cs="Arial" w:eastAsia="Arial" w:hAnsi="Arial"/>
          <w:sz w:val="16"/>
          <w:szCs w:val="16"/>
          <w:color w:val="auto"/>
        </w:rPr>
        <w:t>. If any Underwriter or Underwriters default in their obligations to purchase the Stock hereunder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number of shares of the Stock that such defaulting Underwriter or Underwriters agreed but failed to purchase does not exceed 10% of the total number of shares of the Stock, the Representatives may make arrangements satisfactory to the Company for the purchase of such Stock by other persons, including any of the Underwriters, but if no such arrangements are made by the Delivery Date, the non-defaulting Underwriters shall be obligated severally, in proportion to their respective commitments hereunder, to purchase the Stock that such defaulting Underwriter agreed but failed to purchase. If any Underwriter or Underwriters so default and the aggregate number of shares of the Stock with respect to which such default or defaults occur exceeds 10% of the total number of shares of the Stock and arrangements satisfactory to the Representatives and the Company for the purchase of such Stock by other persons are not made within 36 hours after such default, this Agreement will terminate without liability on the part of any non-defaulting Underwriter or the Company, except as provided in Section 15. As used in this Agreement, the term “Underwriter” includes any person substituted for an Underwriter under this Section. Nothing herein will relieve a defaulting Underwriter from liability for its default.</w:t>
      </w:r>
    </w:p>
    <w:p>
      <w:pPr>
        <w:spacing w:after="0" w:line="61" w:lineRule="exact"/>
        <w:rPr>
          <w:rFonts w:ascii="Arial" w:cs="Arial" w:eastAsia="Arial" w:hAnsi="Arial"/>
          <w:sz w:val="16"/>
          <w:szCs w:val="16"/>
          <w:color w:val="auto"/>
        </w:rPr>
      </w:pPr>
    </w:p>
    <w:p>
      <w:pPr>
        <w:ind w:left="-20" w:firstLine="996"/>
        <w:spacing w:after="0" w:line="259" w:lineRule="auto"/>
        <w:tabs>
          <w:tab w:leader="none" w:pos="1242" w:val="left"/>
        </w:tabs>
        <w:numPr>
          <w:ilvl w:val="1"/>
          <w:numId w:val="172"/>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Company acknowledges and agrees that the obligations of the Underwriters hereunder may be terminated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by notice given to and received by the Company prior to delivery of and payment for the Firm Stock by the Underwriters if, prior to that time, any of the events described in Sections 7(h), 7(i) and 7(j) shall have occurred or if the Underwriters shall decline to purchase the Stock for any reason permitted under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60" w:top="274" w:right="459" w:bottom="1440" w:gutter="0" w:footer="0" w:header="0"/>
        </w:sectPr>
      </w:pPr>
    </w:p>
    <w:bookmarkStart w:id="269" w:name="page270"/>
    <w:bookmarkEnd w:id="269"/>
    <w:p>
      <w:pPr>
        <w:ind w:right="20" w:firstLine="996"/>
        <w:spacing w:after="0" w:line="291" w:lineRule="auto"/>
        <w:tabs>
          <w:tab w:leader="none" w:pos="1255" w:val="left"/>
        </w:tabs>
        <w:numPr>
          <w:ilvl w:val="0"/>
          <w:numId w:val="17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Reimbursement of Underwriters’ Expenses. </w:t>
      </w:r>
      <w:r>
        <w:rPr>
          <w:rFonts w:ascii="Arial" w:cs="Arial" w:eastAsia="Arial" w:hAnsi="Arial"/>
          <w:sz w:val="16"/>
          <w:szCs w:val="16"/>
          <w:color w:val="auto"/>
        </w:rPr>
        <w:t>If (a) the Company shall fail to tender the Stock for delivery to the Underwriters for any</w:t>
      </w:r>
      <w:r>
        <w:rPr>
          <w:rFonts w:ascii="Arial" w:cs="Arial" w:eastAsia="Arial" w:hAnsi="Arial"/>
          <w:sz w:val="16"/>
          <w:szCs w:val="16"/>
          <w:i w:val="1"/>
          <w:iCs w:val="1"/>
          <w:color w:val="auto"/>
        </w:rPr>
        <w:t xml:space="preserve"> </w:t>
      </w:r>
      <w:r>
        <w:rPr>
          <w:rFonts w:ascii="Arial" w:cs="Arial" w:eastAsia="Arial" w:hAnsi="Arial"/>
          <w:sz w:val="16"/>
          <w:szCs w:val="16"/>
          <w:color w:val="auto"/>
        </w:rPr>
        <w:t>reason, or (b) the Underwriters shall decline to purchase the Stock for any reason permitted under this Agreement (other than the failure of the condition set forth in Section 7(j) of this Agreement to be satisfied (other than a halt in trading of the securities of the Company)), the Company will reimburse the Underwriters for all reasonable out-of-pocket expenses (including reasonable and documented fees and disbursements of outside counsel for the Underwriters) incurred by the Underwriters in connection with this Agreement and the proposed purchase and sale of the Stock, and upon demand the Company shall pay the full amount thereof to the Representatives. If this Agreement is terminated pursuant to Section 9 by reason of the default of one or more Underwriters, the Company shall not be obligated to reimburse any defaulting Underwriter on account of those expenses.</w:t>
      </w:r>
    </w:p>
    <w:p>
      <w:pPr>
        <w:spacing w:after="0" w:line="59" w:lineRule="exact"/>
        <w:rPr>
          <w:rFonts w:ascii="Arial" w:cs="Arial" w:eastAsia="Arial" w:hAnsi="Arial"/>
          <w:sz w:val="16"/>
          <w:szCs w:val="16"/>
          <w:color w:val="auto"/>
        </w:rPr>
      </w:pPr>
    </w:p>
    <w:p>
      <w:pPr>
        <w:ind w:right="20" w:firstLine="996"/>
        <w:spacing w:after="0" w:line="270" w:lineRule="auto"/>
        <w:tabs>
          <w:tab w:leader="none" w:pos="1262" w:val="left"/>
        </w:tabs>
        <w:numPr>
          <w:ilvl w:val="0"/>
          <w:numId w:val="173"/>
        </w:numPr>
        <w:rPr>
          <w:rFonts w:ascii="Arial" w:cs="Arial" w:eastAsia="Arial" w:hAnsi="Arial"/>
          <w:sz w:val="17"/>
          <w:szCs w:val="17"/>
          <w:color w:val="auto"/>
        </w:rPr>
      </w:pPr>
      <w:r>
        <w:rPr>
          <w:rFonts w:ascii="Arial" w:cs="Arial" w:eastAsia="Arial" w:hAnsi="Arial"/>
          <w:sz w:val="17"/>
          <w:szCs w:val="17"/>
          <w:i w:val="1"/>
          <w:iCs w:val="1"/>
          <w:color w:val="auto"/>
        </w:rPr>
        <w:t xml:space="preserve">Research Analyst Independence. </w:t>
      </w:r>
      <w:r>
        <w:rPr>
          <w:rFonts w:ascii="Arial" w:cs="Arial" w:eastAsia="Arial" w:hAnsi="Arial"/>
          <w:sz w:val="17"/>
          <w:szCs w:val="17"/>
          <w:color w:val="auto"/>
        </w:rPr>
        <w:t>The Company acknowledges that the Underwriters’ research analysts and research departments are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hereby waives and releases, to the fullest extent permitted by law, any claims that the Company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by such Underwriters’ investment banking divisions. The Company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69" w:lineRule="exact"/>
        <w:rPr>
          <w:rFonts w:ascii="Arial" w:cs="Arial" w:eastAsia="Arial" w:hAnsi="Arial"/>
          <w:sz w:val="17"/>
          <w:szCs w:val="17"/>
          <w:color w:val="auto"/>
        </w:rPr>
      </w:pPr>
    </w:p>
    <w:p>
      <w:pPr>
        <w:ind w:left="1260" w:hanging="264"/>
        <w:spacing w:after="0"/>
        <w:tabs>
          <w:tab w:leader="none" w:pos="1260"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 xml:space="preserve">Notices, etc. </w:t>
      </w:r>
      <w:r>
        <w:rPr>
          <w:rFonts w:ascii="Arial" w:cs="Arial" w:eastAsia="Arial" w:hAnsi="Arial"/>
          <w:sz w:val="18"/>
          <w:szCs w:val="18"/>
          <w:color w:val="auto"/>
        </w:rPr>
        <w:t>All statements, requests, notices and agreements hereunder shall be in writing, and:</w:t>
      </w:r>
    </w:p>
    <w:p>
      <w:pPr>
        <w:spacing w:after="0" w:line="117" w:lineRule="exact"/>
        <w:rPr>
          <w:rFonts w:ascii="Arial" w:cs="Arial" w:eastAsia="Arial" w:hAnsi="Arial"/>
          <w:sz w:val="18"/>
          <w:szCs w:val="18"/>
          <w:color w:val="auto"/>
        </w:rPr>
      </w:pPr>
    </w:p>
    <w:p>
      <w:pPr>
        <w:ind w:left="1000" w:firstLine="397"/>
        <w:spacing w:after="0" w:line="257" w:lineRule="auto"/>
        <w:tabs>
          <w:tab w:leader="none" w:pos="1646" w:val="left"/>
        </w:tabs>
        <w:numPr>
          <w:ilvl w:val="1"/>
          <w:numId w:val="173"/>
        </w:numPr>
        <w:rPr>
          <w:rFonts w:ascii="Arial" w:cs="Arial" w:eastAsia="Arial" w:hAnsi="Arial"/>
          <w:sz w:val="18"/>
          <w:szCs w:val="18"/>
          <w:color w:val="auto"/>
        </w:rPr>
      </w:pPr>
      <w:r>
        <w:rPr>
          <w:rFonts w:ascii="Arial" w:cs="Arial" w:eastAsia="Arial" w:hAnsi="Arial"/>
          <w:sz w:val="18"/>
          <w:szCs w:val="18"/>
          <w:color w:val="auto"/>
        </w:rPr>
        <w:t>if to any Underwriter, shall be delivered or sent by hand delivery, mail, overnight courier or facsimile transmission to Morgan Stanley &amp; Co. LLC, 1585 Broadway, New York, New York 10036, Attention: Equity Syndicate Desk, with a copy to the Legal Department and with a copy to Latham &amp; Watkins LLP, Attention: Ian D. Schuman (Fax: 212-751-4864); provided, however, that any notice to an Underwriter pursuant to Section 8(b) shall be delivered or sent by hand delivery, mail, facsimile or electronic transmission to such Underwriter.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270" w:name="page271"/>
    <w:bookmarkEnd w:id="270"/>
    <w:p>
      <w:pPr>
        <w:ind w:left="980" w:right="40" w:firstLine="397"/>
        <w:spacing w:after="0" w:line="276" w:lineRule="auto"/>
        <w:tabs>
          <w:tab w:leader="none" w:pos="1636" w:val="left"/>
        </w:tabs>
        <w:numPr>
          <w:ilvl w:val="1"/>
          <w:numId w:val="1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to the Company and/or BellRing Brands, LLC, shall be delivered or sent by mail, overnight courier or email to BellRing Brands, Inc., 2503 S. Hanley Road, St. Louis, MO 63144, Attention: General Counsel (email craig.rosenthal@bellringbrands.com), with a copy to Lewis Rice LLC, 600 Washington, Suite 2500, St. Louis, MO 63101, Attention: Tom Zook (Fax: 314-612-7671). Any such statements, requests, notices or agreements shall take effect at the time of receipt thereof. The Company shall be entitled to act and rely upon any request, consent, notice or agreement given or made on behalf of the Underwriters by the Representatives.</w:t>
      </w:r>
    </w:p>
    <w:p>
      <w:pPr>
        <w:spacing w:after="0" w:line="64" w:lineRule="exact"/>
        <w:rPr>
          <w:rFonts w:ascii="Arial" w:cs="Arial" w:eastAsia="Arial" w:hAnsi="Arial"/>
          <w:sz w:val="17"/>
          <w:szCs w:val="17"/>
          <w:color w:val="auto"/>
        </w:rPr>
      </w:pPr>
    </w:p>
    <w:p>
      <w:pPr>
        <w:ind w:left="-20" w:right="120" w:firstLine="996"/>
        <w:spacing w:after="0" w:line="273" w:lineRule="auto"/>
        <w:tabs>
          <w:tab w:leader="none" w:pos="1242" w:val="left"/>
        </w:tabs>
        <w:numPr>
          <w:ilvl w:val="0"/>
          <w:numId w:val="175"/>
        </w:numPr>
        <w:rPr>
          <w:rFonts w:ascii="Arial" w:cs="Arial" w:eastAsia="Arial" w:hAnsi="Arial"/>
          <w:sz w:val="17"/>
          <w:szCs w:val="17"/>
          <w:color w:val="auto"/>
        </w:rPr>
      </w:pPr>
      <w:r>
        <w:rPr>
          <w:rFonts w:ascii="Arial" w:cs="Arial" w:eastAsia="Arial" w:hAnsi="Arial"/>
          <w:sz w:val="17"/>
          <w:szCs w:val="17"/>
          <w:i w:val="1"/>
          <w:iCs w:val="1"/>
          <w:color w:val="auto"/>
        </w:rPr>
        <w:t>Persons Entitled to Benefit of Agreement</w:t>
      </w:r>
      <w:r>
        <w:rPr>
          <w:rFonts w:ascii="Arial" w:cs="Arial" w:eastAsia="Arial" w:hAnsi="Arial"/>
          <w:sz w:val="17"/>
          <w:szCs w:val="17"/>
          <w:color w:val="auto"/>
        </w:rPr>
        <w:t>. This Agreement shall inure to the benefit of and be binding upon the Underwriters, the</w:t>
      </w:r>
      <w:r>
        <w:rPr>
          <w:rFonts w:ascii="Arial" w:cs="Arial" w:eastAsia="Arial" w:hAnsi="Arial"/>
          <w:sz w:val="17"/>
          <w:szCs w:val="17"/>
          <w:i w:val="1"/>
          <w:iCs w:val="1"/>
          <w:color w:val="auto"/>
        </w:rPr>
        <w:t xml:space="preserve"> </w:t>
      </w:r>
      <w:r>
        <w:rPr>
          <w:rFonts w:ascii="Arial" w:cs="Arial" w:eastAsia="Arial" w:hAnsi="Arial"/>
          <w:sz w:val="17"/>
          <w:szCs w:val="17"/>
          <w:color w:val="auto"/>
        </w:rPr>
        <w:t>BellRing Parties and its and their respective successors. This Agreement and the terms and provisions hereof are for the sole benefit of only those persons, except that the representations, warranties, indemnities and agreements contained in this Agreement shall also be deemed to be for the benefit of the other indemnified persons referred to in Section 8(a) and 8(b) and their respective successors and assigns. Nothing in this Agreement is intended or shall be construed to give any person, other than the persons referred to in this Section 14, any legal or equitable right, remedy or claim under or in respect of this Agreement or any provision contained herein.</w:t>
      </w:r>
    </w:p>
    <w:p>
      <w:pPr>
        <w:spacing w:after="0" w:line="70" w:lineRule="exact"/>
        <w:rPr>
          <w:rFonts w:ascii="Arial" w:cs="Arial" w:eastAsia="Arial" w:hAnsi="Arial"/>
          <w:sz w:val="17"/>
          <w:szCs w:val="17"/>
          <w:color w:val="auto"/>
        </w:rPr>
      </w:pPr>
    </w:p>
    <w:p>
      <w:pPr>
        <w:ind w:left="-20" w:right="20" w:firstLine="996"/>
        <w:spacing w:after="0" w:line="259" w:lineRule="auto"/>
        <w:tabs>
          <w:tab w:leader="none" w:pos="1242"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 xml:space="preserve">Survival. </w:t>
      </w:r>
      <w:r>
        <w:rPr>
          <w:rFonts w:ascii="Arial" w:cs="Arial" w:eastAsia="Arial" w:hAnsi="Arial"/>
          <w:sz w:val="18"/>
          <w:szCs w:val="18"/>
          <w:color w:val="auto"/>
        </w:rPr>
        <w:t>The respective indemnities, rights of contribution, representations, warranties and agreements of the BellRing Parties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contained in this Agreement or made by or on behalf of them, respectively, pursuant to this Agreement, shall survive the delivery of the Stock and shall remain in full force and effect, regardless of any termination of this Agreement or any investigation made by or on behalf of any of them or any person controlling any of them.</w:t>
      </w:r>
    </w:p>
    <w:p>
      <w:pPr>
        <w:spacing w:after="0" w:line="78" w:lineRule="exact"/>
        <w:rPr>
          <w:rFonts w:ascii="Arial" w:cs="Arial" w:eastAsia="Arial" w:hAnsi="Arial"/>
          <w:sz w:val="18"/>
          <w:szCs w:val="18"/>
          <w:color w:val="auto"/>
        </w:rPr>
      </w:pPr>
    </w:p>
    <w:p>
      <w:pPr>
        <w:ind w:left="-20" w:firstLine="996"/>
        <w:spacing w:after="0" w:line="264" w:lineRule="auto"/>
        <w:tabs>
          <w:tab w:leader="none" w:pos="1242"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the Terms “Business Day,” “Affiliate” and “Subsidiary.” </w:t>
      </w:r>
      <w:r>
        <w:rPr>
          <w:rFonts w:ascii="Arial" w:cs="Arial" w:eastAsia="Arial" w:hAnsi="Arial"/>
          <w:sz w:val="18"/>
          <w:szCs w:val="18"/>
          <w:color w:val="auto"/>
        </w:rPr>
        <w:t>For purposes of this Agreement, (a) “business day” means any</w:t>
      </w:r>
      <w:r>
        <w:rPr>
          <w:rFonts w:ascii="Arial" w:cs="Arial" w:eastAsia="Arial" w:hAnsi="Arial"/>
          <w:sz w:val="18"/>
          <w:szCs w:val="18"/>
          <w:i w:val="1"/>
          <w:iCs w:val="1"/>
          <w:color w:val="auto"/>
        </w:rPr>
        <w:t xml:space="preserve"> </w:t>
      </w:r>
      <w:r>
        <w:rPr>
          <w:rFonts w:ascii="Arial" w:cs="Arial" w:eastAsia="Arial" w:hAnsi="Arial"/>
          <w:sz w:val="18"/>
          <w:szCs w:val="18"/>
          <w:color w:val="auto"/>
        </w:rPr>
        <w:t>day on which The New York Stock Exchange, Inc. is open for trading, and (b) “affiliate” and “subsidiary” have the meanings set forth in Rule 405 under the Securities Act.</w:t>
      </w:r>
    </w:p>
    <w:p>
      <w:pPr>
        <w:spacing w:after="0" w:line="69" w:lineRule="exact"/>
        <w:rPr>
          <w:rFonts w:ascii="Arial" w:cs="Arial" w:eastAsia="Arial" w:hAnsi="Arial"/>
          <w:sz w:val="18"/>
          <w:szCs w:val="18"/>
          <w:color w:val="auto"/>
        </w:rPr>
      </w:pPr>
    </w:p>
    <w:p>
      <w:pPr>
        <w:ind w:left="-20" w:right="80" w:firstLine="996"/>
        <w:spacing w:after="0" w:line="258" w:lineRule="auto"/>
        <w:tabs>
          <w:tab w:leader="none" w:pos="1242"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This Agreement and any claim, controversy or dispute arising under or related to this Agreement shall be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governed by and construed in accordance with the laws of the State of New York</w:t>
      </w:r>
      <w:r>
        <w:rPr>
          <w:rFonts w:ascii="Arial" w:cs="Arial" w:eastAsia="Arial" w:hAnsi="Arial"/>
          <w:sz w:val="18"/>
          <w:szCs w:val="18"/>
          <w:color w:val="auto"/>
        </w:rPr>
        <w:t>. The parties hereto agree that any suit or proceeding arising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this Agreement will be tried exclusively in the U.S. District Court of the Southern District of New York or, if that court does not have subject matter jurisdiction, in any state court located in The City and County of New York, and the parties hereto agree to submit to the jurisdiction of, and to venue in, such courts.</w:t>
      </w:r>
    </w:p>
    <w:p>
      <w:pPr>
        <w:spacing w:after="0" w:line="79" w:lineRule="exact"/>
        <w:rPr>
          <w:rFonts w:ascii="Arial" w:cs="Arial" w:eastAsia="Arial" w:hAnsi="Arial"/>
          <w:sz w:val="18"/>
          <w:szCs w:val="18"/>
          <w:color w:val="auto"/>
        </w:rPr>
      </w:pPr>
    </w:p>
    <w:p>
      <w:pPr>
        <w:ind w:left="-20" w:right="20" w:firstLine="996"/>
        <w:spacing w:after="0" w:line="342" w:lineRule="auto"/>
        <w:tabs>
          <w:tab w:leader="none" w:pos="1242" w:val="left"/>
        </w:tabs>
        <w:numPr>
          <w:ilvl w:val="0"/>
          <w:numId w:val="175"/>
        </w:numPr>
        <w:rPr>
          <w:rFonts w:ascii="Arial" w:cs="Arial" w:eastAsia="Arial" w:hAnsi="Arial"/>
          <w:sz w:val="16"/>
          <w:szCs w:val="16"/>
          <w:color w:val="auto"/>
        </w:rPr>
      </w:pPr>
      <w:r>
        <w:rPr>
          <w:rFonts w:ascii="Arial" w:cs="Arial" w:eastAsia="Arial" w:hAnsi="Arial"/>
          <w:sz w:val="16"/>
          <w:szCs w:val="16"/>
          <w:i w:val="1"/>
          <w:iCs w:val="1"/>
          <w:color w:val="auto"/>
        </w:rPr>
        <w:t>Waiver of Jury Trial</w:t>
      </w:r>
      <w:r>
        <w:rPr>
          <w:rFonts w:ascii="Arial" w:cs="Arial" w:eastAsia="Arial" w:hAnsi="Arial"/>
          <w:sz w:val="16"/>
          <w:szCs w:val="16"/>
          <w:color w:val="auto"/>
        </w:rPr>
        <w:t>. The BellRing Parties and the Underwriters hereby irrevocably waive, to the fullest extent permitted by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law, any and all right to trial by jury in any legal proceeding arising out of or relating to this Agreement or the transactions contemplated hereby.</w:t>
      </w:r>
    </w:p>
    <w:p>
      <w:pPr>
        <w:spacing w:after="0" w:line="15" w:lineRule="exact"/>
        <w:rPr>
          <w:rFonts w:ascii="Arial" w:cs="Arial" w:eastAsia="Arial" w:hAnsi="Arial"/>
          <w:sz w:val="16"/>
          <w:szCs w:val="16"/>
          <w:color w:val="auto"/>
        </w:rPr>
      </w:pPr>
    </w:p>
    <w:p>
      <w:pPr>
        <w:ind w:left="-20" w:right="140" w:firstLine="996"/>
        <w:spacing w:after="0" w:line="259" w:lineRule="auto"/>
        <w:tabs>
          <w:tab w:leader="none" w:pos="1242"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No Fiduciary Duty</w:t>
      </w:r>
      <w:r>
        <w:rPr>
          <w:rFonts w:ascii="Arial" w:cs="Arial" w:eastAsia="Arial" w:hAnsi="Arial"/>
          <w:sz w:val="18"/>
          <w:szCs w:val="18"/>
          <w:color w:val="auto"/>
        </w:rPr>
        <w:t>. The Company acknowledges and agrees that in connection with this offering, sale of the Stock or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the Underwriters may be deemed to be providing hereunder, notwithstanding any preexisting relationship, advisory or otherwise, between the parties or any oral representations or assurances previously or subsequently made by the Underwriters: (a) no fiduciary or agency relationship between the Company and any other person,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60" w:top="274" w:right="459" w:bottom="1440" w:gutter="0" w:footer="0" w:header="0"/>
        </w:sectPr>
      </w:pPr>
    </w:p>
    <w:bookmarkStart w:id="271" w:name="page272"/>
    <w:bookmarkEnd w:id="271"/>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the one hand, and the Underwriters, on the other hand, exists; (b) the Underwriters are not acting as advisors, expert or otherwise, to the Company, including, without limitation, with respect to the determination of the public offering price of the Stock, and such relationship between the Company, on the one hand, and the Underwriters, on the other, is entirely and solely commercial, based on arms-length negotiations; (c) any duties and obligations that the Underwriters may have to the Company shall be limited to those duties and obligations specifically stated herein; and (d) the Underwriters and their respective affiliates may have interests that differ from those of the Company. The Company hereby waives and agrees not to assert any claims that the Company may have against the Underwriters with respect to any breach of fiduciary duty in connection with this offering.</w:t>
      </w:r>
    </w:p>
    <w:p>
      <w:pPr>
        <w:spacing w:after="0" w:line="57" w:lineRule="exact"/>
        <w:rPr>
          <w:sz w:val="20"/>
          <w:szCs w:val="20"/>
          <w:color w:val="auto"/>
        </w:rPr>
      </w:pPr>
    </w:p>
    <w:p>
      <w:pPr>
        <w:jc w:val="both"/>
        <w:ind w:right="200" w:firstLine="996"/>
        <w:spacing w:after="0" w:line="264" w:lineRule="auto"/>
        <w:tabs>
          <w:tab w:leader="none" w:pos="1262"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Patriot Act</w:t>
      </w:r>
      <w:r>
        <w:rPr>
          <w:rFonts w:ascii="Arial" w:cs="Arial" w:eastAsia="Arial" w:hAnsi="Arial"/>
          <w:sz w:val="18"/>
          <w:szCs w:val="18"/>
          <w:color w:val="auto"/>
        </w:rPr>
        <w:t>. In accordance with the requirements of the USA PATRIOT Act (Title III of Pub. L, 107-56 (signed into law October 26,</w:t>
      </w:r>
      <w:r>
        <w:rPr>
          <w:rFonts w:ascii="Arial" w:cs="Arial" w:eastAsia="Arial" w:hAnsi="Arial"/>
          <w:sz w:val="18"/>
          <w:szCs w:val="18"/>
          <w:i w:val="1"/>
          <w:iCs w:val="1"/>
          <w:color w:val="auto"/>
        </w:rPr>
        <w:t xml:space="preserve"> </w:t>
      </w:r>
      <w:r>
        <w:rPr>
          <w:rFonts w:ascii="Arial" w:cs="Arial" w:eastAsia="Arial" w:hAnsi="Arial"/>
          <w:sz w:val="18"/>
          <w:szCs w:val="18"/>
          <w:color w:val="auto"/>
        </w:rPr>
        <w:t>2001)), the 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73" w:lineRule="exact"/>
        <w:rPr>
          <w:rFonts w:ascii="Arial" w:cs="Arial" w:eastAsia="Arial" w:hAnsi="Arial"/>
          <w:sz w:val="18"/>
          <w:szCs w:val="18"/>
          <w:color w:val="auto"/>
        </w:rPr>
      </w:pPr>
    </w:p>
    <w:p>
      <w:pPr>
        <w:ind w:firstLine="996"/>
        <w:spacing w:after="0" w:line="268" w:lineRule="auto"/>
        <w:tabs>
          <w:tab w:leader="none" w:pos="1262" w:val="left"/>
        </w:tabs>
        <w:numPr>
          <w:ilvl w:val="0"/>
          <w:numId w:val="176"/>
        </w:numPr>
        <w:rPr>
          <w:rFonts w:ascii="Arial" w:cs="Arial" w:eastAsia="Arial" w:hAnsi="Arial"/>
          <w:sz w:val="17"/>
          <w:szCs w:val="17"/>
          <w:color w:val="auto"/>
        </w:rPr>
      </w:pPr>
      <w:r>
        <w:rPr>
          <w:rFonts w:ascii="Arial" w:cs="Arial" w:eastAsia="Arial" w:hAnsi="Arial"/>
          <w:sz w:val="17"/>
          <w:szCs w:val="17"/>
          <w:i w:val="1"/>
          <w:iCs w:val="1"/>
          <w:color w:val="auto"/>
        </w:rPr>
        <w:t>Recognition of the U.S. Special Resolution Regimes</w:t>
      </w:r>
      <w:r>
        <w:rPr>
          <w:rFonts w:ascii="Arial" w:cs="Arial" w:eastAsia="Arial" w:hAnsi="Arial"/>
          <w:sz w:val="17"/>
          <w:szCs w:val="17"/>
          <w:color w:val="auto"/>
        </w:rPr>
        <w:t>. In the event that (a) any Underwriter that is a Covered Entity becomes subject to a</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and (b)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For purposes of this Section a “</w:t>
      </w:r>
      <w:r>
        <w:rPr>
          <w:rFonts w:ascii="Arial" w:cs="Arial" w:eastAsia="Arial" w:hAnsi="Arial"/>
          <w:sz w:val="17"/>
          <w:szCs w:val="17"/>
          <w:b w:val="1"/>
          <w:bCs w:val="1"/>
          <w:i w:val="1"/>
          <w:iCs w:val="1"/>
          <w:color w:val="auto"/>
        </w:rPr>
        <w:t>BHC Act Affiliate</w:t>
      </w:r>
      <w:r>
        <w:rPr>
          <w:rFonts w:ascii="Arial" w:cs="Arial" w:eastAsia="Arial" w:hAnsi="Arial"/>
          <w:sz w:val="17"/>
          <w:szCs w:val="17"/>
          <w:color w:val="auto"/>
        </w:rPr>
        <w:t>” has the meaning assigned to the term “affiliate” in, and shall be interpreted in accordance with, 12 U.S.C. § 1841(k). “</w:t>
      </w:r>
      <w:r>
        <w:rPr>
          <w:rFonts w:ascii="Arial" w:cs="Arial" w:eastAsia="Arial" w:hAnsi="Arial"/>
          <w:sz w:val="17"/>
          <w:szCs w:val="17"/>
          <w:b w:val="1"/>
          <w:bCs w:val="1"/>
          <w:i w:val="1"/>
          <w:iCs w:val="1"/>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7"/>
          <w:szCs w:val="17"/>
          <w:b w:val="1"/>
          <w:bCs w:val="1"/>
          <w:i w:val="1"/>
          <w:iCs w:val="1"/>
          <w:color w:val="auto"/>
        </w:rPr>
        <w:t>Default Right</w:t>
      </w:r>
      <w:r>
        <w:rPr>
          <w:rFonts w:ascii="Arial" w:cs="Arial" w:eastAsia="Arial" w:hAnsi="Arial"/>
          <w:sz w:val="17"/>
          <w:szCs w:val="17"/>
          <w:color w:val="auto"/>
        </w:rPr>
        <w:t>” has the meaning assigned to that term in, and shall be interpreted in accordance with, 12 C.F.R. §§ 252.81, 47.2 or 382.1, as applicable. “</w:t>
      </w:r>
      <w:r>
        <w:rPr>
          <w:rFonts w:ascii="Arial" w:cs="Arial" w:eastAsia="Arial" w:hAnsi="Arial"/>
          <w:sz w:val="17"/>
          <w:szCs w:val="17"/>
          <w:b w:val="1"/>
          <w:bCs w:val="1"/>
          <w:i w:val="1"/>
          <w:iCs w:val="1"/>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77" w:lineRule="exact"/>
        <w:rPr>
          <w:rFonts w:ascii="Arial" w:cs="Arial" w:eastAsia="Arial" w:hAnsi="Arial"/>
          <w:sz w:val="17"/>
          <w:szCs w:val="17"/>
          <w:color w:val="auto"/>
        </w:rPr>
      </w:pPr>
    </w:p>
    <w:p>
      <w:pPr>
        <w:ind w:right="20" w:firstLine="996"/>
        <w:spacing w:after="0" w:line="259" w:lineRule="auto"/>
        <w:tabs>
          <w:tab w:leader="none" w:pos="1262"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together with any contemporaneous written agreements and any prior written agreements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not superseded by this Agreement) that relate to the offering of the Stock, represents the entire agreement between the Company and the Underwriters with respect to the preparation of the Time of Sale Prospectus, the Prospectus, the conduct of the offering, and the purchase and sale of the Stock.</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272" w:name="page273"/>
    <w:bookmarkEnd w:id="272"/>
    <w:p>
      <w:pPr>
        <w:ind w:left="-996" w:right="20" w:firstLine="996"/>
        <w:spacing w:after="0" w:line="342" w:lineRule="auto"/>
        <w:tabs>
          <w:tab w:leader="none" w:pos="266" w:val="left"/>
        </w:tabs>
        <w:numPr>
          <w:ilvl w:val="0"/>
          <w:numId w:val="17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Counterparts. </w:t>
      </w:r>
      <w:r>
        <w:rPr>
          <w:rFonts w:ascii="Arial" w:cs="Arial" w:eastAsia="Arial" w:hAnsi="Arial"/>
          <w:sz w:val="16"/>
          <w:szCs w:val="16"/>
          <w:color w:val="auto"/>
        </w:rPr>
        <w:t>This Agreement may be executed in one or more counterparts and, if executed in more than one counterpart,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executed counterparts shall each be deemed to be an original but all such counterparts shall together constitute one and the same instrument.</w:t>
      </w:r>
    </w:p>
    <w:p>
      <w:pPr>
        <w:spacing w:after="0" w:line="15" w:lineRule="exact"/>
        <w:rPr>
          <w:rFonts w:ascii="Arial" w:cs="Arial" w:eastAsia="Arial" w:hAnsi="Arial"/>
          <w:sz w:val="16"/>
          <w:szCs w:val="16"/>
          <w:color w:val="auto"/>
        </w:rPr>
      </w:pPr>
    </w:p>
    <w:p>
      <w:pPr>
        <w:ind w:left="-996" w:firstLine="996"/>
        <w:spacing w:after="0" w:line="277" w:lineRule="auto"/>
        <w:tabs>
          <w:tab w:leader="none" w:pos="266"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inserted for convenience of reference only and are not intended to be part of, or to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or interpretation of, this Agreement.</w:t>
      </w:r>
    </w:p>
    <w:p>
      <w:pPr>
        <w:spacing w:after="0" w:line="103" w:lineRule="exact"/>
        <w:rPr>
          <w:sz w:val="20"/>
          <w:szCs w:val="20"/>
          <w:color w:val="auto"/>
        </w:rPr>
      </w:pPr>
    </w:p>
    <w:p>
      <w:pPr>
        <w:ind w:left="4424"/>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9424"/>
          </w:cols>
          <w:pgMar w:left="1436" w:top="274" w:right="1039" w:bottom="1440" w:gutter="0" w:footer="0" w:header="0"/>
        </w:sectPr>
      </w:pPr>
    </w:p>
    <w:bookmarkStart w:id="273" w:name="page274"/>
    <w:bookmarkEnd w:id="273"/>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correctly sets forth the agreement among the Company and the Underwriters, please indicate your acceptance in the space provided for that purpose below.</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Darcy Horn Davenport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Title: President and Chief Executive Officer</w:t>
      </w:r>
    </w:p>
    <w:p>
      <w:pPr>
        <w:spacing w:after="0" w:line="22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BellRing Brands,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Darcy Horn Davenport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Title: President and Chief Executive Officer</w:t>
      </w:r>
    </w:p>
    <w:p>
      <w:pPr>
        <w:spacing w:after="0" w:line="22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[U</w:t>
      </w:r>
      <w:r>
        <w:rPr>
          <w:rFonts w:ascii="Arial" w:cs="Arial" w:eastAsia="Arial" w:hAnsi="Arial"/>
          <w:sz w:val="15"/>
          <w:szCs w:val="15"/>
          <w:color w:val="auto"/>
        </w:rPr>
        <w:t>NDERWRITING</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0400"/>
          </w:cols>
          <w:pgMar w:left="440" w:top="274" w:right="105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ORGAN</w:t>
      </w:r>
      <w:r>
        <w:rPr>
          <w:rFonts w:ascii="Arial" w:cs="Arial" w:eastAsia="Arial" w:hAnsi="Arial"/>
          <w:sz w:val="18"/>
          <w:szCs w:val="18"/>
          <w:color w:val="auto"/>
        </w:rPr>
        <w:t xml:space="preserve"> S</w:t>
      </w:r>
      <w:r>
        <w:rPr>
          <w:rFonts w:ascii="Arial" w:cs="Arial" w:eastAsia="Arial" w:hAnsi="Arial"/>
          <w:sz w:val="15"/>
          <w:szCs w:val="15"/>
          <w:color w:val="auto"/>
        </w:rPr>
        <w:t>TANLEY</w:t>
      </w:r>
      <w:r>
        <w:rPr>
          <w:rFonts w:ascii="Arial" w:cs="Arial" w:eastAsia="Arial" w:hAnsi="Arial"/>
          <w:sz w:val="18"/>
          <w:szCs w:val="18"/>
          <w:color w:val="auto"/>
        </w:rPr>
        <w:t xml:space="preserve"> &amp; C</w:t>
      </w:r>
      <w:r>
        <w:rPr>
          <w:rFonts w:ascii="Arial" w:cs="Arial" w:eastAsia="Arial" w:hAnsi="Arial"/>
          <w:sz w:val="15"/>
          <w:szCs w:val="15"/>
          <w:color w:val="auto"/>
        </w:rPr>
        <w:t>O</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5"/>
          <w:szCs w:val="15"/>
          <w:color w:val="auto"/>
        </w:rPr>
        <w:t>OLDMAN</w:t>
      </w:r>
      <w:r>
        <w:rPr>
          <w:rFonts w:ascii="Arial" w:cs="Arial" w:eastAsia="Arial" w:hAnsi="Arial"/>
          <w:sz w:val="18"/>
          <w:szCs w:val="18"/>
          <w:color w:val="auto"/>
        </w:rPr>
        <w:t xml:space="preserve"> S</w:t>
      </w:r>
      <w:r>
        <w:rPr>
          <w:rFonts w:ascii="Arial" w:cs="Arial" w:eastAsia="Arial" w:hAnsi="Arial"/>
          <w:sz w:val="15"/>
          <w:szCs w:val="15"/>
          <w:color w:val="auto"/>
        </w:rPr>
        <w:t>ACHS</w:t>
      </w:r>
      <w:r>
        <w:rPr>
          <w:rFonts w:ascii="Arial" w:cs="Arial" w:eastAsia="Arial" w:hAnsi="Arial"/>
          <w:sz w:val="18"/>
          <w:szCs w:val="18"/>
          <w:color w:val="auto"/>
        </w:rPr>
        <w:t xml:space="preserve"> &amp; C</w:t>
      </w:r>
      <w:r>
        <w:rPr>
          <w:rFonts w:ascii="Arial" w:cs="Arial" w:eastAsia="Arial" w:hAnsi="Arial"/>
          <w:sz w:val="15"/>
          <w:szCs w:val="15"/>
          <w:color w:val="auto"/>
        </w:rPr>
        <w:t>O</w:t>
      </w:r>
      <w:r>
        <w:rPr>
          <w:rFonts w:ascii="Arial" w:cs="Arial" w:eastAsia="Arial" w:hAnsi="Arial"/>
          <w:sz w:val="18"/>
          <w:szCs w:val="18"/>
          <w:color w:val="auto"/>
        </w:rPr>
        <w: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ITIGROUP</w:t>
      </w:r>
      <w:r>
        <w:rPr>
          <w:rFonts w:ascii="Arial" w:cs="Arial" w:eastAsia="Arial" w:hAnsi="Arial"/>
          <w:sz w:val="18"/>
          <w:szCs w:val="18"/>
          <w:color w:val="auto"/>
        </w:rPr>
        <w:t xml:space="preserve"> G</w:t>
      </w:r>
      <w:r>
        <w:rPr>
          <w:rFonts w:ascii="Arial" w:cs="Arial" w:eastAsia="Arial" w:hAnsi="Arial"/>
          <w:sz w:val="15"/>
          <w:szCs w:val="15"/>
          <w:color w:val="auto"/>
        </w:rPr>
        <w:t>LOBAL</w:t>
      </w:r>
      <w:r>
        <w:rPr>
          <w:rFonts w:ascii="Arial" w:cs="Arial" w:eastAsia="Arial" w:hAnsi="Arial"/>
          <w:sz w:val="18"/>
          <w:szCs w:val="18"/>
          <w:color w:val="auto"/>
        </w:rPr>
        <w:t xml:space="preserve"> M</w:t>
      </w:r>
      <w:r>
        <w:rPr>
          <w:rFonts w:ascii="Arial" w:cs="Arial" w:eastAsia="Arial" w:hAnsi="Arial"/>
          <w:sz w:val="15"/>
          <w:szCs w:val="15"/>
          <w:color w:val="auto"/>
        </w:rPr>
        <w:t>ARKETS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5"/>
          <w:szCs w:val="15"/>
          <w:color w:val="auto"/>
        </w:rPr>
        <w:t>ORGAN</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M</w:t>
      </w:r>
      <w:r>
        <w:rPr>
          <w:rFonts w:ascii="Arial" w:cs="Arial" w:eastAsia="Arial" w:hAnsi="Arial"/>
          <w:sz w:val="15"/>
          <w:szCs w:val="15"/>
          <w:color w:val="auto"/>
        </w:rPr>
        <w:t>ORGAN</w:t>
      </w:r>
      <w:r>
        <w:rPr>
          <w:rFonts w:ascii="Arial" w:cs="Arial" w:eastAsia="Arial" w:hAnsi="Arial"/>
          <w:sz w:val="18"/>
          <w:szCs w:val="18"/>
          <w:color w:val="auto"/>
        </w:rPr>
        <w:t xml:space="preserve"> S</w:t>
      </w:r>
      <w:r>
        <w:rPr>
          <w:rFonts w:ascii="Arial" w:cs="Arial" w:eastAsia="Arial" w:hAnsi="Arial"/>
          <w:sz w:val="15"/>
          <w:szCs w:val="15"/>
          <w:color w:val="auto"/>
        </w:rPr>
        <w:t>TANLEY</w:t>
      </w:r>
      <w:r>
        <w:rPr>
          <w:rFonts w:ascii="Arial" w:cs="Arial" w:eastAsia="Arial" w:hAnsi="Arial"/>
          <w:sz w:val="18"/>
          <w:szCs w:val="18"/>
          <w:color w:val="auto"/>
        </w:rPr>
        <w:t xml:space="preserve"> &amp; C</w:t>
      </w:r>
      <w:r>
        <w:rPr>
          <w:rFonts w:ascii="Arial" w:cs="Arial" w:eastAsia="Arial" w:hAnsi="Arial"/>
          <w:sz w:val="15"/>
          <w:szCs w:val="15"/>
          <w:color w:val="auto"/>
        </w:rPr>
        <w:t>O</w:t>
      </w:r>
      <w:r>
        <w:rPr>
          <w:rFonts w:ascii="Arial" w:cs="Arial" w:eastAsia="Arial" w:hAnsi="Arial"/>
          <w:sz w:val="18"/>
          <w:szCs w:val="18"/>
          <w:color w:val="auto"/>
        </w:rPr>
        <w:t xml:space="preserve">. LLC, as </w:t>
      </w:r>
      <w:r>
        <w:rPr>
          <w:rFonts w:ascii="Arial" w:cs="Arial" w:eastAsia="Arial" w:hAnsi="Arial"/>
          <w:sz w:val="18"/>
          <w:szCs w:val="18"/>
          <w:i w:val="1"/>
          <w:iCs w:val="1"/>
          <w:color w:val="auto"/>
        </w:rPr>
        <w:t>Authorized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Representative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14605</wp:posOffset>
            </wp:positionV>
            <wp:extent cx="25984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G</w:t>
      </w:r>
      <w:r>
        <w:rPr>
          <w:rFonts w:ascii="Arial" w:cs="Arial" w:eastAsia="Arial" w:hAnsi="Arial"/>
          <w:sz w:val="15"/>
          <w:szCs w:val="15"/>
          <w:color w:val="auto"/>
        </w:rPr>
        <w:t>OLDMAN</w:t>
      </w:r>
      <w:r>
        <w:rPr>
          <w:rFonts w:ascii="Arial" w:cs="Arial" w:eastAsia="Arial" w:hAnsi="Arial"/>
          <w:sz w:val="18"/>
          <w:szCs w:val="18"/>
          <w:color w:val="auto"/>
        </w:rPr>
        <w:t xml:space="preserve"> S</w:t>
      </w:r>
      <w:r>
        <w:rPr>
          <w:rFonts w:ascii="Arial" w:cs="Arial" w:eastAsia="Arial" w:hAnsi="Arial"/>
          <w:sz w:val="15"/>
          <w:szCs w:val="15"/>
          <w:color w:val="auto"/>
        </w:rPr>
        <w:t>ACHS</w:t>
      </w:r>
      <w:r>
        <w:rPr>
          <w:rFonts w:ascii="Arial" w:cs="Arial" w:eastAsia="Arial" w:hAnsi="Arial"/>
          <w:sz w:val="18"/>
          <w:szCs w:val="18"/>
          <w:color w:val="auto"/>
        </w:rPr>
        <w:t xml:space="preserve"> &amp; C</w:t>
      </w:r>
      <w:r>
        <w:rPr>
          <w:rFonts w:ascii="Arial" w:cs="Arial" w:eastAsia="Arial" w:hAnsi="Arial"/>
          <w:sz w:val="15"/>
          <w:szCs w:val="15"/>
          <w:color w:val="auto"/>
        </w:rPr>
        <w:t>O</w:t>
      </w:r>
      <w:r>
        <w:rPr>
          <w:rFonts w:ascii="Arial" w:cs="Arial" w:eastAsia="Arial" w:hAnsi="Arial"/>
          <w:sz w:val="18"/>
          <w:szCs w:val="18"/>
          <w:color w:val="auto"/>
        </w:rPr>
        <w:t xml:space="preserve">. LLC, as </w:t>
      </w:r>
      <w:r>
        <w:rPr>
          <w:rFonts w:ascii="Arial" w:cs="Arial" w:eastAsia="Arial" w:hAnsi="Arial"/>
          <w:sz w:val="18"/>
          <w:szCs w:val="18"/>
          <w:i w:val="1"/>
          <w:iCs w:val="1"/>
          <w:color w:val="auto"/>
        </w:rPr>
        <w:t>Authorized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Representative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14605</wp:posOffset>
            </wp:positionV>
            <wp:extent cx="25984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C</w:t>
      </w:r>
      <w:r>
        <w:rPr>
          <w:rFonts w:ascii="Arial" w:cs="Arial" w:eastAsia="Arial" w:hAnsi="Arial"/>
          <w:sz w:val="15"/>
          <w:szCs w:val="15"/>
          <w:color w:val="auto"/>
        </w:rPr>
        <w:t>ITIGROUP</w:t>
      </w:r>
      <w:r>
        <w:rPr>
          <w:rFonts w:ascii="Arial" w:cs="Arial" w:eastAsia="Arial" w:hAnsi="Arial"/>
          <w:sz w:val="18"/>
          <w:szCs w:val="18"/>
          <w:color w:val="auto"/>
        </w:rPr>
        <w:t xml:space="preserve"> G</w:t>
      </w:r>
      <w:r>
        <w:rPr>
          <w:rFonts w:ascii="Arial" w:cs="Arial" w:eastAsia="Arial" w:hAnsi="Arial"/>
          <w:sz w:val="15"/>
          <w:szCs w:val="15"/>
          <w:color w:val="auto"/>
        </w:rPr>
        <w:t>LOBAL</w:t>
      </w:r>
      <w:r>
        <w:rPr>
          <w:rFonts w:ascii="Arial" w:cs="Arial" w:eastAsia="Arial" w:hAnsi="Arial"/>
          <w:sz w:val="18"/>
          <w:szCs w:val="18"/>
          <w:color w:val="auto"/>
        </w:rPr>
        <w:t xml:space="preserve"> M</w:t>
      </w:r>
      <w:r>
        <w:rPr>
          <w:rFonts w:ascii="Arial" w:cs="Arial" w:eastAsia="Arial" w:hAnsi="Arial"/>
          <w:sz w:val="15"/>
          <w:szCs w:val="15"/>
          <w:color w:val="auto"/>
        </w:rPr>
        <w:t>ARKETS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 xml:space="preserve">., as </w:t>
      </w:r>
      <w:r>
        <w:rPr>
          <w:rFonts w:ascii="Arial" w:cs="Arial" w:eastAsia="Arial" w:hAnsi="Arial"/>
          <w:sz w:val="18"/>
          <w:szCs w:val="18"/>
          <w:i w:val="1"/>
          <w:iCs w:val="1"/>
          <w:color w:val="auto"/>
        </w:rPr>
        <w:t>Authorized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Representative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14605</wp:posOffset>
            </wp:positionV>
            <wp:extent cx="25984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J.P. M</w:t>
      </w:r>
      <w:r>
        <w:rPr>
          <w:rFonts w:ascii="Arial" w:cs="Arial" w:eastAsia="Arial" w:hAnsi="Arial"/>
          <w:sz w:val="15"/>
          <w:szCs w:val="15"/>
          <w:color w:val="auto"/>
        </w:rPr>
        <w:t>ORGAN</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LLC, as </w:t>
      </w:r>
      <w:r>
        <w:rPr>
          <w:rFonts w:ascii="Arial" w:cs="Arial" w:eastAsia="Arial" w:hAnsi="Arial"/>
          <w:sz w:val="18"/>
          <w:szCs w:val="18"/>
          <w:i w:val="1"/>
          <w:iCs w:val="1"/>
          <w:color w:val="auto"/>
        </w:rPr>
        <w:t>Authorized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Representative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14605</wp:posOffset>
            </wp:positionV>
            <wp:extent cx="25984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3359"/>
        <w:spacing w:after="0"/>
        <w:rPr>
          <w:sz w:val="20"/>
          <w:szCs w:val="20"/>
          <w:color w:val="auto"/>
        </w:rPr>
      </w:pPr>
      <w:r>
        <w:rPr>
          <w:rFonts w:ascii="Arial" w:cs="Arial" w:eastAsia="Arial" w:hAnsi="Arial"/>
          <w:sz w:val="18"/>
          <w:szCs w:val="18"/>
          <w:color w:val="auto"/>
        </w:rPr>
        <w:t>[U</w:t>
      </w:r>
      <w:r>
        <w:rPr>
          <w:rFonts w:ascii="Arial" w:cs="Arial" w:eastAsia="Arial" w:hAnsi="Arial"/>
          <w:sz w:val="15"/>
          <w:szCs w:val="15"/>
          <w:color w:val="auto"/>
        </w:rPr>
        <w:t>NDERWRITING</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275" w:name="page276"/>
    <w:bookmarkEnd w:id="275"/>
    <w:p>
      <w:pPr>
        <w:jc w:val="right"/>
        <w:ind w:right="3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wp:posOffset>
            </wp:positionV>
            <wp:extent cx="6997700" cy="1371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7">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6997700" cy="1371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6997700" cy="1371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6997700" cy="1371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Evercore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6997700" cy="137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SunTrust Robsinson Humphrey,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6997700"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6997700" cy="1371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Nomura Securities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6997700" cy="1371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Rabo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6997700" cy="1371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Number of Shares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of Firm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2466340</wp:posOffset>
            </wp:positionV>
            <wp:extent cx="66865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6">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2483485</wp:posOffset>
            </wp:positionV>
            <wp:extent cx="66865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7">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ectPr>
          <w:pgSz w:w="11900" w:h="16838" w:orient="portrait"/>
          <w:cols w:equalWidth="0" w:num="2">
            <w:col w:w="9220" w:space="720"/>
            <w:col w:w="1040"/>
          </w:cols>
          <w:pgMar w:left="440" w:top="270" w:right="479" w:bottom="1440" w:gutter="0" w:footer="0" w:header="0"/>
        </w:sectPr>
      </w:pPr>
    </w:p>
    <w:bookmarkStart w:id="276" w:name="page277"/>
    <w:bookmarkEnd w:id="276"/>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29" w:lineRule="exact"/>
        <w:rPr>
          <w:sz w:val="20"/>
          <w:szCs w:val="20"/>
          <w:color w:val="auto"/>
        </w:rPr>
      </w:pPr>
    </w:p>
    <w:p>
      <w:pPr>
        <w:jc w:val="right"/>
        <w:ind w:right="1939"/>
        <w:spacing w:after="0"/>
        <w:rPr>
          <w:sz w:val="20"/>
          <w:szCs w:val="20"/>
          <w:color w:val="auto"/>
        </w:rPr>
      </w:pPr>
      <w:r>
        <w:rPr>
          <w:rFonts w:ascii="Arial" w:cs="Arial" w:eastAsia="Arial" w:hAnsi="Arial"/>
          <w:sz w:val="18"/>
          <w:szCs w:val="18"/>
          <w:color w:val="auto"/>
        </w:rPr>
        <w:t>PERSONS AND ENTITY DELIVERING LOCK-UP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Entity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Post Holdings,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Robert V. Vitale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Darcy Horn Davenport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P. Erickson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Kuperman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Elliot H. Stein, Jr.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Robert V. Vitale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Darcy Horn Davenport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Paul A. Rode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Douglas J. Cornille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L. Partin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Robin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Craig L. Rosenthal</w:t>
      </w:r>
    </w:p>
    <w:p>
      <w:pPr>
        <w:sectPr>
          <w:pgSz w:w="11900" w:h="16838" w:orient="portrait"/>
          <w:cols w:equalWidth="0" w:num="1">
            <w:col w:w="10019"/>
          </w:cols>
          <w:pgMar w:left="440" w:top="270" w:right="1440" w:bottom="1440" w:gutter="0" w:footer="0" w:header="0"/>
        </w:sectPr>
      </w:pPr>
    </w:p>
    <w:bookmarkStart w:id="277" w:name="page278"/>
    <w:bookmarkEnd w:id="277"/>
    <w:p>
      <w:pPr>
        <w:jc w:val="center"/>
        <w:ind w:right="-888"/>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III</w:t>
      </w:r>
    </w:p>
    <w:p>
      <w:pPr>
        <w:spacing w:after="0" w:line="229" w:lineRule="exact"/>
        <w:rPr>
          <w:sz w:val="20"/>
          <w:szCs w:val="20"/>
          <w:color w:val="auto"/>
        </w:rPr>
      </w:pPr>
    </w:p>
    <w:p>
      <w:pPr>
        <w:ind w:left="3168"/>
        <w:spacing w:after="0"/>
        <w:rPr>
          <w:sz w:val="20"/>
          <w:szCs w:val="20"/>
          <w:color w:val="auto"/>
        </w:rPr>
      </w:pPr>
      <w:r>
        <w:rPr>
          <w:rFonts w:ascii="Arial" w:cs="Arial" w:eastAsia="Arial" w:hAnsi="Arial"/>
          <w:sz w:val="18"/>
          <w:szCs w:val="18"/>
          <w:color w:val="auto"/>
        </w:rPr>
        <w:t>WRITTEN TESTING-THE-WATERS COMMUNICATIONS</w:t>
      </w:r>
    </w:p>
    <w:p>
      <w:pPr>
        <w:spacing w:after="0" w:line="252" w:lineRule="exact"/>
        <w:rPr>
          <w:sz w:val="20"/>
          <w:szCs w:val="20"/>
          <w:color w:val="auto"/>
        </w:rPr>
      </w:pPr>
    </w:p>
    <w:p>
      <w:pPr>
        <w:ind w:left="328" w:hanging="328"/>
        <w:spacing w:after="0"/>
        <w:tabs>
          <w:tab w:leader="none" w:pos="328" w:val="left"/>
        </w:tabs>
        <w:numPr>
          <w:ilvl w:val="0"/>
          <w:numId w:val="178"/>
        </w:numPr>
        <w:rPr>
          <w:rFonts w:ascii="Arial" w:cs="Arial" w:eastAsia="Arial" w:hAnsi="Arial"/>
          <w:sz w:val="16"/>
          <w:szCs w:val="16"/>
          <w:color w:val="auto"/>
        </w:rPr>
      </w:pPr>
      <w:r>
        <w:rPr>
          <w:rFonts w:ascii="Arial" w:cs="Arial" w:eastAsia="Arial" w:hAnsi="Arial"/>
          <w:sz w:val="16"/>
          <w:szCs w:val="16"/>
          <w:color w:val="auto"/>
        </w:rPr>
        <w:t>BellRing Brands, Inc. Testing-the-Waters Presentations in Baltimore, MD, Boston, MA and New York, NY, dated September 2019.</w:t>
      </w:r>
    </w:p>
    <w:p>
      <w:pPr>
        <w:sectPr>
          <w:pgSz w:w="11900" w:h="16838" w:orient="portrait"/>
          <w:cols w:equalWidth="0" w:num="1">
            <w:col w:w="9907"/>
          </w:cols>
          <w:pgMar w:left="552" w:top="270" w:right="1440" w:bottom="1440" w:gutter="0" w:footer="0" w:header="0"/>
        </w:sectPr>
      </w:pPr>
    </w:p>
    <w:bookmarkStart w:id="278" w:name="page279"/>
    <w:bookmarkEnd w:id="278"/>
    <w:p>
      <w:pPr>
        <w:jc w:val="center"/>
        <w:ind w:right="-1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229" w:lineRule="exact"/>
        <w:rPr>
          <w:sz w:val="20"/>
          <w:szCs w:val="20"/>
          <w:color w:val="auto"/>
        </w:rPr>
      </w:pPr>
    </w:p>
    <w:p>
      <w:pPr>
        <w:jc w:val="right"/>
        <w:ind w:right="2979"/>
        <w:spacing w:after="0"/>
        <w:rPr>
          <w:sz w:val="20"/>
          <w:szCs w:val="20"/>
          <w:color w:val="auto"/>
        </w:rPr>
      </w:pPr>
      <w:r>
        <w:rPr>
          <w:rFonts w:ascii="Arial" w:cs="Arial" w:eastAsia="Arial" w:hAnsi="Arial"/>
          <w:sz w:val="18"/>
          <w:szCs w:val="18"/>
          <w:color w:val="auto"/>
        </w:rPr>
        <w:t>CONVEYED PRICING INFORMATION</w:t>
      </w:r>
    </w:p>
    <w:p>
      <w:pPr>
        <w:spacing w:after="0" w:line="252" w:lineRule="exact"/>
        <w:rPr>
          <w:sz w:val="20"/>
          <w:szCs w:val="20"/>
          <w:color w:val="auto"/>
        </w:rPr>
      </w:pPr>
    </w:p>
    <w:p>
      <w:pPr>
        <w:spacing w:after="0"/>
        <w:tabs>
          <w:tab w:leader="none" w:pos="420" w:val="left"/>
          <w:tab w:leader="none" w:pos="10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per share</w:t>
      </w:r>
    </w:p>
    <w:p>
      <w:pPr>
        <w:spacing w:after="0" w:line="131" w:lineRule="exact"/>
        <w:rPr>
          <w:sz w:val="20"/>
          <w:szCs w:val="20"/>
          <w:color w:val="auto"/>
        </w:rPr>
      </w:pPr>
    </w:p>
    <w:p>
      <w:pPr>
        <w:ind w:left="840" w:hanging="836"/>
        <w:spacing w:after="0"/>
        <w:tabs>
          <w:tab w:leader="none" w:pos="8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shares of Firm Stock</w:t>
      </w:r>
    </w:p>
    <w:p>
      <w:pPr>
        <w:sectPr>
          <w:pgSz w:w="11900" w:h="16838" w:orient="portrait"/>
          <w:cols w:equalWidth="0" w:num="1">
            <w:col w:w="10019"/>
          </w:cols>
          <w:pgMar w:left="440" w:top="270" w:right="1440" w:bottom="1440" w:gutter="0" w:footer="0" w:header="0"/>
        </w:sectPr>
      </w:pPr>
    </w:p>
    <w:bookmarkStart w:id="279" w:name="page280"/>
    <w:bookmarkEnd w:id="279"/>
    <w:p>
      <w:pPr>
        <w:jc w:val="center"/>
        <w:ind w:right="-10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V</w:t>
      </w:r>
    </w:p>
    <w:p>
      <w:pPr>
        <w:spacing w:after="0" w:line="229" w:lineRule="exact"/>
        <w:rPr>
          <w:sz w:val="20"/>
          <w:szCs w:val="20"/>
          <w:color w:val="auto"/>
        </w:rPr>
      </w:pPr>
    </w:p>
    <w:p>
      <w:pPr>
        <w:jc w:val="right"/>
        <w:ind w:right="3299"/>
        <w:spacing w:after="0"/>
        <w:rPr>
          <w:sz w:val="20"/>
          <w:szCs w:val="20"/>
          <w:color w:val="auto"/>
        </w:rPr>
      </w:pPr>
      <w:r>
        <w:rPr>
          <w:rFonts w:ascii="Arial" w:cs="Arial" w:eastAsia="Arial" w:hAnsi="Arial"/>
          <w:sz w:val="18"/>
          <w:szCs w:val="18"/>
          <w:color w:val="auto"/>
        </w:rPr>
        <w:t>FREE WRITING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019"/>
          </w:cols>
          <w:pgMar w:left="440" w:top="270" w:right="1440" w:bottom="1440" w:gutter="0" w:footer="0" w:header="0"/>
        </w:sectPr>
      </w:pPr>
    </w:p>
    <w:bookmarkStart w:id="280" w:name="page281"/>
    <w:bookmarkEnd w:id="280"/>
    <w:p>
      <w:pPr>
        <w:jc w:val="center"/>
        <w:ind w:right="-10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VI</w:t>
      </w:r>
    </w:p>
    <w:p>
      <w:pPr>
        <w:spacing w:after="0" w:line="229" w:lineRule="exact"/>
        <w:rPr>
          <w:sz w:val="20"/>
          <w:szCs w:val="20"/>
          <w:color w:val="auto"/>
        </w:rPr>
      </w:pPr>
    </w:p>
    <w:p>
      <w:pPr>
        <w:jc w:val="right"/>
        <w:ind w:right="3799"/>
        <w:spacing w:after="0"/>
        <w:rPr>
          <w:sz w:val="20"/>
          <w:szCs w:val="20"/>
          <w:color w:val="auto"/>
        </w:rPr>
      </w:pPr>
      <w:r>
        <w:rPr>
          <w:rFonts w:ascii="Arial" w:cs="Arial" w:eastAsia="Arial" w:hAnsi="Arial"/>
          <w:sz w:val="18"/>
          <w:szCs w:val="18"/>
          <w:u w:val="single" w:color="auto"/>
          <w:color w:val="auto"/>
        </w:rPr>
        <w:t>List of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TA/DEI-A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Dymatize Enterprises,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Premier Nutrition Company,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Supreme Protein,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Active Nutrition International GmbH</w:t>
      </w:r>
    </w:p>
    <w:p>
      <w:pPr>
        <w:sectPr>
          <w:pgSz w:w="11900" w:h="16838" w:orient="portrait"/>
          <w:cols w:equalWidth="0" w:num="1">
            <w:col w:w="10019"/>
          </w:cols>
          <w:pgMar w:left="440" w:top="270" w:right="1440" w:bottom="1440" w:gutter="0" w:footer="0" w:header="0"/>
        </w:sectPr>
      </w:pPr>
    </w:p>
    <w:bookmarkStart w:id="281" w:name="page282"/>
    <w:bookmarkEnd w:id="28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FORM OF LOCK-UP LETTER AGREEMENT</w:t>
      </w:r>
    </w:p>
    <w:p>
      <w:pPr>
        <w:sectPr>
          <w:pgSz w:w="11900" w:h="16838" w:orient="portrait"/>
          <w:cols w:equalWidth="0" w:num="1">
            <w:col w:w="9019"/>
          </w:cols>
          <w:pgMar w:left="1440" w:top="270" w:right="1440" w:bottom="1440" w:gutter="0" w:footer="0" w:header="0"/>
        </w:sectPr>
      </w:pPr>
    </w:p>
    <w:bookmarkStart w:id="282" w:name="page283"/>
    <w:bookmarkEnd w:id="28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FORM OF OPINION OF LEWIS RICE LLC</w:t>
      </w:r>
    </w:p>
    <w:p>
      <w:pPr>
        <w:sectPr>
          <w:pgSz w:w="11900" w:h="16838" w:orient="portrait"/>
          <w:cols w:equalWidth="0" w:num="1">
            <w:col w:w="9019"/>
          </w:cols>
          <w:pgMar w:left="1440" w:top="270" w:right="1440" w:bottom="1440" w:gutter="0" w:footer="0" w:header="0"/>
        </w:sectPr>
      </w:pPr>
    </w:p>
    <w:bookmarkStart w:id="283" w:name="page284"/>
    <w:bookmarkEnd w:id="28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FORM OF OPINION OF EPSTEIN BECKER &amp; GREEN, P.C.</w:t>
      </w:r>
    </w:p>
    <w:p>
      <w:pPr>
        <w:sectPr>
          <w:pgSz w:w="11900" w:h="16838" w:orient="portrait"/>
          <w:cols w:equalWidth="0" w:num="1">
            <w:col w:w="9019"/>
          </w:cols>
          <w:pgMar w:left="1440" w:top="270" w:right="1440" w:bottom="1440" w:gutter="0" w:footer="0" w:header="0"/>
        </w:sectPr>
      </w:pPr>
    </w:p>
    <w:bookmarkStart w:id="284" w:name="page285"/>
    <w:bookmarkEnd w:id="28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CHIEF FINANCIAL OFFICER’S CERTIFICATE</w:t>
      </w:r>
    </w:p>
    <w:p>
      <w:pPr>
        <w:sectPr>
          <w:pgSz w:w="11900" w:h="16838" w:orient="portrait"/>
          <w:cols w:equalWidth="0" w:num="1">
            <w:col w:w="9019"/>
          </w:cols>
          <w:pgMar w:left="1440" w:top="270" w:right="1440"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General Corporation Law of the State of Delaware)</w:t>
      </w:r>
    </w:p>
    <w:p>
      <w:pPr>
        <w:spacing w:after="0" w:line="211"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BellRing Brands, Inc., a corporation organized and existing under the laws of the State of 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 hereby certifies as follows:</w:t>
      </w:r>
    </w:p>
    <w:p>
      <w:pPr>
        <w:spacing w:after="0" w:line="62" w:lineRule="exact"/>
        <w:rPr>
          <w:sz w:val="20"/>
          <w:szCs w:val="20"/>
          <w:color w:val="auto"/>
        </w:rPr>
      </w:pPr>
    </w:p>
    <w:p>
      <w:pPr>
        <w:ind w:right="800" w:firstLine="441"/>
        <w:spacing w:after="0" w:line="277" w:lineRule="auto"/>
        <w:rPr>
          <w:sz w:val="20"/>
          <w:szCs w:val="20"/>
          <w:color w:val="auto"/>
        </w:rPr>
      </w:pPr>
      <w:r>
        <w:rPr>
          <w:rFonts w:ascii="Arial" w:cs="Arial" w:eastAsia="Arial" w:hAnsi="Arial"/>
          <w:sz w:val="18"/>
          <w:szCs w:val="18"/>
          <w:color w:val="auto"/>
        </w:rPr>
        <w:t>FIRST: The name of the Corporation is BellRing Brands, Inc. The date of filing of its original certificate of incorporation (the “</w:t>
      </w:r>
      <w:r>
        <w:rPr>
          <w:rFonts w:ascii="Arial" w:cs="Arial" w:eastAsia="Arial" w:hAnsi="Arial"/>
          <w:sz w:val="18"/>
          <w:szCs w:val="18"/>
          <w:u w:val="single" w:color="auto"/>
          <w:color w:val="auto"/>
        </w:rPr>
        <w:t>Original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with the Secretary of State of the State of Delaware was March 20, 2019.</w:t>
      </w:r>
    </w:p>
    <w:p>
      <w:pPr>
        <w:spacing w:after="0" w:line="62" w:lineRule="exact"/>
        <w:rPr>
          <w:sz w:val="20"/>
          <w:szCs w:val="20"/>
          <w:color w:val="auto"/>
        </w:rPr>
      </w:pPr>
    </w:p>
    <w:p>
      <w:pPr>
        <w:ind w:right="340" w:firstLine="441"/>
        <w:spacing w:after="0" w:line="259" w:lineRule="auto"/>
        <w:rPr>
          <w:sz w:val="20"/>
          <w:szCs w:val="20"/>
          <w:color w:val="auto"/>
        </w:rPr>
      </w:pPr>
      <w:r>
        <w:rPr>
          <w:rFonts w:ascii="Arial" w:cs="Arial" w:eastAsia="Arial" w:hAnsi="Arial"/>
          <w:sz w:val="18"/>
          <w:szCs w:val="18"/>
          <w:color w:val="auto"/>
        </w:rPr>
        <w:t>SECOND: This Amended and Restated Certificate of Incorporation (this “</w:t>
      </w:r>
      <w:r>
        <w:rPr>
          <w:rFonts w:ascii="Arial" w:cs="Arial" w:eastAsia="Arial" w:hAnsi="Arial"/>
          <w:sz w:val="18"/>
          <w:szCs w:val="18"/>
          <w:u w:val="single" w:color="auto"/>
          <w:color w:val="auto"/>
        </w:rPr>
        <w:t>Amended Certificate of Incorporation</w:t>
      </w:r>
      <w:r>
        <w:rPr>
          <w:rFonts w:ascii="Arial" w:cs="Arial" w:eastAsia="Arial" w:hAnsi="Arial"/>
          <w:sz w:val="18"/>
          <w:szCs w:val="18"/>
          <w:color w:val="auto"/>
        </w:rPr>
        <w:t>”) has been duly adopted in accordance with the provisions of Sections 242 and 245 of the General Corporation Law of the State of Delaware (as from time to time in effect, the “</w:t>
      </w:r>
      <w:r>
        <w:rPr>
          <w:rFonts w:ascii="Arial" w:cs="Arial" w:eastAsia="Arial" w:hAnsi="Arial"/>
          <w:sz w:val="18"/>
          <w:szCs w:val="18"/>
          <w:u w:val="single" w:color="auto"/>
          <w:color w:val="auto"/>
        </w:rPr>
        <w:t>General Corporation Law</w:t>
      </w:r>
      <w:r>
        <w:rPr>
          <w:rFonts w:ascii="Arial" w:cs="Arial" w:eastAsia="Arial" w:hAnsi="Arial"/>
          <w:sz w:val="18"/>
          <w:szCs w:val="18"/>
          <w:color w:val="auto"/>
        </w:rPr>
        <w:t>”) and by the written consent of the holder of all of the outstanding stock entitled to vote thereon in accordance with the provisions of Section 228 of the General Corporation Law.</w:t>
      </w:r>
    </w:p>
    <w:p>
      <w:pPr>
        <w:spacing w:after="0" w:line="79"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THIRD: This Amended Certificate of Incorporation amends and restates in its entirety the Original Certificate of Incorporation of the Corporation to read as follows:</w:t>
      </w:r>
    </w:p>
    <w:p>
      <w:pPr>
        <w:spacing w:after="0" w:line="62" w:lineRule="exact"/>
        <w:rPr>
          <w:sz w:val="20"/>
          <w:szCs w:val="20"/>
          <w:color w:val="auto"/>
        </w:rPr>
      </w:pPr>
    </w:p>
    <w:p>
      <w:pPr>
        <w:ind w:left="620" w:hanging="176"/>
        <w:spacing w:after="0"/>
        <w:tabs>
          <w:tab w:leader="none" w:pos="62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Name</w:t>
      </w:r>
      <w:r>
        <w:rPr>
          <w:rFonts w:ascii="Arial" w:cs="Arial" w:eastAsia="Arial" w:hAnsi="Arial"/>
          <w:sz w:val="18"/>
          <w:szCs w:val="18"/>
          <w:color w:val="auto"/>
        </w:rPr>
        <w:t>. The name of the Corporation is BellRing Brands, Inc.</w:t>
      </w:r>
    </w:p>
    <w:p>
      <w:pPr>
        <w:spacing w:after="0" w:line="117" w:lineRule="exact"/>
        <w:rPr>
          <w:rFonts w:ascii="Arial" w:cs="Arial" w:eastAsia="Arial" w:hAnsi="Arial"/>
          <w:sz w:val="18"/>
          <w:szCs w:val="18"/>
          <w:color w:val="auto"/>
        </w:rPr>
      </w:pPr>
    </w:p>
    <w:p>
      <w:pPr>
        <w:ind w:right="280" w:firstLine="444"/>
        <w:spacing w:after="0" w:line="264" w:lineRule="auto"/>
        <w:tabs>
          <w:tab w:leader="none" w:pos="621"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Address; Registered Office and Agent</w:t>
      </w:r>
      <w:r>
        <w:rPr>
          <w:rFonts w:ascii="Arial" w:cs="Arial" w:eastAsia="Arial" w:hAnsi="Arial"/>
          <w:sz w:val="18"/>
          <w:szCs w:val="18"/>
          <w:color w:val="auto"/>
        </w:rPr>
        <w:t>. The address of the Corporation’s registered office is Corporation Service Company, 251 Little Falls Drive in the City of Wilmington, County of New Castle, Delaware 19808; and the name of its registered agent at such address is Corporation Service Company.</w:t>
      </w:r>
    </w:p>
    <w:p>
      <w:pPr>
        <w:spacing w:after="0" w:line="73" w:lineRule="exact"/>
        <w:rPr>
          <w:rFonts w:ascii="Arial" w:cs="Arial" w:eastAsia="Arial" w:hAnsi="Arial"/>
          <w:sz w:val="18"/>
          <w:szCs w:val="18"/>
          <w:color w:val="auto"/>
        </w:rPr>
      </w:pPr>
    </w:p>
    <w:p>
      <w:pPr>
        <w:ind w:right="120" w:firstLine="444"/>
        <w:spacing w:after="0" w:line="277" w:lineRule="auto"/>
        <w:tabs>
          <w:tab w:leader="none" w:pos="621"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Purposes</w:t>
      </w:r>
      <w:r>
        <w:rPr>
          <w:rFonts w:ascii="Arial" w:cs="Arial" w:eastAsia="Arial" w:hAnsi="Arial"/>
          <w:sz w:val="18"/>
          <w:szCs w:val="18"/>
          <w:color w:val="auto"/>
        </w:rPr>
        <w:t>. The purpose of the Corporation is to engage in any lawful act or activity for which corporations may be organized under the General Corporation Law.</w:t>
      </w:r>
    </w:p>
    <w:p>
      <w:pPr>
        <w:spacing w:after="0" w:line="62" w:lineRule="exact"/>
        <w:rPr>
          <w:rFonts w:ascii="Arial" w:cs="Arial" w:eastAsia="Arial" w:hAnsi="Arial"/>
          <w:sz w:val="18"/>
          <w:szCs w:val="18"/>
          <w:color w:val="auto"/>
        </w:rPr>
      </w:pPr>
    </w:p>
    <w:p>
      <w:pPr>
        <w:ind w:left="620" w:hanging="176"/>
        <w:spacing w:after="0"/>
        <w:tabs>
          <w:tab w:leader="none" w:pos="62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w:t>
      </w:r>
    </w:p>
    <w:p>
      <w:pPr>
        <w:spacing w:after="0" w:line="117" w:lineRule="exact"/>
        <w:rPr>
          <w:sz w:val="20"/>
          <w:szCs w:val="20"/>
          <w:color w:val="auto"/>
        </w:rPr>
      </w:pPr>
    </w:p>
    <w:p>
      <w:pPr>
        <w:ind w:right="200" w:firstLine="992"/>
        <w:spacing w:after="0" w:line="297" w:lineRule="auto"/>
        <w:rPr>
          <w:sz w:val="20"/>
          <w:szCs w:val="20"/>
          <w:color w:val="auto"/>
        </w:rPr>
      </w:pPr>
      <w:r>
        <w:rPr>
          <w:rFonts w:ascii="Arial" w:cs="Arial" w:eastAsia="Arial" w:hAnsi="Arial"/>
          <w:sz w:val="16"/>
          <w:szCs w:val="16"/>
          <w:color w:val="auto"/>
        </w:rPr>
        <w:t>4.1. The total number of shares of all classes of capital stock that the Corporation shall have authority to issue is Five Hundred Fifty Million One (550,000,001) shares, consisting of: (i) Five Hundred Million One (500,000,001) shares of common stock, divided into (a) Five Hundred Million (500,000,000) shares of Class A common stock, with the par value of $0.01 per share (the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and (b) one (1) share of Class B common stock, with the par value of $0.01 per share (the “</w:t>
      </w:r>
      <w:r>
        <w:rPr>
          <w:rFonts w:ascii="Arial" w:cs="Arial" w:eastAsia="Arial" w:hAnsi="Arial"/>
          <w:sz w:val="16"/>
          <w:szCs w:val="16"/>
          <w:u w:val="single" w:color="auto"/>
          <w:color w:val="auto"/>
        </w:rPr>
        <w:t>Class B Common Stock</w:t>
      </w:r>
      <w:r>
        <w:rPr>
          <w:rFonts w:ascii="Arial" w:cs="Arial" w:eastAsia="Arial" w:hAnsi="Arial"/>
          <w:sz w:val="16"/>
          <w:szCs w:val="16"/>
          <w:color w:val="auto"/>
        </w:rPr>
        <w:t>” and, together with the Class A Common Stock, the “</w:t>
      </w:r>
      <w:r>
        <w:rPr>
          <w:rFonts w:ascii="Arial" w:cs="Arial" w:eastAsia="Arial" w:hAnsi="Arial"/>
          <w:sz w:val="16"/>
          <w:szCs w:val="16"/>
          <w:u w:val="single" w:color="auto"/>
          <w:color w:val="auto"/>
        </w:rPr>
        <w:t>Common Stock</w:t>
      </w:r>
      <w:r>
        <w:rPr>
          <w:rFonts w:ascii="Arial" w:cs="Arial" w:eastAsia="Arial" w:hAnsi="Arial"/>
          <w:sz w:val="16"/>
          <w:szCs w:val="16"/>
          <w:color w:val="auto"/>
        </w:rPr>
        <w:t>”); and (ii) Fifty Million (50,000,000) shares of preferred stock, with the par value of $0.01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w:t>
      </w:r>
    </w:p>
    <w:p>
      <w:pPr>
        <w:spacing w:after="0" w:line="50" w:lineRule="exact"/>
        <w:rPr>
          <w:sz w:val="20"/>
          <w:szCs w:val="20"/>
          <w:color w:val="auto"/>
        </w:rPr>
      </w:pPr>
    </w:p>
    <w:p>
      <w:pPr>
        <w:ind w:right="160" w:firstLine="992"/>
        <w:spacing w:after="0" w:line="277" w:lineRule="auto"/>
        <w:rPr>
          <w:sz w:val="20"/>
          <w:szCs w:val="20"/>
          <w:color w:val="auto"/>
        </w:rPr>
      </w:pPr>
      <w:r>
        <w:rPr>
          <w:rFonts w:ascii="Arial" w:cs="Arial" w:eastAsia="Arial" w:hAnsi="Arial"/>
          <w:sz w:val="18"/>
          <w:szCs w:val="18"/>
          <w:color w:val="auto"/>
        </w:rPr>
        <w:t>4.2. Upon the effectiveness of this Amended Certificate of Incorporation, the 1,000 shares of common stock of the Corporation issued on March 20, 2019 shall automatically be converted into one (1) share of Class B Common Stock.</w:t>
      </w:r>
    </w:p>
    <w:p>
      <w:pPr>
        <w:sectPr>
          <w:pgSz w:w="11900" w:h="16838" w:orient="portrait"/>
          <w:cols w:equalWidth="0" w:num="1">
            <w:col w:w="11020"/>
          </w:cols>
          <w:pgMar w:left="440" w:top="121" w:right="439" w:bottom="1440" w:gutter="0" w:footer="0" w:header="0"/>
        </w:sectPr>
      </w:pPr>
    </w:p>
    <w:bookmarkStart w:id="286" w:name="page287"/>
    <w:bookmarkEnd w:id="286"/>
    <w:p>
      <w:pPr>
        <w:ind w:firstLine="992"/>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4.3. Subject to the rights of the holders of any one or more series of Preferred Stock then outstanding, the number of authorized shares of any class of the Common Stock or the Preferred Stock may be increased or decreased, in each case by the affirmative vote of the holders of a majority of the total voting power of all of the outstanding shares of capital stock of the Corporation entitled to vote thereon, voting together as a single class, irrespective of the provisions of Section 242(b)(2) of the General Corporation Law, and no vote of the holders of any class of the Common Stock or the Preferred Stock voting separately as a class shall be required therefor. Notwithstanding the immediately preceding sentence, the number of authorized shares of any particular class may not be decreased below the number of shares of such class then outstanding, plus, in the case of Class A Common Stock, the number of shares of Class A Common Stock issuable in connection with (1) the redemption of all outstanding Nonvoting Common Units (as defined in Section 14) pursuant to Article IX of the LLC Agreement (as defined in Section 14) and (2) the exercise of outstanding options, warrants, exchange rights, conversion rights or similar rights for Class A Common Stock.</w:t>
      </w:r>
    </w:p>
    <w:p>
      <w:pPr>
        <w:spacing w:after="0" w:line="74" w:lineRule="exact"/>
        <w:rPr>
          <w:sz w:val="20"/>
          <w:szCs w:val="20"/>
          <w:color w:val="auto"/>
        </w:rPr>
      </w:pPr>
    </w:p>
    <w:p>
      <w:pPr>
        <w:ind w:left="1000" w:right="600" w:hanging="556"/>
        <w:spacing w:after="0" w:line="375" w:lineRule="auto"/>
        <w:tabs>
          <w:tab w:leader="none" w:pos="629"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Classes of Shares</w:t>
      </w:r>
      <w:r>
        <w:rPr>
          <w:rFonts w:ascii="Arial" w:cs="Arial" w:eastAsia="Arial" w:hAnsi="Arial"/>
          <w:sz w:val="18"/>
          <w:szCs w:val="18"/>
          <w:color w:val="auto"/>
        </w:rPr>
        <w:t xml:space="preserve">. The designation, relative rights, preferences and limitations of the shares of each class of capital stock are as follows: 5.1.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660" w:hanging="224"/>
        <w:spacing w:after="0"/>
        <w:tabs>
          <w:tab w:leader="none" w:pos="1660"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1987"/>
        <w:spacing w:after="0" w:line="289" w:lineRule="auto"/>
        <w:tabs>
          <w:tab w:leader="none" w:pos="2239" w:val="left"/>
        </w:tabs>
        <w:numPr>
          <w:ilvl w:val="2"/>
          <w:numId w:val="181"/>
        </w:numPr>
        <w:rPr>
          <w:rFonts w:ascii="Arial" w:cs="Arial" w:eastAsia="Arial" w:hAnsi="Arial"/>
          <w:sz w:val="16"/>
          <w:szCs w:val="16"/>
          <w:color w:val="auto"/>
        </w:rPr>
      </w:pPr>
      <w:r>
        <w:rPr>
          <w:rFonts w:ascii="Arial" w:cs="Arial" w:eastAsia="Arial" w:hAnsi="Arial"/>
          <w:sz w:val="16"/>
          <w:szCs w:val="16"/>
          <w:color w:val="auto"/>
        </w:rPr>
        <w:t>So long as Post holds in the aggregate more than 50% of the Nonvoting Common Units, then (i) each holder of Class A Common Stock shall be entitled, with respect to each share of Class A Common Stock held by such holder on the applicable record date, to one vote, in person or by proxy, on all matters on which stockholders generally are entitled to vote (whether at a meeting of stockholders or by written consent, and whether voting separately as a class or otherwise), and (ii) the holder of the share of Class B Common Stock shall be entitled, with respect to such share of Class B Common Stock held by such holder on the applicable record date, to a number of votes, in person or by one or more proxies, on all matters on which stockholders generally are entitled to vote (whether at a meeting of stockholders or by written consent, and whether voting separately as a class or otherwise) equal to 67% of the combined voting power of the outstanding shares of Common Stock (for purposes of illustration, if 20,000,000 shares of Class A Common Stock are outstanding on the applicable record date, then the share of Class B Common Stock would be entitled to 40,606,060 votes, or 67% of the combined voting power of the outstanding shares of Common Stock).</w:t>
      </w:r>
    </w:p>
    <w:p>
      <w:pPr>
        <w:spacing w:after="0" w:line="58" w:lineRule="exact"/>
        <w:rPr>
          <w:rFonts w:ascii="Arial" w:cs="Arial" w:eastAsia="Arial" w:hAnsi="Arial"/>
          <w:sz w:val="16"/>
          <w:szCs w:val="16"/>
          <w:color w:val="auto"/>
        </w:rPr>
      </w:pPr>
    </w:p>
    <w:p>
      <w:pPr>
        <w:ind w:right="20" w:firstLine="1987"/>
        <w:spacing w:after="0" w:line="269" w:lineRule="auto"/>
        <w:tabs>
          <w:tab w:leader="none" w:pos="2239" w:val="left"/>
        </w:tabs>
        <w:numPr>
          <w:ilvl w:val="2"/>
          <w:numId w:val="181"/>
        </w:numPr>
        <w:rPr>
          <w:rFonts w:ascii="Arial" w:cs="Arial" w:eastAsia="Arial" w:hAnsi="Arial"/>
          <w:sz w:val="17"/>
          <w:szCs w:val="17"/>
          <w:color w:val="auto"/>
        </w:rPr>
      </w:pPr>
      <w:r>
        <w:rPr>
          <w:rFonts w:ascii="Arial" w:cs="Arial" w:eastAsia="Arial" w:hAnsi="Arial"/>
          <w:sz w:val="17"/>
          <w:szCs w:val="17"/>
          <w:color w:val="auto"/>
        </w:rPr>
        <w:t xml:space="preserve">In the event that, as of the record date for any meeting at which stockholders are entitled to vote, Post holds in the aggregate 50% or less of the Nonvoting Common Units outstanding as of such record date, then (i) each holder of Class A Common Stock shall be entitled, with respect to each share of Class A Common Stock held by such holder on the applicable record date, to one (1) vote, in person or by proxy, on all matters on which stockholders generally are entitled to vote (whether voting separately as a class or otherwise), and (ii) the holder of the share of Class B Common Stock shall be entitled, with respect to such share of Class B Common Stock held by such holder on the applicable record date, to a number of votes, in person or by one or more proxies, on all matters on which stockholders generally are entitled to vote (whether voting separately as a class or otherwise) equal to the number of Nonvoting Common Units held by all Persons other than the Corporation and its subsidiaries; </w:t>
      </w:r>
      <w:r>
        <w:rPr>
          <w:rFonts w:ascii="Arial" w:cs="Arial" w:eastAsia="Arial" w:hAnsi="Arial"/>
          <w:sz w:val="17"/>
          <w:szCs w:val="17"/>
          <w:u w:val="single" w:color="auto"/>
          <w:color w:val="auto"/>
        </w:rPr>
        <w:t>provided that</w:t>
      </w:r>
      <w:r>
        <w:rPr>
          <w:rFonts w:ascii="Arial" w:cs="Arial" w:eastAsia="Arial" w:hAnsi="Arial"/>
          <w:sz w:val="17"/>
          <w:szCs w:val="17"/>
          <w:color w:val="auto"/>
        </w:rPr>
        <w:t>, of such votes, (a) the holder of the share of Class B Common Stock shall only be entitled to cast a number of such votes on its own behalf, in person or by one or more proxies, and in its sole discretion equal to the number of Nonvoting Common Units held by Post on the applicable record date, and (b) in the event that, on the applicable record date, any of the Nonvoting Common Units are held by Persons other than the Corporation or any of its subsidiaries or Post (each such Person, a “</w:t>
      </w:r>
      <w:r>
        <w:rPr>
          <w:rFonts w:ascii="Arial" w:cs="Arial" w:eastAsia="Arial" w:hAnsi="Arial"/>
          <w:sz w:val="17"/>
          <w:szCs w:val="17"/>
          <w:u w:val="single" w:color="auto"/>
          <w:color w:val="auto"/>
        </w:rPr>
        <w:t>Non-Affiliated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87" w:name="page288"/>
    <w:bookmarkEnd w:id="287"/>
    <w:p>
      <w:pPr>
        <w:ind w:right="60"/>
        <w:spacing w:after="0" w:line="272"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BellRing Brands, LLC Member</w:t>
      </w:r>
      <w:r>
        <w:rPr>
          <w:rFonts w:ascii="Arial" w:cs="Arial" w:eastAsia="Arial" w:hAnsi="Arial"/>
          <w:sz w:val="17"/>
          <w:szCs w:val="17"/>
          <w:color w:val="auto"/>
        </w:rPr>
        <w:t>”), then the holder of the share of Class B Common Stock shall cast the remainder of the votes to which the outstanding share of Class B Common Stock shall be entitled only in accordance with instructions and directions from the Non-Affiliated BellRing Brands, LLC Member(s) in accordance with the proxy(ies) granted to, or the voting agreement(s) or other voting arrangement(s) entered into with, the Non-Affiliated BellRing Brands, LLC Member(s) pursuant to Section 8.04 of the LLC Agreement (for purposes of illustration, if 100,000,000 Nonvoting Common Units are outstanding on the applicable record date, the Corporation and its subsidiaries hold 20,000,000 Nonvoting Common Units and Post holds 50,000,000 Nonvoting Common Units, then the share of Class B Common Stock would be entitled to 80,000,000 votes, with 30,000,000 of such votes to be cast as directed by the Non-Affiliated BellRing Brands, LLC Member(s)).</w:t>
      </w:r>
    </w:p>
    <w:p>
      <w:pPr>
        <w:spacing w:after="0" w:line="70" w:lineRule="exact"/>
        <w:rPr>
          <w:sz w:val="20"/>
          <w:szCs w:val="20"/>
          <w:color w:val="auto"/>
        </w:rPr>
      </w:pPr>
    </w:p>
    <w:p>
      <w:pPr>
        <w:ind w:firstLine="1987"/>
        <w:spacing w:after="0" w:line="312" w:lineRule="auto"/>
        <w:tabs>
          <w:tab w:leader="none" w:pos="2239" w:val="left"/>
        </w:tabs>
        <w:numPr>
          <w:ilvl w:val="1"/>
          <w:numId w:val="182"/>
        </w:numPr>
        <w:rPr>
          <w:rFonts w:ascii="Arial" w:cs="Arial" w:eastAsia="Arial" w:hAnsi="Arial"/>
          <w:sz w:val="16"/>
          <w:szCs w:val="16"/>
          <w:color w:val="auto"/>
        </w:rPr>
      </w:pPr>
      <w:r>
        <w:rPr>
          <w:rFonts w:ascii="Arial" w:cs="Arial" w:eastAsia="Arial" w:hAnsi="Arial"/>
          <w:sz w:val="16"/>
          <w:szCs w:val="16"/>
          <w:color w:val="auto"/>
        </w:rPr>
        <w:t>The holders of the outstanding shares of Class A Common Stock and Class B Common Stock shall each be entitled to vote separately upon any amendment to this Amended Certificate of Incorporation (including by merger, consolidation, reorganization or similar event) that would alter or change the powers, preferences or special rights of the shares of such class of Common Stock in a manner that affects them adversely.</w:t>
      </w:r>
    </w:p>
    <w:p>
      <w:pPr>
        <w:spacing w:after="0" w:line="38" w:lineRule="exact"/>
        <w:rPr>
          <w:rFonts w:ascii="Arial" w:cs="Arial" w:eastAsia="Arial" w:hAnsi="Arial"/>
          <w:sz w:val="16"/>
          <w:szCs w:val="16"/>
          <w:color w:val="auto"/>
        </w:rPr>
      </w:pPr>
    </w:p>
    <w:p>
      <w:pPr>
        <w:jc w:val="both"/>
        <w:ind w:right="140" w:firstLine="1987"/>
        <w:spacing w:after="0" w:line="264" w:lineRule="auto"/>
        <w:tabs>
          <w:tab w:leader="none" w:pos="2239" w:val="left"/>
        </w:tabs>
        <w:numPr>
          <w:ilvl w:val="1"/>
          <w:numId w:val="182"/>
        </w:numPr>
        <w:rPr>
          <w:rFonts w:ascii="Arial" w:cs="Arial" w:eastAsia="Arial" w:hAnsi="Arial"/>
          <w:sz w:val="18"/>
          <w:szCs w:val="18"/>
          <w:color w:val="auto"/>
        </w:rPr>
      </w:pPr>
      <w:r>
        <w:rPr>
          <w:rFonts w:ascii="Arial" w:cs="Arial" w:eastAsia="Arial" w:hAnsi="Arial"/>
          <w:sz w:val="18"/>
          <w:szCs w:val="18"/>
          <w:color w:val="auto"/>
        </w:rPr>
        <w:t>Except as otherwise required in this Amended Certificate of Incorporation or by applicable law, the holders of Common Stock shall vote together as a single class on all matters (or, if any holders of Preferred Stock are entitled to vote together with the holders of Common Stock, as a single class with the holders of Preferred Stock).</w:t>
      </w:r>
    </w:p>
    <w:p>
      <w:pPr>
        <w:spacing w:after="0" w:line="73" w:lineRule="exact"/>
        <w:rPr>
          <w:rFonts w:ascii="Arial" w:cs="Arial" w:eastAsia="Arial" w:hAnsi="Arial"/>
          <w:sz w:val="18"/>
          <w:szCs w:val="18"/>
          <w:color w:val="auto"/>
        </w:rPr>
      </w:pPr>
    </w:p>
    <w:p>
      <w:pPr>
        <w:ind w:left="1700" w:hanging="264"/>
        <w:spacing w:after="0"/>
        <w:tabs>
          <w:tab w:leader="none" w:pos="170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Dividends; Stock Splits or Combinations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80" w:firstLine="1987"/>
        <w:spacing w:after="0" w:line="302" w:lineRule="auto"/>
        <w:tabs>
          <w:tab w:leader="none" w:pos="2239" w:val="left"/>
        </w:tabs>
        <w:numPr>
          <w:ilvl w:val="1"/>
          <w:numId w:val="183"/>
        </w:numPr>
        <w:rPr>
          <w:rFonts w:ascii="Arial" w:cs="Arial" w:eastAsia="Arial" w:hAnsi="Arial"/>
          <w:sz w:val="16"/>
          <w:szCs w:val="16"/>
          <w:color w:val="auto"/>
        </w:rPr>
      </w:pPr>
      <w:r>
        <w:rPr>
          <w:rFonts w:ascii="Arial" w:cs="Arial" w:eastAsia="Arial" w:hAnsi="Arial"/>
          <w:sz w:val="16"/>
          <w:szCs w:val="16"/>
          <w:color w:val="auto"/>
        </w:rPr>
        <w:t>Subject to applicable law and the rights, if any, of the holders of any outstanding series of Preferred Stock or any class or series of capital stock having a preference senior to or the right to participate with the Class A Common Stock with respect to the payment of dividends, dividends of cash or property may be declared and paid on the Class A Common Stock out of the assets of the Corporation that are by law available therefor, at the times and in the amounts as the board of directors of the Corporation (the “</w:t>
      </w:r>
      <w:r>
        <w:rPr>
          <w:rFonts w:ascii="Arial" w:cs="Arial" w:eastAsia="Arial" w:hAnsi="Arial"/>
          <w:sz w:val="16"/>
          <w:szCs w:val="16"/>
          <w:u w:val="single" w:color="auto"/>
          <w:color w:val="auto"/>
        </w:rPr>
        <w:t>Board</w:t>
      </w:r>
      <w:r>
        <w:rPr>
          <w:rFonts w:ascii="Arial" w:cs="Arial" w:eastAsia="Arial" w:hAnsi="Arial"/>
          <w:sz w:val="16"/>
          <w:szCs w:val="16"/>
          <w:color w:val="auto"/>
        </w:rPr>
        <w:t>”) in its discretion may determine.</w:t>
      </w:r>
    </w:p>
    <w:p>
      <w:pPr>
        <w:spacing w:after="0" w:line="46" w:lineRule="exact"/>
        <w:rPr>
          <w:rFonts w:ascii="Arial" w:cs="Arial" w:eastAsia="Arial" w:hAnsi="Arial"/>
          <w:sz w:val="16"/>
          <w:szCs w:val="16"/>
          <w:color w:val="auto"/>
        </w:rPr>
      </w:pPr>
    </w:p>
    <w:p>
      <w:pPr>
        <w:ind w:left="2240" w:hanging="253"/>
        <w:spacing w:after="0"/>
        <w:tabs>
          <w:tab w:leader="none" w:pos="22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Dividends of cash or property may not be declared or paid on the Class B Common Stock.</w:t>
      </w:r>
    </w:p>
    <w:p>
      <w:pPr>
        <w:spacing w:after="0" w:line="117" w:lineRule="exact"/>
        <w:rPr>
          <w:rFonts w:ascii="Arial" w:cs="Arial" w:eastAsia="Arial" w:hAnsi="Arial"/>
          <w:sz w:val="18"/>
          <w:szCs w:val="18"/>
          <w:color w:val="auto"/>
        </w:rPr>
      </w:pPr>
    </w:p>
    <w:p>
      <w:pPr>
        <w:ind w:right="80" w:firstLine="1987"/>
        <w:spacing w:after="0" w:line="259" w:lineRule="auto"/>
        <w:tabs>
          <w:tab w:leader="none" w:pos="2239"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In no event shall any stock dividend, stock split, reverse stock split, combination of stock, reclassification or recapitalization be declared or made on the Class A Common Stock (each, a “</w:t>
      </w:r>
      <w:r>
        <w:rPr>
          <w:rFonts w:ascii="Arial" w:cs="Arial" w:eastAsia="Arial" w:hAnsi="Arial"/>
          <w:sz w:val="18"/>
          <w:szCs w:val="18"/>
          <w:u w:val="single" w:color="auto"/>
          <w:color w:val="auto"/>
        </w:rPr>
        <w:t>Stock Adjustment</w:t>
      </w:r>
      <w:r>
        <w:rPr>
          <w:rFonts w:ascii="Arial" w:cs="Arial" w:eastAsia="Arial" w:hAnsi="Arial"/>
          <w:sz w:val="18"/>
          <w:szCs w:val="18"/>
          <w:color w:val="auto"/>
        </w:rPr>
        <w:t>”) unless the Stock Adjustment has been reflected in the same economically equivalent manner on all Nonvoting Common Units. Stock dividends with respect to the Class A Common Stock may only be paid with shares of Class A Common Stock.</w:t>
      </w:r>
    </w:p>
    <w:p>
      <w:pPr>
        <w:spacing w:after="0" w:line="78" w:lineRule="exact"/>
        <w:rPr>
          <w:rFonts w:ascii="Arial" w:cs="Arial" w:eastAsia="Arial" w:hAnsi="Arial"/>
          <w:sz w:val="18"/>
          <w:szCs w:val="18"/>
          <w:color w:val="auto"/>
        </w:rPr>
      </w:pPr>
    </w:p>
    <w:p>
      <w:pPr>
        <w:ind w:firstLine="1436"/>
        <w:spacing w:after="0" w:line="276" w:lineRule="auto"/>
        <w:tabs>
          <w:tab w:leader="none" w:pos="1748"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Liquidation</w:t>
      </w:r>
      <w:r>
        <w:rPr>
          <w:rFonts w:ascii="Arial" w:cs="Arial" w:eastAsia="Arial" w:hAnsi="Arial"/>
          <w:sz w:val="17"/>
          <w:szCs w:val="17"/>
          <w:color w:val="auto"/>
        </w:rPr>
        <w:t xml:space="preserve">. In the event of any voluntary or involuntary liquidation, dissolution or winding up of the affairs of the Corporation, after payment or provision for payment of the debts and other liabilities of the Corporation and of the preferential and other amounts, if any, to which the holders of Preferred Stock are entitled, if any, the holders of all outstanding shares of Common Stock shall be entitled to receive, </w:t>
      </w:r>
      <w:r>
        <w:rPr>
          <w:rFonts w:ascii="Arial" w:cs="Arial" w:eastAsia="Arial" w:hAnsi="Arial"/>
          <w:sz w:val="17"/>
          <w:szCs w:val="17"/>
          <w:i w:val="1"/>
          <w:iCs w:val="1"/>
          <w:color w:val="auto"/>
        </w:rPr>
        <w:t>pari passu</w:t>
      </w:r>
      <w:r>
        <w:rPr>
          <w:rFonts w:ascii="Arial" w:cs="Arial" w:eastAsia="Arial" w:hAnsi="Arial"/>
          <w:sz w:val="17"/>
          <w:szCs w:val="17"/>
          <w:color w:val="auto"/>
        </w:rPr>
        <w:t>, an amount per share equal to the par value thereof, and thereafter the holders of all outstanding shares of Class A Common Stock shall be entitled to receive the remaining assets of the Corporation available for distribution ratably in proportion to the number of shares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88" w:name="page289"/>
    <w:bookmarkEnd w:id="288"/>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Class A Common Stock held by each holder. Without limiting the rights of the holder of Class B Common Stock to redeem its Nonvoting Common Units for shares of Class A Common Stock in accordance with Article IX of the LLC Agreement (or for the consideration payable in respect of shares of Class A Common Stock in such voluntary or involuntary liquidation, dissolution or winding up), the holder of the share of Class B Common Stock, as such, shall not be entitled to receive, with respect to such share, any assets of the Corporation in excess of the par value thereof in the event of any voluntary or involuntary liquidation, dissolution or winding up of the affairs of the Corporation.</w:t>
      </w:r>
    </w:p>
    <w:p>
      <w:pPr>
        <w:spacing w:after="0" w:line="64" w:lineRule="exact"/>
        <w:rPr>
          <w:sz w:val="20"/>
          <w:szCs w:val="20"/>
          <w:color w:val="auto"/>
        </w:rPr>
      </w:pPr>
    </w:p>
    <w:p>
      <w:pPr>
        <w:ind w:firstLine="1436"/>
        <w:spacing w:after="0" w:line="287" w:lineRule="auto"/>
        <w:tabs>
          <w:tab w:leader="none" w:pos="1737"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Restrictions on Class B Common Stock</w:t>
      </w:r>
      <w:r>
        <w:rPr>
          <w:rFonts w:ascii="Arial" w:cs="Arial" w:eastAsia="Arial" w:hAnsi="Arial"/>
          <w:sz w:val="16"/>
          <w:szCs w:val="16"/>
          <w:color w:val="auto"/>
        </w:rPr>
        <w:t xml:space="preserve">. The share of Class B Common Stock may not be owned or held by or transferred to any Person other than Post;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Post, as the holder of the share of Class B Common Stock, shall be permitted to (a) grant one or more proxies to, or enter into one or more voting agreements or other voting arrangements with, any Non-Affiliated BellRing Brands, LLC Members pursuant to Section 8.04 of the LLC Agreement (and, for avoidance of doubt, (1) each such proxy, agreement or arrangement shall cover a specific number or percentage of votes to which the share of Class B Common Stock is entitled under this Amended Certificate of Incorporation, and (2) the holder(s) of such proxy(ies), agreement(s) or arrangement(s) may in its (their) discretion direct the holder of the Class B Common Stock as to the manner in which the votes covered by such proxy(ies), agreement(s) or arrangement(s) are to be cast (or not cast, as the case may be) and the holder of the Class B Common Stock shall so cast such votes as so directed by such holder(s), it being understood that some of the votes to which the share of Class B Common Stock is entitled may be voted in favor of, and others may be voted against, the particular matter upon which the holder of the Class B Common Stock is entitled to vote) and (b) transfer the share of Class B Common Stock in connection with any distribution of its ownership interest in BellRing Brands, LLC (as defined in Section 14) by means of a spin-off or split-off to its shareholders. Any stock certificate representing the share of Class B Common Stock shall include a legend referencing the restrictions described above.</w:t>
      </w:r>
    </w:p>
    <w:p>
      <w:pPr>
        <w:spacing w:after="0" w:line="60" w:lineRule="exact"/>
        <w:rPr>
          <w:rFonts w:ascii="Arial" w:cs="Arial" w:eastAsia="Arial" w:hAnsi="Arial"/>
          <w:sz w:val="16"/>
          <w:szCs w:val="16"/>
          <w:color w:val="auto"/>
        </w:rPr>
      </w:pPr>
    </w:p>
    <w:p>
      <w:pPr>
        <w:ind w:right="40" w:firstLine="1436"/>
        <w:spacing w:after="0" w:line="271" w:lineRule="auto"/>
        <w:tabs>
          <w:tab w:leader="none" w:pos="1687"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xml:space="preserve">. The issuance of shares of Class A Common Stock upon the exercise by a holder of Nonvoting Common Units of its right to redeem its Nonvoting Common Units for shares of Class A Common Stock in accordance with Article IX of the LLC Agreement shall be made without charge to such holder for any transfer taxes, stamp taxes or duties or other similar tax in respect of the issuance;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such shares of Class A Common Stock are to be issued in a name other than that of the then record holder of the Nonvoting Common Units being redeemed (or The Depository Trust Company or its nominee for the account of a participant of The Depository Trust Company that shall hold the shares for the account of such holder), then such holder and/or the Person in whose name such shares are to be delivered shall pay to the Corporation the amount of any tax that may be payable in respect of any transfer involved in the issuance or shall establish to the reasonable satisfaction of the Corporation that the tax has been paid or is not payable.</w:t>
      </w:r>
    </w:p>
    <w:p>
      <w:pPr>
        <w:spacing w:after="0" w:line="71" w:lineRule="exact"/>
        <w:rPr>
          <w:sz w:val="20"/>
          <w:szCs w:val="20"/>
          <w:color w:val="auto"/>
        </w:rPr>
      </w:pPr>
    </w:p>
    <w:p>
      <w:pPr>
        <w:ind w:right="20" w:firstLine="992"/>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Preferred Stock</w:t>
      </w:r>
      <w:r>
        <w:rPr>
          <w:rFonts w:ascii="Arial" w:cs="Arial" w:eastAsia="Arial" w:hAnsi="Arial"/>
          <w:sz w:val="18"/>
          <w:szCs w:val="18"/>
          <w:color w:val="auto"/>
        </w:rPr>
        <w:t>. Shares of Preferred Stock may be issued from time to time in one or more series of any number of shares, provided that the aggregate number of shares issued and not retired of any and all such series shall not exceed the total number of shares of Preferred Stock hereinabove authorized, and with such powers, including voting powers, if any, and the designations, preferences and relative, participating, optional or other special rights, if any, and any qualifications, limitations or restrictions thereof, all as shall hereafter be stated and expressed in the resolution or resolutions providing for the designation and issue of such shares of Preferred Stock from time to time adopted by the Board pursuant to authority so to do which is hereby expressly vested in the Board. The powers, including voting powers, if any, preferences and relative, participating, optional and other special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89" w:name="page290"/>
    <w:bookmarkEnd w:id="289"/>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of each series of Preferred Stock, and the qualifications, limitations or restrictions thereof, if any, may differ from those of any and all other series at any time outstanding. Each series of shares of Preferred Stock: (i) may have such voting rights or powers, full or limited, if any; (ii) may be subject to redemption at such time or times and at such prices, if any; (iii) may be entitled to receive dividends (which may be cumulative or non-cumulative) at such rate or rates, on such conditions and at such times, and payable in preference to, or in such relation to, the dividends payable on any other class or classes or series of capital stock, if any; (iv) may have such rights upon the voluntary or involuntary liquidation, winding up or dissolution of, upon any distribution of the assets of, or in the event of any merger, sale or consolidation of, the Corporation, if any; (v) may be made convertible into, or exchangeable for, shares of any other class or classes or of any other series of the same or any other class or classes of capital stock of the Corporation (or any other securities of the Corporation or any other Person) at such price or prices or at such rates of exchange and with such adjustments, if any;</w:t>
      </w:r>
    </w:p>
    <w:p>
      <w:pPr>
        <w:spacing w:after="0" w:line="1" w:lineRule="exact"/>
        <w:rPr>
          <w:sz w:val="20"/>
          <w:szCs w:val="20"/>
          <w:color w:val="auto"/>
        </w:rPr>
      </w:pPr>
    </w:p>
    <w:p>
      <w:pPr>
        <w:ind w:firstLine="4"/>
        <w:spacing w:after="0" w:line="252" w:lineRule="auto"/>
        <w:tabs>
          <w:tab w:leader="none" w:pos="30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may be entitled to the benefit of a sinking fund to be applied to the purchase or redemption of shares of such series in such amount or amounts, if any; (vii) may be entitled to the benefit of conditions and restrictions upon the creation of indebtedness of the Corporation or any subsidiary, upon the issue of any additional shares (including additional shares of such series or of any other series) and upon the payment of dividends or the making of other distributions on, and the purchase, redemption or other acquisition by the Corporation or any subsidiary of, any outstanding shares of the Corporation, if any; (viii) may be subject to restrictions on transfer or registration of transfer, or on the amount of shares that may be owned by any Person or group of Persons; and (ix) may have such other relative, participating, optional or other special rights, qualifications, limitations or restrictions thereof, if any; all as shall be stated in said resolution or resolutions of the Board providing for the designation and issue of such shares of Preferred Stock.</w:t>
      </w:r>
    </w:p>
    <w:p>
      <w:pPr>
        <w:spacing w:after="0" w:line="84" w:lineRule="exact"/>
        <w:rPr>
          <w:sz w:val="20"/>
          <w:szCs w:val="20"/>
          <w:color w:val="auto"/>
        </w:rPr>
      </w:pPr>
    </w:p>
    <w:p>
      <w:pPr>
        <w:ind w:left="620" w:hanging="176"/>
        <w:spacing w:after="0"/>
        <w:tabs>
          <w:tab w:leader="none" w:pos="62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Stockholder Matters</w:t>
      </w:r>
      <w:r>
        <w:rPr>
          <w:rFonts w:ascii="Arial" w:cs="Arial" w:eastAsia="Arial" w:hAnsi="Arial"/>
          <w:sz w:val="18"/>
          <w:szCs w:val="18"/>
          <w:color w:val="auto"/>
        </w:rPr>
        <w:t>.</w:t>
      </w:r>
    </w:p>
    <w:p>
      <w:pPr>
        <w:spacing w:after="0" w:line="117" w:lineRule="exact"/>
        <w:rPr>
          <w:sz w:val="20"/>
          <w:szCs w:val="20"/>
          <w:color w:val="auto"/>
        </w:rPr>
      </w:pPr>
    </w:p>
    <w:p>
      <w:pPr>
        <w:ind w:right="20" w:firstLine="992"/>
        <w:spacing w:after="0" w:line="26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Actions by Written Consent</w:t>
      </w:r>
      <w:r>
        <w:rPr>
          <w:rFonts w:ascii="Arial" w:cs="Arial" w:eastAsia="Arial" w:hAnsi="Arial"/>
          <w:sz w:val="17"/>
          <w:szCs w:val="17"/>
          <w:color w:val="auto"/>
        </w:rPr>
        <w:t>. From and after the Triggering Event, any action required by the General Corporation Law to be taken at any annual or special meeting of stockholders of the Corporation, or any action which may be taken at any annual or special meeting of such stockholders, may be effected only at a duly called annual or special meeting of stockholders of the Corporation and may not be effected by any consent in writing by such stockholders. Prior to the Triggering Event, any action required by the General Corporation Law to be taken at any annual or special meeting of stockholders of the Corporation, or any action which may be taken at any annual or special meeting of such stockholders, may be taken without a meeting, without prior notice and without a vote, if a consent or consents in writing, setting forth the action so taken, shall be signed by the holder or holders of capital stock of the Corporation having not less than the minimum number of votes that would be necessary to authorize or take such action at a meeting at which all shares entitled to vote thereon were present and voted; provided, however, that, unless otherwise provided in any certificate of designation relating to a series of Preferred Stock,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Prompt notice of the taking of the corporate action without a meeting by less than unanimous written consent shall be given by the Corporation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spacing w:after="0" w:line="75" w:lineRule="exact"/>
        <w:rPr>
          <w:sz w:val="20"/>
          <w:szCs w:val="20"/>
          <w:color w:val="auto"/>
        </w:rPr>
      </w:pPr>
    </w:p>
    <w:p>
      <w:pPr>
        <w:ind w:right="20" w:firstLine="992"/>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Election of Directors by Written Ballot</w:t>
      </w:r>
      <w:r>
        <w:rPr>
          <w:rFonts w:ascii="Arial" w:cs="Arial" w:eastAsia="Arial" w:hAnsi="Arial"/>
          <w:sz w:val="18"/>
          <w:szCs w:val="18"/>
          <w:color w:val="auto"/>
        </w:rPr>
        <w:t>. Unless and except to the extent that the Amended and Restated Bylaws of the Corporation (as such Bylaws may be amended from time to time, the “</w:t>
      </w:r>
      <w:r>
        <w:rPr>
          <w:rFonts w:ascii="Arial" w:cs="Arial" w:eastAsia="Arial" w:hAnsi="Arial"/>
          <w:sz w:val="18"/>
          <w:szCs w:val="18"/>
          <w:u w:val="single" w:color="auto"/>
          <w:color w:val="auto"/>
        </w:rPr>
        <w:t>Bylaws</w:t>
      </w:r>
      <w:r>
        <w:rPr>
          <w:rFonts w:ascii="Arial" w:cs="Arial" w:eastAsia="Arial" w:hAnsi="Arial"/>
          <w:sz w:val="18"/>
          <w:szCs w:val="18"/>
          <w:color w:val="auto"/>
        </w:rPr>
        <w:t>”) shall so require, the election of the directors of the Corporation need not be by written ballot.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290" w:name="page291"/>
    <w:bookmarkEnd w:id="290"/>
    <w:p>
      <w:pPr>
        <w:ind w:left="620" w:hanging="176"/>
        <w:spacing w:after="0"/>
        <w:tabs>
          <w:tab w:leader="none" w:pos="62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Directors</w:t>
      </w:r>
      <w:r>
        <w:rPr>
          <w:rFonts w:ascii="Arial" w:cs="Arial" w:eastAsia="Arial" w:hAnsi="Arial"/>
          <w:sz w:val="18"/>
          <w:szCs w:val="18"/>
          <w:color w:val="auto"/>
        </w:rPr>
        <w:t>.</w:t>
      </w:r>
    </w:p>
    <w:p>
      <w:pPr>
        <w:spacing w:after="0" w:line="117" w:lineRule="exact"/>
        <w:rPr>
          <w:sz w:val="20"/>
          <w:szCs w:val="20"/>
          <w:color w:val="auto"/>
        </w:rPr>
      </w:pPr>
    </w:p>
    <w:p>
      <w:pPr>
        <w:ind w:right="120" w:firstLine="992"/>
        <w:spacing w:after="0" w:line="285"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Number and Classification</w:t>
      </w:r>
      <w:r>
        <w:rPr>
          <w:rFonts w:ascii="Arial" w:cs="Arial" w:eastAsia="Arial" w:hAnsi="Arial"/>
          <w:sz w:val="16"/>
          <w:szCs w:val="16"/>
          <w:color w:val="auto"/>
        </w:rPr>
        <w:t>. The number of directors shall be fixed by, or in the manner provided in, the Bylaws, but shall not be less than five nor more than twelve members. The directors shall be divided into three classes, as nearly equal in number as reasonably possible, except that one class may be one greater or one less in number than the other two classes. At each annual meeting of stockholders, successors to the class of directors whose term expires at that annual meeting shall be elected for a three year term (and until their respective successors shall have been elected and qualified in each class or until their earlier death, resignation or removal), so that the term of one class of directors shall expire in each year. With</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respect to directors in office on , 2019, the first class of directors shall hold office until the first annual meeting of stockholders following the date shares of capital stock of the Corporation are first publicly traded (the “</w:t>
      </w:r>
      <w:r>
        <w:rPr>
          <w:rFonts w:ascii="Arial" w:cs="Arial" w:eastAsia="Arial" w:hAnsi="Arial"/>
          <w:sz w:val="17"/>
          <w:szCs w:val="17"/>
          <w:u w:val="single" w:color="auto"/>
          <w:color w:val="auto"/>
        </w:rPr>
        <w:t>IPO Date</w:t>
      </w:r>
      <w:r>
        <w:rPr>
          <w:rFonts w:ascii="Arial" w:cs="Arial" w:eastAsia="Arial" w:hAnsi="Arial"/>
          <w:sz w:val="17"/>
          <w:szCs w:val="17"/>
          <w:color w:val="auto"/>
        </w:rPr>
        <w:t>”), the second class of directors shall hold office until the second annual meeting of stockholders following the IPO Date, and the third class of directors shall hold office until the third annual meeting of stockholders following the IPO Date. The Board of Directors is authorized to assign members of the Board of Directors already in office to their respective class. Notwithstanding the foregoing, whenever the holders of any one or more classes or series of capital stock of the Corporation, other than shares of Common Stock, shall have the right, voting separately by class or series, to elect directors, the election, term of office, filling of vacancies and other features of such directorship shall be governed by the terms of this Amended Certificate of Incorporation or any certificate of designation thereunder applicable thereto. As used in this Amended Certificate of Incorporation, the term “entire Board” means the total number of directors fixed by, or in accordance with, this Amended Certificate of Incorporation and the Bylaws.</w:t>
      </w:r>
    </w:p>
    <w:p>
      <w:pPr>
        <w:spacing w:after="0" w:line="74" w:lineRule="exact"/>
        <w:rPr>
          <w:sz w:val="20"/>
          <w:szCs w:val="20"/>
          <w:color w:val="auto"/>
        </w:rPr>
      </w:pPr>
    </w:p>
    <w:p>
      <w:pPr>
        <w:ind w:right="20" w:firstLine="992"/>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Removal of Directors</w:t>
      </w:r>
      <w:r>
        <w:rPr>
          <w:rFonts w:ascii="Arial" w:cs="Arial" w:eastAsia="Arial" w:hAnsi="Arial"/>
          <w:sz w:val="18"/>
          <w:szCs w:val="18"/>
          <w:color w:val="auto"/>
        </w:rPr>
        <w:t>. Subject to the rights, if any, of the holders of any class or series of capital stock of the Corporation (other than the Common Stock) then outstanding, at a meeting called expressly for that purpose or by the written consent of stockholders as provided in Section 6.1, one or more members of the Board may be removed with or without cause by the affirmative vote of not less than a majority of the voting power of all of the outstanding shares of capital stock then entitled to vote in the election of directors, voting together as a single class. Whenever the holders of the shares of any class or series are entitled to elect one or more directors, the provisions of this Section 7.2 shall apply in respect of the removal of a director or directors so elected without cause, to the vote of the holders of the outstanding shares of that class or series and not to the vote of the holders of the outstanding shares as a whole.</w:t>
      </w:r>
    </w:p>
    <w:p>
      <w:pPr>
        <w:spacing w:after="0" w:line="8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Vacancies</w:t>
      </w:r>
      <w:r>
        <w:rPr>
          <w:rFonts w:ascii="Arial" w:cs="Arial" w:eastAsia="Arial" w:hAnsi="Arial"/>
          <w:sz w:val="16"/>
          <w:szCs w:val="16"/>
          <w:color w:val="auto"/>
        </w:rPr>
        <w:t>. Subject to the rights, if any, of the holders of any class or series of capital stock of the Corporation (other than the Common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Stock) then outstanding and the rights of Post Holdings, Inc. and its successors and assigns under the Investor Rights Agreement (as defined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14) (so long as such agreement is in effect), any vacancies in the Board which occur for any reason prior to the expiration of the term of office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class in which the vacancy occurs, including vacancies which occur by reason of an increase in the number of directors, may be filled (i)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Board, acting by the affirmative vote of a majority of the remaining directors then in office (even if less than a quorum), or by a sole remaining director,</w:t>
      </w:r>
    </w:p>
    <w:p>
      <w:pPr>
        <w:spacing w:after="0" w:line="32" w:lineRule="exact"/>
        <w:rPr>
          <w:sz w:val="20"/>
          <w:szCs w:val="20"/>
          <w:color w:val="auto"/>
        </w:rPr>
      </w:pPr>
    </w:p>
    <w:p>
      <w:pPr>
        <w:ind w:right="140" w:firstLine="4"/>
        <w:spacing w:after="0" w:line="255" w:lineRule="auto"/>
        <w:tabs>
          <w:tab w:leader="none" w:pos="26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at a special meeting of stockholders of the Corporation called for such purpose, or (iii) prior to the Triggering Event, by written consent of one or more stockholders of the Corporation as provided in Section 6.1, in each case until the next election of directors by the stockholders of the Corporation at which such class is elected.</w:t>
      </w:r>
    </w:p>
    <w:p>
      <w:pPr>
        <w:spacing w:after="0" w:line="82" w:lineRule="exact"/>
        <w:rPr>
          <w:sz w:val="20"/>
          <w:szCs w:val="20"/>
          <w:color w:val="auto"/>
        </w:rPr>
      </w:pPr>
    </w:p>
    <w:p>
      <w:pPr>
        <w:jc w:val="both"/>
        <w:ind w:right="20" w:firstLine="992"/>
        <w:spacing w:after="0" w:line="312"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Amendment</w:t>
      </w:r>
      <w:r>
        <w:rPr>
          <w:rFonts w:ascii="Arial" w:cs="Arial" w:eastAsia="Arial" w:hAnsi="Arial"/>
          <w:sz w:val="16"/>
          <w:szCs w:val="16"/>
          <w:color w:val="auto"/>
        </w:rPr>
        <w:t>. Whenever the holders of shares of any class or series of capital stock of the Corporation (other than the Common Stock) are entitled to elect one or more directors, any amendment, alteration, change or repeal of this Section 7 also shall require the affirmative vote of not less than a majority of the outstanding shares of each such class or series of capital stock of the Corporation entitled to vote on such directors.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91" w:name="page292"/>
    <w:bookmarkEnd w:id="291"/>
    <w:p>
      <w:pPr>
        <w:ind w:left="620" w:hanging="176"/>
        <w:spacing w:after="0"/>
        <w:tabs>
          <w:tab w:leader="none" w:pos="62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Combinations</w:t>
      </w:r>
      <w:r>
        <w:rPr>
          <w:rFonts w:ascii="Arial" w:cs="Arial" w:eastAsia="Arial" w:hAnsi="Arial"/>
          <w:sz w:val="18"/>
          <w:szCs w:val="18"/>
          <w:color w:val="auto"/>
        </w:rPr>
        <w:t>.</w:t>
      </w:r>
    </w:p>
    <w:p>
      <w:pPr>
        <w:spacing w:after="0" w:line="117" w:lineRule="exact"/>
        <w:rPr>
          <w:sz w:val="20"/>
          <w:szCs w:val="20"/>
          <w:color w:val="auto"/>
        </w:rPr>
      </w:pPr>
    </w:p>
    <w:p>
      <w:pPr>
        <w:ind w:right="360" w:firstLine="992"/>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Section 203 of the General Corporation Law</w:t>
      </w:r>
      <w:r>
        <w:rPr>
          <w:rFonts w:ascii="Arial" w:cs="Arial" w:eastAsia="Arial" w:hAnsi="Arial"/>
          <w:sz w:val="18"/>
          <w:szCs w:val="18"/>
          <w:color w:val="auto"/>
        </w:rPr>
        <w:t>. The Corporation shall not be subject to the provisions of Section 203 of the General Corporation Law.</w:t>
      </w:r>
    </w:p>
    <w:p>
      <w:pPr>
        <w:spacing w:after="0" w:line="62" w:lineRule="exact"/>
        <w:rPr>
          <w:sz w:val="20"/>
          <w:szCs w:val="20"/>
          <w:color w:val="auto"/>
        </w:rPr>
      </w:pPr>
    </w:p>
    <w:p>
      <w:pPr>
        <w:ind w:firstLine="992"/>
        <w:spacing w:after="0" w:line="276"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Limitations on Business Combinations</w:t>
      </w:r>
      <w:r>
        <w:rPr>
          <w:rFonts w:ascii="Arial" w:cs="Arial" w:eastAsia="Arial" w:hAnsi="Arial"/>
          <w:sz w:val="17"/>
          <w:szCs w:val="17"/>
          <w:color w:val="auto"/>
        </w:rPr>
        <w:t>. Notwithstanding Section 8.1, the Corporation shall not, at any point in time at which the Class A Common Stock is registered under Section 12(b) or 12(g) of the Exchange Act (as defined in Section 14) (or if the Class A Common Stock is no longer so registered as a result of action taken, directly or indirectly, by an Interested Stockholder (as defined in Section 8.3(iv)) or as a result of a transaction in which a person becomes an Interested Stockholder), engage in any Business Combination (as defined in Section 8.3(ii)) with any Interested Stockholder for a period of three years following the time that such stockholder became an Interested Stockholder, unless:</w:t>
      </w:r>
    </w:p>
    <w:p>
      <w:pPr>
        <w:spacing w:after="0" w:line="64" w:lineRule="exact"/>
        <w:rPr>
          <w:sz w:val="20"/>
          <w:szCs w:val="20"/>
          <w:color w:val="auto"/>
        </w:rPr>
      </w:pPr>
    </w:p>
    <w:p>
      <w:pPr>
        <w:ind w:right="440" w:firstLine="1436"/>
        <w:spacing w:after="0" w:line="277" w:lineRule="auto"/>
        <w:tabs>
          <w:tab w:leader="none" w:pos="164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which resulted in the stockholder becoming an Interested Stockholder, or</w:t>
      </w:r>
    </w:p>
    <w:p>
      <w:pPr>
        <w:spacing w:after="0" w:line="62" w:lineRule="exact"/>
        <w:rPr>
          <w:rFonts w:ascii="Arial" w:cs="Arial" w:eastAsia="Arial" w:hAnsi="Arial"/>
          <w:sz w:val="18"/>
          <w:szCs w:val="18"/>
          <w:color w:val="auto"/>
        </w:rPr>
      </w:pPr>
    </w:p>
    <w:p>
      <w:pPr>
        <w:ind w:right="180" w:firstLine="1436"/>
        <w:spacing w:after="0" w:line="297" w:lineRule="auto"/>
        <w:tabs>
          <w:tab w:leader="none" w:pos="1698" w:val="left"/>
        </w:tabs>
        <w:numPr>
          <w:ilvl w:val="0"/>
          <w:numId w:val="190"/>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(as defined in Section 8.3(viii)) of the Corporation outstanding at the time the transaction commenced, excluding for purposes of determining the Voting Stock outstanding (but not the outstanding Voting Stock owned by the Interested Stockholder) those shares owned by (1) Persons who are directors and also officers of the Corporation or (2) employee stock plans in which employee participants do not have the right to determine confidentially whether shares held subject to the plan will be tendered in a tender or exchange offer, or</w:t>
      </w:r>
    </w:p>
    <w:p>
      <w:pPr>
        <w:spacing w:after="0" w:line="50" w:lineRule="exact"/>
        <w:rPr>
          <w:rFonts w:ascii="Arial" w:cs="Arial" w:eastAsia="Arial" w:hAnsi="Arial"/>
          <w:sz w:val="16"/>
          <w:szCs w:val="16"/>
          <w:color w:val="auto"/>
        </w:rPr>
      </w:pPr>
    </w:p>
    <w:p>
      <w:pPr>
        <w:ind w:right="560" w:firstLine="1436"/>
        <w:spacing w:after="0" w:line="264" w:lineRule="auto"/>
        <w:tabs>
          <w:tab w:leader="none" w:pos="174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and authorized at an annual or special meeting of stockholders, and not by written consent, by the affirmative vote of at least two-thirds (2/3) of the outstanding Voting Stock of the Corporation which is not owned by the Interested Stockholder.</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in Section 14, for purposes of this Section 8:</w:t>
      </w:r>
    </w:p>
    <w:p>
      <w:pPr>
        <w:spacing w:after="0" w:line="117" w:lineRule="exact"/>
        <w:rPr>
          <w:sz w:val="20"/>
          <w:szCs w:val="20"/>
          <w:color w:val="auto"/>
        </w:rPr>
      </w:pPr>
    </w:p>
    <w:p>
      <w:pPr>
        <w:ind w:firstLine="1436"/>
        <w:spacing w:after="0" w:line="257" w:lineRule="auto"/>
        <w:tabs>
          <w:tab w:leader="none" w:pos="164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Associate</w:t>
      </w:r>
      <w:r>
        <w:rPr>
          <w:rFonts w:ascii="Arial" w:cs="Arial" w:eastAsia="Arial" w:hAnsi="Arial"/>
          <w:sz w:val="18"/>
          <w:szCs w:val="18"/>
          <w:color w:val="auto"/>
        </w:rPr>
        <w:t>,” when used to indicate a relationship with any Person, means: (1) any corporation, partnership, unincorporated association or other entity of which such Person is a director, officer, manager or partner or is, directly or indirectly, the Owner of 20% or more of any class of Voting Stock; (2) any trust or other estate in which such Person has at least a 20% beneficial interest or as to which such Person serves as trustee or in a similar fiduciary capacity; and (3) any relative or spouse of such Person, or any relative of such spouse, who has the same residence as such Person.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92" w:name="page293"/>
    <w:bookmarkEnd w:id="292"/>
    <w:p>
      <w:pPr>
        <w:ind w:left="1700" w:hanging="264"/>
        <w:spacing w:after="0"/>
        <w:tabs>
          <w:tab w:leader="none" w:pos="17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when used in reference to the Corporation and any Interested Stockholder, means:</w:t>
      </w:r>
    </w:p>
    <w:p>
      <w:pPr>
        <w:spacing w:after="0" w:line="117" w:lineRule="exact"/>
        <w:rPr>
          <w:rFonts w:ascii="Arial" w:cs="Arial" w:eastAsia="Arial" w:hAnsi="Arial"/>
          <w:sz w:val="18"/>
          <w:szCs w:val="18"/>
          <w:color w:val="auto"/>
        </w:rPr>
      </w:pPr>
    </w:p>
    <w:p>
      <w:pPr>
        <w:ind w:left="2240" w:hanging="253"/>
        <w:spacing w:after="0"/>
        <w:tabs>
          <w:tab w:leader="none" w:pos="2240" w:val="left"/>
        </w:tabs>
        <w:numPr>
          <w:ilvl w:val="2"/>
          <w:numId w:val="192"/>
        </w:numPr>
        <w:rPr>
          <w:rFonts w:ascii="Arial" w:cs="Arial" w:eastAsia="Arial" w:hAnsi="Arial"/>
          <w:sz w:val="17"/>
          <w:szCs w:val="17"/>
          <w:color w:val="auto"/>
        </w:rPr>
      </w:pPr>
      <w:r>
        <w:rPr>
          <w:rFonts w:ascii="Arial" w:cs="Arial" w:eastAsia="Arial" w:hAnsi="Arial"/>
          <w:sz w:val="17"/>
          <w:szCs w:val="17"/>
          <w:color w:val="auto"/>
        </w:rPr>
        <w:t>any merger or consolidation of the Corporation or any direct or indirect majority-owned subsidiary of the Corporation</w:t>
      </w:r>
    </w:p>
    <w:p>
      <w:pPr>
        <w:spacing w:after="0" w:line="34" w:lineRule="exact"/>
        <w:rPr>
          <w:rFonts w:ascii="Arial" w:cs="Arial" w:eastAsia="Arial" w:hAnsi="Arial"/>
          <w:sz w:val="17"/>
          <w:szCs w:val="17"/>
          <w:color w:val="auto"/>
        </w:rPr>
      </w:pPr>
    </w:p>
    <w:p>
      <w:pPr>
        <w:ind w:right="20" w:firstLine="4"/>
        <w:spacing w:after="0" w:line="323" w:lineRule="auto"/>
        <w:tabs>
          <w:tab w:leader="none" w:pos="245" w:val="left"/>
        </w:tabs>
        <w:numPr>
          <w:ilvl w:val="0"/>
          <w:numId w:val="193"/>
        </w:numPr>
        <w:rPr>
          <w:rFonts w:ascii="Arial" w:cs="Arial" w:eastAsia="Arial" w:hAnsi="Arial"/>
          <w:sz w:val="16"/>
          <w:szCs w:val="16"/>
          <w:color w:val="auto"/>
        </w:rPr>
      </w:pPr>
      <w:r>
        <w:rPr>
          <w:rFonts w:ascii="Arial" w:cs="Arial" w:eastAsia="Arial" w:hAnsi="Arial"/>
          <w:sz w:val="16"/>
          <w:szCs w:val="16"/>
          <w:color w:val="auto"/>
        </w:rPr>
        <w:t>with the Interested Stockholder, or (b) with any other corporation, partnership, unincorporated association or other entity if the merger or consolidation is caused by the Interested Stockholder and as a result of such merger or consolidation Section 8.2 is not applicable to the surviving entity;</w:t>
      </w:r>
    </w:p>
    <w:p>
      <w:pPr>
        <w:spacing w:after="0" w:line="30" w:lineRule="exact"/>
        <w:rPr>
          <w:rFonts w:ascii="Arial" w:cs="Arial" w:eastAsia="Arial" w:hAnsi="Arial"/>
          <w:sz w:val="16"/>
          <w:szCs w:val="16"/>
          <w:color w:val="auto"/>
        </w:rPr>
      </w:pPr>
    </w:p>
    <w:p>
      <w:pPr>
        <w:ind w:right="100" w:firstLine="1987"/>
        <w:spacing w:after="0" w:line="257" w:lineRule="auto"/>
        <w:tabs>
          <w:tab w:leader="none" w:pos="2239" w:val="left"/>
        </w:tabs>
        <w:numPr>
          <w:ilvl w:val="2"/>
          <w:numId w:val="193"/>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of the assets of the Corporation determined on a consolidated basis or the aggregate market value of all of the outstanding Stock of the Corporation;</w:t>
      </w:r>
    </w:p>
    <w:p>
      <w:pPr>
        <w:spacing w:after="0" w:line="80" w:lineRule="exact"/>
        <w:rPr>
          <w:rFonts w:ascii="Arial" w:cs="Arial" w:eastAsia="Arial" w:hAnsi="Arial"/>
          <w:sz w:val="18"/>
          <w:szCs w:val="18"/>
          <w:color w:val="auto"/>
        </w:rPr>
      </w:pPr>
    </w:p>
    <w:p>
      <w:pPr>
        <w:ind w:right="80" w:firstLine="1987"/>
        <w:spacing w:after="0" w:line="269" w:lineRule="auto"/>
        <w:tabs>
          <w:tab w:leader="none" w:pos="2239" w:val="left"/>
        </w:tabs>
        <w:numPr>
          <w:ilvl w:val="2"/>
          <w:numId w:val="193"/>
        </w:numPr>
        <w:rPr>
          <w:rFonts w:ascii="Arial" w:cs="Arial" w:eastAsia="Arial" w:hAnsi="Arial"/>
          <w:sz w:val="17"/>
          <w:szCs w:val="17"/>
          <w:color w:val="auto"/>
        </w:rPr>
      </w:pPr>
      <w:r>
        <w:rPr>
          <w:rFonts w:ascii="Arial" w:cs="Arial" w:eastAsia="Arial" w:hAnsi="Arial"/>
          <w:sz w:val="17"/>
          <w:szCs w:val="17"/>
          <w:color w:val="auto"/>
        </w:rPr>
        <w:t xml:space="preserve">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General Corporation Law; (c) pursuant to a dividend or distribution paid or made on, or the exercise, exchange or conversion of securities exercisable for, exchangeable for or convertible into, Stock of the Corporation or any such subsidiary which security is distributed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case under items (c)-(e) of this subsection (3)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74" w:lineRule="exact"/>
        <w:rPr>
          <w:rFonts w:ascii="Arial" w:cs="Arial" w:eastAsia="Arial" w:hAnsi="Arial"/>
          <w:sz w:val="17"/>
          <w:szCs w:val="17"/>
          <w:color w:val="auto"/>
        </w:rPr>
      </w:pPr>
    </w:p>
    <w:p>
      <w:pPr>
        <w:ind w:firstLine="1987"/>
        <w:spacing w:after="0" w:line="257" w:lineRule="auto"/>
        <w:tabs>
          <w:tab w:leader="none" w:pos="2239" w:val="left"/>
        </w:tabs>
        <w:numPr>
          <w:ilvl w:val="2"/>
          <w:numId w:val="193"/>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80" w:lineRule="exact"/>
        <w:rPr>
          <w:rFonts w:ascii="Arial" w:cs="Arial" w:eastAsia="Arial" w:hAnsi="Arial"/>
          <w:sz w:val="18"/>
          <w:szCs w:val="18"/>
          <w:color w:val="auto"/>
        </w:rPr>
      </w:pPr>
    </w:p>
    <w:p>
      <w:pPr>
        <w:ind w:right="120" w:firstLine="1987"/>
        <w:spacing w:after="0" w:line="264" w:lineRule="auto"/>
        <w:tabs>
          <w:tab w:leader="none" w:pos="2239" w:val="left"/>
        </w:tabs>
        <w:numPr>
          <w:ilvl w:val="2"/>
          <w:numId w:val="193"/>
        </w:numPr>
        <w:rPr>
          <w:rFonts w:ascii="Arial" w:cs="Arial" w:eastAsia="Arial" w:hAnsi="Arial"/>
          <w:sz w:val="18"/>
          <w:szCs w:val="18"/>
          <w:color w:val="auto"/>
        </w:rPr>
      </w:pPr>
      <w:r>
        <w:rPr>
          <w:rFonts w:ascii="Arial" w:cs="Arial" w:eastAsia="Arial" w:hAnsi="Arial"/>
          <w:sz w:val="18"/>
          <w:szCs w:val="18"/>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(1)-(4) above) provided by or through the Corporation or any direct or indirect majority-owned subsidiary.</w:t>
      </w:r>
    </w:p>
    <w:p>
      <w:pPr>
        <w:spacing w:after="0" w:line="73" w:lineRule="exact"/>
        <w:rPr>
          <w:rFonts w:ascii="Arial" w:cs="Arial" w:eastAsia="Arial" w:hAnsi="Arial"/>
          <w:sz w:val="18"/>
          <w:szCs w:val="18"/>
          <w:color w:val="auto"/>
        </w:rPr>
      </w:pPr>
    </w:p>
    <w:p>
      <w:pPr>
        <w:ind w:right="80" w:firstLine="1436"/>
        <w:spacing w:after="0" w:line="264" w:lineRule="auto"/>
        <w:tabs>
          <w:tab w:leader="none" w:pos="1748"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Stock, by contract or otherwise. A Person who is the Owner of 20% or more of the outstanding Voting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93" w:name="page294"/>
    <w:bookmarkEnd w:id="293"/>
    <w:p>
      <w:pPr>
        <w:jc w:val="both"/>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8, as an agent, bank, broker, nominee, custodian or trustee for one or more Owners who do not individually or as a group have Control of such entity. The definition of Control and correlated terms set forth in Section 14 shall not apply for purposes of this Section 8.</w:t>
      </w:r>
    </w:p>
    <w:p>
      <w:pPr>
        <w:spacing w:after="0" w:line="80" w:lineRule="exact"/>
        <w:rPr>
          <w:sz w:val="20"/>
          <w:szCs w:val="20"/>
          <w:color w:val="auto"/>
        </w:rPr>
      </w:pPr>
    </w:p>
    <w:p>
      <w:pPr>
        <w:ind w:firstLine="1436"/>
        <w:spacing w:after="0" w:line="286" w:lineRule="auto"/>
        <w:tabs>
          <w:tab w:leader="none" w:pos="1738" w:val="left"/>
        </w:tabs>
        <w:numPr>
          <w:ilvl w:val="0"/>
          <w:numId w:val="1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Interested Stockholder</w:t>
      </w:r>
      <w:r>
        <w:rPr>
          <w:rFonts w:ascii="Arial" w:cs="Arial" w:eastAsia="Arial" w:hAnsi="Arial"/>
          <w:sz w:val="16"/>
          <w:szCs w:val="16"/>
          <w:color w:val="auto"/>
        </w:rPr>
        <w:t xml:space="preserve">” means any Person (other than the Corporation or any direct or indirect majority-owned subsidiary of the Corporation) that (1) is the Owner of 15% or more of the outstanding Voting Stock of the Corporation, or (2) is an Affiliate or Associate of the Corporation and was the Owner of 15% or more of the outstanding Voting Stock of the Corporation at any time within the three year period immediately prior to the date on which it is sought to be determined whether such Person is an Interested Stockholder, and the Affiliates and Associates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term “Interested Stockholder” shall not include (a) Post (as defined in Section 14) or Post Transferees, or any Affiliates of any such Post Transferees, (b) any Person whose ownership of Stock in excess of the 15% limitation set forth herein is the result of any action taken solely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Person specified in this clause (b) shall be an Interested Stockholder if thereafter such Person acquires additional shares of Voting Stock of the Corporation, except as a result of further corporate action not caused, directly or indirectly, by such Person; or (c) any Person whose ownership of Stock in excess of the 15% limitation set forth herein is the result of any action taken inadvertently;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Person specified in this clause (c) (1) as soon as practicable divests itself of ownership of sufficient shares so that the Person ceases to otherwise be an Interested Stockholder, and (2) would not, at any time within the three year period immediately prior to a Business Combination between the Corporation and such Person, have been an Interested Stockholder but for the inadvertent acquisition of ownership.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60" w:lineRule="exact"/>
        <w:rPr>
          <w:rFonts w:ascii="Arial" w:cs="Arial" w:eastAsia="Arial" w:hAnsi="Arial"/>
          <w:sz w:val="16"/>
          <w:szCs w:val="16"/>
          <w:color w:val="auto"/>
        </w:rPr>
      </w:pPr>
    </w:p>
    <w:p>
      <w:pPr>
        <w:ind w:right="260" w:firstLine="1436"/>
        <w:spacing w:after="0" w:line="277" w:lineRule="auto"/>
        <w:tabs>
          <w:tab w:leader="none" w:pos="168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Owner</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Own</w:t>
      </w:r>
      <w:r>
        <w:rPr>
          <w:rFonts w:ascii="Arial" w:cs="Arial" w:eastAsia="Arial" w:hAnsi="Arial"/>
          <w:sz w:val="18"/>
          <w:szCs w:val="18"/>
          <w:color w:val="auto"/>
        </w:rPr>
        <w:t>” and “</w:t>
      </w:r>
      <w:r>
        <w:rPr>
          <w:rFonts w:ascii="Arial" w:cs="Arial" w:eastAsia="Arial" w:hAnsi="Arial"/>
          <w:sz w:val="18"/>
          <w:szCs w:val="18"/>
          <w:u w:val="single" w:color="auto"/>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62" w:lineRule="exact"/>
        <w:rPr>
          <w:rFonts w:ascii="Arial" w:cs="Arial" w:eastAsia="Arial" w:hAnsi="Arial"/>
          <w:sz w:val="18"/>
          <w:szCs w:val="18"/>
          <w:color w:val="auto"/>
        </w:rPr>
      </w:pPr>
    </w:p>
    <w:p>
      <w:pPr>
        <w:ind w:left="2240" w:hanging="253"/>
        <w:spacing w:after="0"/>
        <w:tabs>
          <w:tab w:leader="none" w:pos="22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117" w:lineRule="exact"/>
        <w:rPr>
          <w:rFonts w:ascii="Arial" w:cs="Arial" w:eastAsia="Arial" w:hAnsi="Arial"/>
          <w:sz w:val="18"/>
          <w:szCs w:val="18"/>
          <w:color w:val="auto"/>
        </w:rPr>
      </w:pPr>
    </w:p>
    <w:p>
      <w:pPr>
        <w:ind w:firstLine="1987"/>
        <w:spacing w:after="0" w:line="272" w:lineRule="auto"/>
        <w:tabs>
          <w:tab w:leader="none" w:pos="2239" w:val="left"/>
        </w:tabs>
        <w:numPr>
          <w:ilvl w:val="1"/>
          <w:numId w:val="194"/>
        </w:numPr>
        <w:rPr>
          <w:rFonts w:ascii="Arial" w:cs="Arial" w:eastAsia="Arial" w:hAnsi="Arial"/>
          <w:sz w:val="17"/>
          <w:szCs w:val="17"/>
          <w:color w:val="auto"/>
        </w:rPr>
      </w:pPr>
      <w:r>
        <w:rPr>
          <w:rFonts w:ascii="Arial" w:cs="Arial" w:eastAsia="Arial" w:hAnsi="Arial"/>
          <w:sz w:val="17"/>
          <w:szCs w:val="17"/>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or more Persons; or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94" w:name="page295"/>
    <w:bookmarkEnd w:id="294"/>
    <w:p>
      <w:pPr>
        <w:ind w:left="-20" w:firstLine="1987"/>
        <w:spacing w:after="0" w:line="264" w:lineRule="auto"/>
        <w:tabs>
          <w:tab w:leader="none" w:pos="2219" w:val="left"/>
        </w:tabs>
        <w:numPr>
          <w:ilvl w:val="2"/>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has any agreement, arrangement or understanding for the purpose of acquiring, holding, voting (except voting pursuant to a revocable proxy or consent as described in item (b) of subsection (2) above), or disposing of such Stock with any other Person that beneficially owns, or whose Affiliates or Associates beneficially own, directly or indirectly, such Stock.</w:t>
      </w:r>
    </w:p>
    <w:p>
      <w:pPr>
        <w:spacing w:after="0" w:line="73" w:lineRule="exact"/>
        <w:rPr>
          <w:rFonts w:ascii="Arial" w:cs="Arial" w:eastAsia="Arial" w:hAnsi="Arial"/>
          <w:sz w:val="18"/>
          <w:szCs w:val="18"/>
          <w:color w:val="auto"/>
        </w:rPr>
      </w:pPr>
    </w:p>
    <w:p>
      <w:pPr>
        <w:ind w:left="-20" w:right="80" w:firstLine="1436"/>
        <w:spacing w:after="0" w:line="293" w:lineRule="auto"/>
        <w:tabs>
          <w:tab w:leader="none" w:pos="1718" w:val="left"/>
        </w:tabs>
        <w:numPr>
          <w:ilvl w:val="1"/>
          <w:numId w:val="1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 Transferee</w:t>
      </w:r>
      <w:r>
        <w:rPr>
          <w:rFonts w:ascii="Arial" w:cs="Arial" w:eastAsia="Arial" w:hAnsi="Arial"/>
          <w:sz w:val="16"/>
          <w:szCs w:val="16"/>
          <w:color w:val="auto"/>
        </w:rPr>
        <w:t>” means any Person who (a) acquires Voting Stock of the Corporation from Post (other than in connection with a public offering) or (b) is granted a proxy by, or enters into a voting agreement or other voting arrangement with, Post pursuant to Section 8.04 of the LLC Agreement, and in either case is designated in writing by Post as a “Post Transferee.” For avoidance of doubt, a Person described in clause (b) of the preceding sentence who shall have been designated in writing by Post as a Post Transferee shall continue to be a Post Transferee in the event such Person acquires shares of Class A Common Stock through the exercise of its right to redeem the Nonvoting Common Units, which were the subject of such proxy, agreement or other arrangement, in accordance with Article IX of the LLC Agreement.</w:t>
      </w:r>
    </w:p>
    <w:p>
      <w:pPr>
        <w:spacing w:after="0" w:line="56" w:lineRule="exact"/>
        <w:rPr>
          <w:rFonts w:ascii="Arial" w:cs="Arial" w:eastAsia="Arial" w:hAnsi="Arial"/>
          <w:sz w:val="16"/>
          <w:szCs w:val="16"/>
          <w:color w:val="auto"/>
        </w:rPr>
      </w:pPr>
    </w:p>
    <w:p>
      <w:pPr>
        <w:ind w:left="1780" w:hanging="364"/>
        <w:spacing w:after="0"/>
        <w:tabs>
          <w:tab w:leader="none" w:pos="1780" w:val="left"/>
        </w:tabs>
        <w:numPr>
          <w:ilvl w:val="1"/>
          <w:numId w:val="19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w:t>
      </w:r>
      <w:r>
        <w:rPr>
          <w:rFonts w:ascii="Arial" w:cs="Arial" w:eastAsia="Arial" w:hAnsi="Arial"/>
          <w:sz w:val="17"/>
          <w:szCs w:val="17"/>
          <w:color w:val="auto"/>
        </w:rPr>
        <w:t>” means, with respect to any corporation, capital stock and, with respect to any other entity, any equity interest.</w:t>
      </w:r>
    </w:p>
    <w:p>
      <w:pPr>
        <w:spacing w:after="0" w:line="128" w:lineRule="exact"/>
        <w:rPr>
          <w:rFonts w:ascii="Arial" w:cs="Arial" w:eastAsia="Arial" w:hAnsi="Arial"/>
          <w:sz w:val="17"/>
          <w:szCs w:val="17"/>
          <w:color w:val="auto"/>
        </w:rPr>
      </w:pPr>
    </w:p>
    <w:p>
      <w:pPr>
        <w:ind w:left="-20" w:right="200" w:firstLine="1436"/>
        <w:spacing w:after="0" w:line="264" w:lineRule="auto"/>
        <w:tabs>
          <w:tab w:leader="none" w:pos="181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Stock of any class or series entitled to vote generally in the election of directors (or such equivalent office with the power to direct or cause the direction of the management and policies of a Person). Every reference in this Section 8 to a percentage of Voting Stock shall refer to such percentage of the votes of such Voting Stock.</w:t>
      </w:r>
    </w:p>
    <w:p>
      <w:pPr>
        <w:spacing w:after="0" w:line="73" w:lineRule="exact"/>
        <w:rPr>
          <w:rFonts w:ascii="Arial" w:cs="Arial" w:eastAsia="Arial" w:hAnsi="Arial"/>
          <w:sz w:val="18"/>
          <w:szCs w:val="18"/>
          <w:color w:val="auto"/>
        </w:rPr>
      </w:pPr>
    </w:p>
    <w:p>
      <w:pPr>
        <w:ind w:left="600" w:hanging="176"/>
        <w:spacing w:after="0"/>
        <w:tabs>
          <w:tab w:leader="none" w:pos="60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Corporate Opportunities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Competition and Corporate Opportunities</w:t>
      </w:r>
      <w:r>
        <w:rPr>
          <w:rFonts w:ascii="Arial" w:cs="Arial" w:eastAsia="Arial" w:hAnsi="Arial"/>
          <w:sz w:val="18"/>
          <w:szCs w:val="18"/>
          <w:color w:val="auto"/>
        </w:rPr>
        <w:t>.</w:t>
      </w:r>
    </w:p>
    <w:p>
      <w:pPr>
        <w:spacing w:after="0" w:line="117" w:lineRule="exact"/>
        <w:rPr>
          <w:sz w:val="20"/>
          <w:szCs w:val="20"/>
          <w:color w:val="auto"/>
        </w:rPr>
      </w:pPr>
    </w:p>
    <w:p>
      <w:pPr>
        <w:ind w:left="-20" w:right="40" w:firstLine="1436"/>
        <w:spacing w:after="0" w:line="270" w:lineRule="auto"/>
        <w:tabs>
          <w:tab w:leader="none" w:pos="1628" w:val="left"/>
        </w:tabs>
        <w:numPr>
          <w:ilvl w:val="0"/>
          <w:numId w:val="198"/>
        </w:numPr>
        <w:rPr>
          <w:rFonts w:ascii="Arial" w:cs="Arial" w:eastAsia="Arial" w:hAnsi="Arial"/>
          <w:sz w:val="17"/>
          <w:szCs w:val="17"/>
          <w:color w:val="auto"/>
        </w:rPr>
      </w:pPr>
      <w:r>
        <w:rPr>
          <w:rFonts w:ascii="Arial" w:cs="Arial" w:eastAsia="Arial" w:hAnsi="Arial"/>
          <w:sz w:val="17"/>
          <w:szCs w:val="17"/>
          <w:color w:val="auto"/>
        </w:rPr>
        <w:t>Subject to any express agreement that may from time to time be in effect, to the fullest extent permitted by law, Post may, and shall have no duty not to, (a) carry on and conduct, whether directly or indirectly, including, but not limited to, as a partner in any partnership or member, manager or owner of any limited liability company or other type of entity, as a joint venturer in any joint venture, as an officer, director or stockholder of any corporation or as a participant in any syndicate, pool, trust or association, any business of any kind, nature or description, whether or not such business is competitive with or in the same or similar lines of business as the Corporation or any of its Controlled Companies (as defined in Section 14), (b) do business with any client, customer, vendor or lessor of the Corporation or any of its Controlled Companies and (c) make investments in any kind of property in which the Corporation or any of its Controlled Companies may make investments, and no Dual Role Person (as defined in Section 14) shall, to the fullest extent permitted by law, be deemed to have breached his, her or its fiduciary duties, if any, to the Corporation solely by reason of Post’s engaging in any such activity.</w:t>
      </w:r>
    </w:p>
    <w:p>
      <w:pPr>
        <w:spacing w:after="0" w:line="73" w:lineRule="exact"/>
        <w:rPr>
          <w:rFonts w:ascii="Arial" w:cs="Arial" w:eastAsia="Arial" w:hAnsi="Arial"/>
          <w:sz w:val="17"/>
          <w:szCs w:val="17"/>
          <w:color w:val="auto"/>
        </w:rPr>
      </w:pPr>
    </w:p>
    <w:p>
      <w:pPr>
        <w:ind w:left="-20" w:right="80" w:firstLine="1436"/>
        <w:spacing w:after="0" w:line="297" w:lineRule="auto"/>
        <w:tabs>
          <w:tab w:leader="none" w:pos="1678"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To the fullest extent permitted by Section 122(17) of the General Corporation Law, the Corporation hereby renounces any interest or expectancy of the Corporation or any of its Controlled Companies to participate in any business of Post, and waives any claim against each Dual Role Person, and shall indemnify each Dual Role Person against any claim, that such Dual Role Person is liable to the Corporation or its stockholders for breach of any fiduciary duty solely by reason of such Dual Role Person’s participation in any such business. The Corporation shall pay in advance any expenses incurred in defense of any such claim against any Dual Role Person pursuant to Section 10 or as provided in the Bylaws.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60" w:top="274" w:right="459" w:bottom="1440" w:gutter="0" w:footer="0" w:header="0"/>
        </w:sectPr>
      </w:pPr>
    </w:p>
    <w:bookmarkStart w:id="295" w:name="page296"/>
    <w:bookmarkEnd w:id="295"/>
    <w:p>
      <w:pPr>
        <w:ind w:firstLine="1436"/>
        <w:spacing w:after="0" w:line="285" w:lineRule="auto"/>
        <w:tabs>
          <w:tab w:leader="none" w:pos="1748" w:val="left"/>
        </w:tabs>
        <w:numPr>
          <w:ilvl w:val="1"/>
          <w:numId w:val="1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fullest extent permitted by Section 122(17) of the General Corporation Law, the Corporation hereby renounces any interest or expectancy of the Corporation or any of its Controlled Companies in any potential transaction or matter which may constitute a corporate opportunity for both (a) Post and (b) the Corporation or any of its Controlled Companies, and waives any claim against each Dual Role Person, and shall indemnify each Dual Role Person against any claim, that such Dual Role Person is liable to the Corporation or its stockholders for breach of any fiduciary duty solely by reason of the fact that such Dual Role Person (a) pursues or acquires any corporate opportunity for the account of Post,</w:t>
      </w:r>
    </w:p>
    <w:p>
      <w:pPr>
        <w:spacing w:after="0" w:line="2" w:lineRule="exact"/>
        <w:rPr>
          <w:rFonts w:ascii="Arial" w:cs="Arial" w:eastAsia="Arial" w:hAnsi="Arial"/>
          <w:sz w:val="16"/>
          <w:szCs w:val="16"/>
          <w:color w:val="auto"/>
        </w:rPr>
      </w:pPr>
    </w:p>
    <w:p>
      <w:pPr>
        <w:ind w:firstLine="4"/>
        <w:spacing w:after="0" w:line="252" w:lineRule="auto"/>
        <w:tabs>
          <w:tab w:leader="none" w:pos="25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directs, recommends or otherwise transfers such corporate opportunity to Post or (c) does not offer or communicate information regarding such corporate opportunity to the Corporation or any of its Controlled Companies because such Dual Role Person has directed or intends to direct such opportunity to Post;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each case, that any corporate opportunity which is expressly offered to a Dual Role Person solely in his or her capacity as a director, officer, manager, employee or agent of the Corporation or any of its Controlled Companies, as reasonably determined by such Dual Role Person, shall belong to the Corporation. The Corporation shall pay in advance any expenses incurred in defense of any such claim pursuant to Section 10 or as provided in the Bylaws.</w:t>
      </w:r>
    </w:p>
    <w:p>
      <w:pPr>
        <w:spacing w:after="0" w:line="86" w:lineRule="exact"/>
        <w:rPr>
          <w:sz w:val="20"/>
          <w:szCs w:val="20"/>
          <w:color w:val="auto"/>
        </w:rPr>
      </w:pPr>
    </w:p>
    <w:p>
      <w:pPr>
        <w:jc w:val="both"/>
        <w:ind w:right="240" w:firstLine="1436"/>
        <w:spacing w:after="0" w:line="264" w:lineRule="auto"/>
        <w:tabs>
          <w:tab w:leader="none" w:pos="173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foregoing provisions in this Section 9.1, and the action of any Dual Role Person taken in accordance with, or in reliance upon, the foregoing provisions in this Section 9.1, including entering into or performing any agreement, transaction or arrangement, are, to the fullest extent permitted by law, deemed and presumed to be fair to the Corporation.</w:t>
      </w:r>
    </w:p>
    <w:p>
      <w:pPr>
        <w:spacing w:after="0" w:line="73" w:lineRule="exact"/>
        <w:rPr>
          <w:sz w:val="20"/>
          <w:szCs w:val="20"/>
          <w:color w:val="auto"/>
        </w:rPr>
      </w:pPr>
    </w:p>
    <w:p>
      <w:pPr>
        <w:ind w:right="100" w:firstLine="992"/>
        <w:spacing w:after="0" w:line="276"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Certain Matters Deemed not Corporate Opportunities</w:t>
      </w:r>
      <w:r>
        <w:rPr>
          <w:rFonts w:ascii="Arial" w:cs="Arial" w:eastAsia="Arial" w:hAnsi="Arial"/>
          <w:sz w:val="17"/>
          <w:szCs w:val="17"/>
          <w:color w:val="auto"/>
        </w:rPr>
        <w:t>. In addition to and notwithstanding the foregoing provisions of this Section 9, the Corporation renounces any interest or expectancy of the Corporation or any of its Controlled Companies in, or in being offered an opportunity to participate in, any business opportunity pursued by or at the direction of Post that the Corporation is not financially able, contractually permitted or legally able to undertake. Moreover, nothing in this Section 9 shall amend or modify in any respect any written contractual agreement between Post, on the one hand, and the Corporation or any of its Controlled Companies, on the other hand.</w:t>
      </w:r>
    </w:p>
    <w:p>
      <w:pPr>
        <w:spacing w:after="0" w:line="64" w:lineRule="exact"/>
        <w:rPr>
          <w:sz w:val="20"/>
          <w:szCs w:val="20"/>
          <w:color w:val="auto"/>
        </w:rPr>
      </w:pPr>
    </w:p>
    <w:p>
      <w:pPr>
        <w:ind w:right="140" w:firstLine="992"/>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Deemed Notice</w:t>
      </w:r>
      <w:r>
        <w:rPr>
          <w:rFonts w:ascii="Arial" w:cs="Arial" w:eastAsia="Arial" w:hAnsi="Arial"/>
          <w:sz w:val="18"/>
          <w:szCs w:val="18"/>
          <w:i w:val="1"/>
          <w:iCs w:val="1"/>
          <w:color w:val="auto"/>
        </w:rPr>
        <w:t>.</w:t>
      </w:r>
      <w:r>
        <w:rPr>
          <w:rFonts w:ascii="Arial" w:cs="Arial" w:eastAsia="Arial" w:hAnsi="Arial"/>
          <w:sz w:val="18"/>
          <w:szCs w:val="18"/>
          <w:color w:val="auto"/>
        </w:rPr>
        <w:t xml:space="preserve"> Any Person purchasing or otherwise acquiring or obtaining any interest in any capital stock of the Corporation shall be deemed to have notice of and to have consented to the provisions of this Section 9.</w:t>
      </w:r>
    </w:p>
    <w:p>
      <w:pPr>
        <w:spacing w:after="0" w:line="62" w:lineRule="exact"/>
        <w:rPr>
          <w:sz w:val="20"/>
          <w:szCs w:val="20"/>
          <w:color w:val="auto"/>
        </w:rPr>
      </w:pPr>
    </w:p>
    <w:p>
      <w:pPr>
        <w:ind w:right="180" w:firstLine="992"/>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Severability</w:t>
      </w:r>
      <w:r>
        <w:rPr>
          <w:rFonts w:ascii="Arial" w:cs="Arial" w:eastAsia="Arial" w:hAnsi="Arial"/>
          <w:sz w:val="18"/>
          <w:szCs w:val="18"/>
          <w:i w:val="1"/>
          <w:iCs w:val="1"/>
          <w:color w:val="auto"/>
        </w:rPr>
        <w:t>.</w:t>
      </w:r>
      <w:r>
        <w:rPr>
          <w:rFonts w:ascii="Arial" w:cs="Arial" w:eastAsia="Arial" w:hAnsi="Arial"/>
          <w:sz w:val="18"/>
          <w:szCs w:val="18"/>
          <w:color w:val="auto"/>
        </w:rPr>
        <w:t xml:space="preserve"> The invalidity or unenforceability of any particular provision, or part of any provision, of this Section 9 shall not affect the other provisions or parts hereof, and this Section 9 shall be construed in all respects as if such invalid or unenforceable provisions or parts were omitted.</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Amendment; Terminations</w:t>
      </w:r>
      <w:r>
        <w:rPr>
          <w:rFonts w:ascii="Arial" w:cs="Arial" w:eastAsia="Arial" w:hAnsi="Arial"/>
          <w:sz w:val="18"/>
          <w:szCs w:val="18"/>
          <w:color w:val="auto"/>
        </w:rPr>
        <w:t>.</w:t>
      </w:r>
    </w:p>
    <w:p>
      <w:pPr>
        <w:spacing w:after="0" w:line="117" w:lineRule="exact"/>
        <w:rPr>
          <w:sz w:val="20"/>
          <w:szCs w:val="20"/>
          <w:color w:val="auto"/>
        </w:rPr>
      </w:pPr>
    </w:p>
    <w:p>
      <w:pPr>
        <w:ind w:right="260" w:firstLine="1436"/>
        <w:spacing w:after="0" w:line="264" w:lineRule="auto"/>
        <w:tabs>
          <w:tab w:leader="none" w:pos="164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provisions of this Section 9 shall have no further force or effect at such time as (1) the Corporation and Post are no longer Affiliates of one another and (2) none of the directors, officers, employees, agents and/or Affiliates of Post serve as directors, officers, managers, employees and/or agents of the Corporation or any of its Controlled Companies.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96" w:name="page297"/>
    <w:bookmarkEnd w:id="296"/>
    <w:p>
      <w:pPr>
        <w:ind w:right="140" w:firstLine="1436"/>
        <w:spacing w:after="0" w:line="293" w:lineRule="auto"/>
        <w:tabs>
          <w:tab w:leader="none" w:pos="1698" w:val="left"/>
        </w:tabs>
        <w:numPr>
          <w:ilvl w:val="1"/>
          <w:numId w:val="2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amendment, alteration, change, repeal or termination of this Section 9, nor the adoption of a provision inconsistent with this Section 9, shall eliminate or reduce the effect of such provisions with respect to (1) any matter occurring, or any action or proceeding accruing or arising, prior to such amendment, alteration, change, repeal, termination or adoption of an inconsistent provision or (2) any agreement, arrangement or other understanding between the Corporation and/or a Controlled Company, on the one hand, and Post, on the other hand, that was entered into prior to such amendment, alteration, change, repeal, termination or adoption of an inconsistent provision or any transaction entered into in the performance of such agreement, arrangement or other understanding, whether entered into before or after such time.</w:t>
      </w:r>
    </w:p>
    <w:p>
      <w:pPr>
        <w:spacing w:after="0" w:line="56" w:lineRule="exact"/>
        <w:rPr>
          <w:rFonts w:ascii="Arial" w:cs="Arial" w:eastAsia="Arial" w:hAnsi="Arial"/>
          <w:sz w:val="16"/>
          <w:szCs w:val="16"/>
          <w:color w:val="auto"/>
        </w:rPr>
      </w:pPr>
    </w:p>
    <w:p>
      <w:pPr>
        <w:ind w:left="720" w:hanging="276"/>
        <w:spacing w:after="0"/>
        <w:tabs>
          <w:tab w:leader="none" w:pos="72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firstLine="992"/>
        <w:spacing w:after="0" w:line="25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Actions Involving Directors and Officers</w:t>
      </w:r>
      <w:r>
        <w:rPr>
          <w:rFonts w:ascii="Arial" w:cs="Arial" w:eastAsia="Arial" w:hAnsi="Arial"/>
          <w:sz w:val="18"/>
          <w:szCs w:val="18"/>
          <w:color w:val="auto"/>
        </w:rPr>
        <w:t>. The Corporation shall indemnify each person (other than a party plaintiff suing on his or her behalf or in the right of the Corporation) who at any time is serving or has served as a director or officer of the Corporation against any claim, liability or expense incurred as a result of such service, any other service on behalf of the Corporation or any service at the request of the Corporation as a director, officer, manager, employee, member or agent of another corporation, partnership, joint venture, trust or other enterprise (whether incorporated or unincorporated, for-profit or not-for-profit), to the maximum extent permitted by law. Without limiting the generality of the foregoing, the Corporation shall indemnify any such person who was or is a party (other than a party plaintiff suing on his or her behalf or in the right of the Corporation), or is threatened to be made a party, to any threatened, pending or completed action, suit or proceeding, whether civil, criminal, administrative or investigative (including, but not limited to, an action by or in the right of the Corporation) by reason of such service, against expenses (including, without limitation, attorneys’ fees), judgments, fines and amounts paid in settlement actually and reasonably incurred by him or her in connection with such action, suit or proceeding.</w:t>
      </w:r>
    </w:p>
    <w:p>
      <w:pPr>
        <w:spacing w:after="0" w:line="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Actions Involving Employees or Agents</w:t>
      </w:r>
      <w:r>
        <w:rPr>
          <w:rFonts w:ascii="Arial" w:cs="Arial" w:eastAsia="Arial" w:hAnsi="Arial"/>
          <w:sz w:val="18"/>
          <w:szCs w:val="18"/>
          <w:color w:val="auto"/>
        </w:rPr>
        <w:t>.</w:t>
      </w:r>
    </w:p>
    <w:p>
      <w:pPr>
        <w:spacing w:after="0" w:line="117" w:lineRule="exact"/>
        <w:rPr>
          <w:sz w:val="20"/>
          <w:szCs w:val="20"/>
          <w:color w:val="auto"/>
        </w:rPr>
      </w:pPr>
    </w:p>
    <w:p>
      <w:pPr>
        <w:ind w:firstLine="1436"/>
        <w:spacing w:after="0" w:line="269" w:lineRule="auto"/>
        <w:tabs>
          <w:tab w:leader="none" w:pos="1647"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Permissive Indemnification</w:t>
      </w:r>
      <w:r>
        <w:rPr>
          <w:rFonts w:ascii="Arial" w:cs="Arial" w:eastAsia="Arial" w:hAnsi="Arial"/>
          <w:sz w:val="17"/>
          <w:szCs w:val="17"/>
          <w:i w:val="1"/>
          <w:iCs w:val="1"/>
          <w:color w:val="auto"/>
        </w:rPr>
        <w:t>.</w:t>
      </w:r>
      <w:r>
        <w:rPr>
          <w:rFonts w:ascii="Arial" w:cs="Arial" w:eastAsia="Arial" w:hAnsi="Arial"/>
          <w:sz w:val="17"/>
          <w:szCs w:val="17"/>
          <w:color w:val="auto"/>
        </w:rPr>
        <w:t xml:space="preserve"> The Corporation may, if it deems appropriate and as may be permitted by this Section 10, indemnify any person (other than a party plaintiff suing on his or her own behalf or in the right of the Corporation) who at any time is serving or has served as an employee or agent of the Corporation against any claim, liability or expense incurred as a result of such service, any other service on behalf of the Corporation or any service at the request of the Corporation as a director, officer, manager, employee, member or agent of another corporation, partnership, joint venture, trust or other enterprise (whether incorporated or unincorporated, for-profit or not-for-profit), to the maximum extent permitted by law or to such lesser extent as the Corporation, in its discretion, may deem appropriate. Without limiting the generality of the foregoing, the Corporation may indemnify any such person who was or is a party (other than a party plaintiff suing on his or her own behalf or in the right of the Corporation), or is threatened to be made a party, to any threatened, pending or completed action, suit or proceeding, whether civil, criminal, administrative or investigative (including, but not limited to, an action by or in the right of the Corporation) by reason of such service, against expenses (including, without limitation, attorneys’ fees), judgments, fines and amounts paid in settlement actually and reasonably incurred by him or her in connection with such action, suit or proceeding.</w:t>
      </w:r>
    </w:p>
    <w:p>
      <w:pPr>
        <w:spacing w:after="0" w:line="74" w:lineRule="exact"/>
        <w:rPr>
          <w:rFonts w:ascii="Arial" w:cs="Arial" w:eastAsia="Arial" w:hAnsi="Arial"/>
          <w:sz w:val="17"/>
          <w:szCs w:val="17"/>
          <w:color w:val="auto"/>
        </w:rPr>
      </w:pPr>
    </w:p>
    <w:p>
      <w:pPr>
        <w:ind w:right="60" w:firstLine="1436"/>
        <w:spacing w:after="0" w:line="259" w:lineRule="auto"/>
        <w:tabs>
          <w:tab w:leader="none" w:pos="1698"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Mandatory Indemnification</w:t>
      </w:r>
      <w:r>
        <w:rPr>
          <w:rFonts w:ascii="Arial" w:cs="Arial" w:eastAsia="Arial" w:hAnsi="Arial"/>
          <w:sz w:val="18"/>
          <w:szCs w:val="18"/>
          <w:i w:val="1"/>
          <w:iCs w:val="1"/>
          <w:color w:val="auto"/>
        </w:rPr>
        <w:t>.</w:t>
      </w:r>
      <w:r>
        <w:rPr>
          <w:rFonts w:ascii="Arial" w:cs="Arial" w:eastAsia="Arial" w:hAnsi="Arial"/>
          <w:sz w:val="18"/>
          <w:szCs w:val="18"/>
          <w:color w:val="auto"/>
        </w:rPr>
        <w:t xml:space="preserve"> To the extent that an employee or agent of the Corporation has been successful on the merits or otherwise in defense of any action, suit or proceeding referred to in Section 10.2(i), or in defense of any claim, issue or matter therein, he or she shall be indemnified against expenses (including, without limitation, attorneys’ fees) actually and reasonably incurred by him or her in connection with the action, suit or proceeding.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297" w:name="page298"/>
    <w:bookmarkEnd w:id="297"/>
    <w:p>
      <w:pPr>
        <w:ind w:right="40" w:firstLine="992"/>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10.3. </w:t>
      </w:r>
      <w:r>
        <w:rPr>
          <w:rFonts w:ascii="Arial" w:cs="Arial" w:eastAsia="Arial" w:hAnsi="Arial"/>
          <w:sz w:val="16"/>
          <w:szCs w:val="16"/>
          <w:u w:val="single" w:color="auto"/>
          <w:color w:val="auto"/>
        </w:rPr>
        <w:t>Determination of Right to Indemnification in Certain Circumstances</w:t>
      </w:r>
      <w:r>
        <w:rPr>
          <w:rFonts w:ascii="Arial" w:cs="Arial" w:eastAsia="Arial" w:hAnsi="Arial"/>
          <w:sz w:val="16"/>
          <w:szCs w:val="16"/>
          <w:color w:val="auto"/>
        </w:rPr>
        <w:t xml:space="preserve">. Any indemnification required under Section 10.1 or authorized by the Corporation in a specific case or otherwise required pursuant to Section 10.2 shall be made by the Corporation, unless a determination is made reasonably and promptly that indemnification of the director, officer, employee or agent is not proper under the circumstances. Such determination shall be made (1) by the Board by a majority vote of a quorum consisting of directors who were not parties to such action, suit or proceeding, (2) if such a quorum is not obtainable, or even if obtainable, by independent legal counsel in a written opinion or (3) by majority vote of the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determination shall preclude an action brought in an appropriate court to challenge such determination.</w:t>
      </w:r>
    </w:p>
    <w:p>
      <w:pPr>
        <w:spacing w:after="0" w:line="57" w:lineRule="exact"/>
        <w:rPr>
          <w:sz w:val="20"/>
          <w:szCs w:val="20"/>
          <w:color w:val="auto"/>
        </w:rPr>
      </w:pPr>
    </w:p>
    <w:p>
      <w:pPr>
        <w:ind w:right="100" w:firstLine="992"/>
        <w:spacing w:after="0" w:line="271"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Advance Payment of Expenses</w:t>
      </w:r>
      <w:r>
        <w:rPr>
          <w:rFonts w:ascii="Arial" w:cs="Arial" w:eastAsia="Arial" w:hAnsi="Arial"/>
          <w:sz w:val="17"/>
          <w:szCs w:val="17"/>
          <w:color w:val="auto"/>
        </w:rPr>
        <w:t>. To the extent not prohibited by applicable law, expenses incurred in defense of a claim against a Dual Role Person (as defined in Section 14) pursuant to Section 9.1(ii) or Section 9.1(iii) and expenses incurred by a person who is or was a director or officer of the Corporation in defending a civil or criminal action, suit, proceeding or claim shall be paid by the Corporation in advance of the final disposition of such action, suit, proceeding or claim, and expenses incurred by a person who is or was an employee or agent of the Corporation in defending a civil or criminal action, suit, proceeding or claim may be paid by the Corporation in advance of the final disposition of such action, suit, proceeding or claim as authorized by or at the direction of the Board, in any case upon receipt of an undertaking by or on behalf of the director, officer, employee or agent to repay such amount if it shall ultimately be determined that such person is not entitled to be indemnified by the Corporation as authorized in or pursuant to this Section 10 or otherwise.</w:t>
      </w:r>
    </w:p>
    <w:p>
      <w:pPr>
        <w:spacing w:after="0" w:line="71" w:lineRule="exact"/>
        <w:rPr>
          <w:sz w:val="20"/>
          <w:szCs w:val="20"/>
          <w:color w:val="auto"/>
        </w:rPr>
      </w:pPr>
    </w:p>
    <w:p>
      <w:pPr>
        <w:ind w:right="80" w:firstLine="992"/>
        <w:spacing w:after="0" w:line="302"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Rights Not Exclusive</w:t>
      </w:r>
      <w:r>
        <w:rPr>
          <w:rFonts w:ascii="Arial" w:cs="Arial" w:eastAsia="Arial" w:hAnsi="Arial"/>
          <w:sz w:val="16"/>
          <w:szCs w:val="16"/>
          <w:color w:val="auto"/>
        </w:rPr>
        <w:t>. The indemnification and other rights provided by this Section 10 shall not be deemed exclusive of any other rights to which those seeking indemnification may be entitled under any agreement, vote of stockholders or disinterested directors or otherwise, and the Corporation is hereby specifically authorized to provide such indemnification and other rights by any agreement, vote of stockholders or disinterested directors or otherwise. The Corporation shall be considered the indemnitor of first resort in all circumstances to which this Section 10 applies.</w:t>
      </w:r>
    </w:p>
    <w:p>
      <w:pPr>
        <w:spacing w:after="0" w:line="46" w:lineRule="exact"/>
        <w:rPr>
          <w:sz w:val="20"/>
          <w:szCs w:val="20"/>
          <w:color w:val="auto"/>
        </w:rPr>
      </w:pPr>
    </w:p>
    <w:p>
      <w:pPr>
        <w:ind w:right="20" w:firstLine="992"/>
        <w:spacing w:after="0" w:line="272"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Indemnification Agreements Authorized</w:t>
      </w:r>
      <w:r>
        <w:rPr>
          <w:rFonts w:ascii="Arial" w:cs="Arial" w:eastAsia="Arial" w:hAnsi="Arial"/>
          <w:sz w:val="17"/>
          <w:szCs w:val="17"/>
          <w:color w:val="auto"/>
        </w:rPr>
        <w:t>. Without limiting the other provisions of this Section 10, the Corporation is authorized from time to time, without further action by the stockholders of the Corporation, to enter into agreements with any director, officer, employee or agent of the Corporation, or any person who is otherwise serving on behalf of the Corporation at the request of the Corporation as a director, officer, manager, employee or agent of another corporation, partnership, joint venture, trust or other enterprise (whether incorporated or unincorporated, for-profit or not-for-profit), providing such rights of indemnification as the Corporation may deem appropriate, up to the maximum extent permitted by law. Any agreement entered into by the Corporation with a director may be authorized by the other directors, and such authorization shall not be invalid on the basis that similar agreements may have been or may thereafter be entered into with other directors.</w:t>
      </w:r>
    </w:p>
    <w:p>
      <w:pPr>
        <w:spacing w:after="0" w:line="70" w:lineRule="exact"/>
        <w:rPr>
          <w:sz w:val="20"/>
          <w:szCs w:val="20"/>
          <w:color w:val="auto"/>
        </w:rPr>
      </w:pPr>
    </w:p>
    <w:p>
      <w:pPr>
        <w:ind w:firstLine="992"/>
        <w:spacing w:after="0" w:line="264"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 Corporation, or who is or was otherwise serving on behalf of the Corporation at the request of the Corporation as a director, officer, manager, employee or agent of another corporation, partnership, joint venture, trust or other enterprise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98" w:name="page299"/>
    <w:bookmarkEnd w:id="298"/>
    <w:p>
      <w:pPr>
        <w:jc w:val="both"/>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incorporated or unincorporated, for-profit or not-for-profit) against any claim, liability or expense asserted against such person and incurred by such person in any such capacity or arising out of such person’s status as such, whether or not the Corporation would have the power to indemnify such person against such liability under the provisions of this Section 10.</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Section 10:</w:t>
      </w:r>
    </w:p>
    <w:p>
      <w:pPr>
        <w:spacing w:after="0" w:line="117" w:lineRule="exact"/>
        <w:rPr>
          <w:sz w:val="20"/>
          <w:szCs w:val="20"/>
          <w:color w:val="auto"/>
        </w:rPr>
      </w:pPr>
    </w:p>
    <w:p>
      <w:pPr>
        <w:ind w:firstLine="1436"/>
        <w:spacing w:after="0" w:line="270" w:lineRule="auto"/>
        <w:tabs>
          <w:tab w:leader="none" w:pos="1648"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Any director, officer, employee or agent of the Corporation who shall serve as a director, officer, manager, employee, member or agent of another corporation, partnership, joint venture, trust or other enterprise of which the Corporation, directly or indirectly, is or was the owner of 20% or more of the outstanding voting stock (or comparable interests), shall be deemed to be so serving at the request of the Corporation, unless the Board shall determine otherwise. In all other instances when any person shall serve as a director, officer, manager, employee, member or agent of another corporation, partnership, joint venture, trust or other enterprise of which the Corporation is or was a shareholder or creditor, or in which the Corporation is or was otherwise interested, if it is not otherwise established that such person is or was serving as a director, officer, manager, employee, member or agent at the request of the Corporation, the Board may determine whether such service is or was at the request of the Corporation, and it shall not be necessary to show any actual or prior request for such service. For the avoidance of doubt, any person who is deemed to be serving at the request of the Corporation pursuant to this Section 10.8 is only deemed to be serving at the request of the Corporation for purposes of this Section 10, and is not actually employed by the Corporation.</w:t>
      </w:r>
    </w:p>
    <w:p>
      <w:pPr>
        <w:spacing w:after="0" w:line="69" w:lineRule="exact"/>
        <w:rPr>
          <w:rFonts w:ascii="Arial" w:cs="Arial" w:eastAsia="Arial" w:hAnsi="Arial"/>
          <w:sz w:val="17"/>
          <w:szCs w:val="17"/>
          <w:color w:val="auto"/>
        </w:rPr>
      </w:pPr>
    </w:p>
    <w:p>
      <w:pPr>
        <w:ind w:right="80" w:firstLine="1436"/>
        <w:spacing w:after="0" w:line="297" w:lineRule="auto"/>
        <w:tabs>
          <w:tab w:leader="none" w:pos="1698" w:val="left"/>
        </w:tabs>
        <w:numPr>
          <w:ilvl w:val="0"/>
          <w:numId w:val="206"/>
        </w:numPr>
        <w:rPr>
          <w:rFonts w:ascii="Arial" w:cs="Arial" w:eastAsia="Arial" w:hAnsi="Arial"/>
          <w:sz w:val="16"/>
          <w:szCs w:val="16"/>
          <w:color w:val="auto"/>
        </w:rPr>
      </w:pPr>
      <w:r>
        <w:rPr>
          <w:rFonts w:ascii="Arial" w:cs="Arial" w:eastAsia="Arial" w:hAnsi="Arial"/>
          <w:sz w:val="16"/>
          <w:szCs w:val="16"/>
          <w:color w:val="auto"/>
        </w:rPr>
        <w:t>References to a corporation include all constituent corporations absorbed in a consolidation or merger as well as the resulting or surviving corporation so that any person who is or was a director, officer, manager, employee, member or agent of a constituent corporation or is or was serving at the request of a constituent corporation as a director, officer, manager, employee, member or agent of another corporation, partnership, joint venture, trust or other enterprise shall stand in the same position under the provisions of this Section 10 with respect to the resulting or surviving corporation as such person would if such person had served the resulting or surviving corporation in the same capacity.</w:t>
      </w:r>
    </w:p>
    <w:p>
      <w:pPr>
        <w:spacing w:after="0" w:line="50" w:lineRule="exact"/>
        <w:rPr>
          <w:rFonts w:ascii="Arial" w:cs="Arial" w:eastAsia="Arial" w:hAnsi="Arial"/>
          <w:sz w:val="16"/>
          <w:szCs w:val="16"/>
          <w:color w:val="auto"/>
        </w:rPr>
      </w:pPr>
    </w:p>
    <w:p>
      <w:pPr>
        <w:ind w:right="40" w:firstLine="1436"/>
        <w:spacing w:after="0" w:line="271" w:lineRule="auto"/>
        <w:tabs>
          <w:tab w:leader="none" w:pos="1748"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term “other enterprise” shall include, without limitation, employee benefit plans and voting or taking action with respect to stock or other assets therein; the term “serving at the request of the Corporation” shall include, without limitation, any service as a director, officer, manager, employee, member or agent of a corporation or other entity which imposes duties on, or involves services by, a director, officer, employee or agent of the Corporation with respect to any employee benefit plan or its participants or beneficiaries, and unless a person’s conduct in connection with an employee benefit plan is finally adjudicated to have been knowingly fraudulent, deliberately dishonest or willful misconduct, such person shall be deemed to have satisfied any standard of care required by or pursuant to this Section 10 in connection with such plan; and the term “fines” shall include, without limitation, any excise taxes assessed on a person with respect to an employee benefit plan and also shall include any damages (including treble damages) and any other civil penalties.</w:t>
      </w:r>
    </w:p>
    <w:p>
      <w:pPr>
        <w:spacing w:after="0" w:line="71" w:lineRule="exact"/>
        <w:rPr>
          <w:sz w:val="20"/>
          <w:szCs w:val="20"/>
          <w:color w:val="auto"/>
        </w:rPr>
      </w:pPr>
    </w:p>
    <w:p>
      <w:pPr>
        <w:ind w:right="40" w:firstLine="992"/>
        <w:spacing w:after="0" w:line="259"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Survival</w:t>
      </w:r>
      <w:r>
        <w:rPr>
          <w:rFonts w:ascii="Arial" w:cs="Arial" w:eastAsia="Arial" w:hAnsi="Arial"/>
          <w:sz w:val="18"/>
          <w:szCs w:val="18"/>
          <w:color w:val="auto"/>
        </w:rPr>
        <w:t>. The indemnification and other rights provided pursuant to this Section 10 shall apply both to action by any director, officer, employee or agent of the Corporation in an official capacity and to action in another capacity (including, without limitation, any other service on behalf of the Corporation or any service at the request of the Corporation as a director, officer, manager, employee, member or agent of another corporation, partnership, joint venture, trust or other enterprise (whether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299" w:name="page300"/>
    <w:bookmarkEnd w:id="299"/>
    <w:p>
      <w:pPr>
        <w:ind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incorporated or unincorporated, for-profit or not-for-profit) while holding such office or position and shall continue as to a person who has ceased to be a director, officer, employee or agent of the Corporation and shall inure to the benefit of the heirs, executors and administrators of such a person. Notwithstanding any other provision in this Amended Certificate of Incorporation, any indemnification rights arising under or granted pursuant to this Section 10 shall survive amendment or repeal of this Section 10 with respect to any acts or omissions occurring prior to the effective time of such amendment or repeal and persons to whom such indemnification rights are given shall be entitled to rely upon such indemnification rights with respect to such acts or omissions occurring prior to the effective time of such amendment or repeal as a binding contract with the Corporation.</w:t>
      </w:r>
    </w:p>
    <w:p>
      <w:pPr>
        <w:spacing w:after="0" w:line="57" w:lineRule="exact"/>
        <w:rPr>
          <w:sz w:val="20"/>
          <w:szCs w:val="20"/>
          <w:color w:val="auto"/>
        </w:rPr>
      </w:pPr>
    </w:p>
    <w:p>
      <w:pPr>
        <w:ind w:right="80" w:firstLine="992"/>
        <w:spacing w:after="0" w:line="271"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u w:val="single" w:color="auto"/>
          <w:color w:val="auto"/>
        </w:rPr>
        <w:t>Liability of the Directors</w:t>
      </w:r>
      <w:r>
        <w:rPr>
          <w:rFonts w:ascii="Arial" w:cs="Arial" w:eastAsia="Arial" w:hAnsi="Arial"/>
          <w:sz w:val="17"/>
          <w:szCs w:val="17"/>
          <w:color w:val="auto"/>
        </w:rPr>
        <w:t>. The liability of the Corporation’s directors to the Corporation or any of its stockholders for monetary damages for breach of fiduciary duty as a director shall be eliminated to the fullest extent permitted by law. It is the intention of the Corporation to eliminate such liability, whether to the Corporation, its stockholders or otherwise, to the fullest extent permitted by law. Consequently, should the General Corporation Law or any other applicable law be amended or adopted hereafter so as to permit the elimination or limitation of such liability, the liability of the directors of the Corporation shall be so eliminated or limited without the need for amendment of this Amended Certificate of Incorporation or further action on the part of the stockholders of the Corporation. Any repeal or modification of this Section 10 by the stockholders of the Corporation shall not adversely affect any right or protection of a director of the Corporation existing at the time of such repeal or modification with respect to acts or omissions occurring prior to such repeal or modification.</w:t>
      </w:r>
    </w:p>
    <w:p>
      <w:pPr>
        <w:spacing w:after="0" w:line="71" w:lineRule="exact"/>
        <w:rPr>
          <w:sz w:val="20"/>
          <w:szCs w:val="20"/>
          <w:color w:val="auto"/>
        </w:rPr>
      </w:pPr>
    </w:p>
    <w:p>
      <w:pPr>
        <w:jc w:val="both"/>
        <w:ind w:firstLine="992"/>
        <w:spacing w:after="0" w:line="264"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Amendment</w:t>
      </w:r>
      <w:r>
        <w:rPr>
          <w:rFonts w:ascii="Arial" w:cs="Arial" w:eastAsia="Arial" w:hAnsi="Arial"/>
          <w:sz w:val="18"/>
          <w:szCs w:val="18"/>
          <w:color w:val="auto"/>
        </w:rPr>
        <w:t>. This Section 10 may be amended, altered, changed or repealed, or a provision inconsistent with this Section 10 may be adopted, only upon the affirmative vote of not less than 85% of the total voting power of all of the outstanding shares of Common Stock then entitled to vote in the election of directors, voting together as a single class.</w:t>
      </w:r>
    </w:p>
    <w:p>
      <w:pPr>
        <w:spacing w:after="0" w:line="73" w:lineRule="exact"/>
        <w:rPr>
          <w:sz w:val="20"/>
          <w:szCs w:val="20"/>
          <w:color w:val="auto"/>
        </w:rPr>
      </w:pPr>
    </w:p>
    <w:p>
      <w:pPr>
        <w:ind w:right="80" w:firstLine="444"/>
        <w:spacing w:after="0" w:line="273" w:lineRule="auto"/>
        <w:tabs>
          <w:tab w:leader="none" w:pos="704" w:val="left"/>
        </w:tabs>
        <w:numPr>
          <w:ilvl w:val="0"/>
          <w:numId w:val="207"/>
        </w:numPr>
        <w:rPr>
          <w:rFonts w:ascii="Arial" w:cs="Arial" w:eastAsia="Arial" w:hAnsi="Arial"/>
          <w:sz w:val="17"/>
          <w:szCs w:val="17"/>
          <w:color w:val="auto"/>
        </w:rPr>
      </w:pPr>
      <w:r>
        <w:rPr>
          <w:rFonts w:ascii="Arial" w:cs="Arial" w:eastAsia="Arial" w:hAnsi="Arial"/>
          <w:sz w:val="17"/>
          <w:szCs w:val="17"/>
          <w:u w:val="single" w:color="auto"/>
          <w:color w:val="auto"/>
        </w:rPr>
        <w:t>Amendment or Repeal of Bylaws</w:t>
      </w:r>
      <w:r>
        <w:rPr>
          <w:rFonts w:ascii="Arial" w:cs="Arial" w:eastAsia="Arial" w:hAnsi="Arial"/>
          <w:sz w:val="17"/>
          <w:szCs w:val="17"/>
          <w:color w:val="auto"/>
        </w:rPr>
        <w:t xml:space="preserve">. A majority of all of the members of the Board may amend, alter, change or repeal any provision of the Bylaws;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shall not have the power to amend, alter, change or repeal any provision of the Bylaws relating to amendment in any manner that alters the stockholders’ power to amend, alter, change or repeal the Bylaws. The stockholders of the Corporation also may amend, alter, change or repeal any provision of the Bylaws upon the affirmative vote of a majority of all of the voting power of the Corporation entitled to vote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stockholders shall not have the power to amend, alter, change or repeal any provision of the Bylaws relating to amendment in any manner that alters the Board’s power to amend, alter, change or repeal the Bylaws.</w:t>
      </w:r>
    </w:p>
    <w:p>
      <w:pPr>
        <w:spacing w:after="0" w:line="70" w:lineRule="exact"/>
        <w:rPr>
          <w:rFonts w:ascii="Arial" w:cs="Arial" w:eastAsia="Arial" w:hAnsi="Arial"/>
          <w:sz w:val="17"/>
          <w:szCs w:val="17"/>
          <w:color w:val="auto"/>
        </w:rPr>
      </w:pPr>
    </w:p>
    <w:p>
      <w:pPr>
        <w:ind w:right="40" w:firstLine="444"/>
        <w:spacing w:after="0" w:line="302" w:lineRule="auto"/>
        <w:tabs>
          <w:tab w:leader="none" w:pos="711"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Amendment or Repeal of Certificate</w:t>
      </w:r>
      <w:r>
        <w:rPr>
          <w:rFonts w:ascii="Arial" w:cs="Arial" w:eastAsia="Arial" w:hAnsi="Arial"/>
          <w:sz w:val="16"/>
          <w:szCs w:val="16"/>
          <w:color w:val="auto"/>
        </w:rPr>
        <w:t>. The Corporation reserves the right to amend, alter, change or repeal any provision contained in this Amended Certificate of Incorporation in the manner now or hereafter prescribed by the General Corporation Law, except as otherwise set forth herein, and all rights, preferences and privileges of whatsoever nature conferred upon stockholders, directors or any other Persons whomsoever by and pursuant to this Amended Certificate of Incorporation in its present form or as hereafter amended, are granted and held subject to this reservation.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300" w:name="page301"/>
    <w:bookmarkEnd w:id="300"/>
    <w:p>
      <w:pPr>
        <w:ind w:firstLine="444"/>
        <w:spacing w:after="0" w:line="290" w:lineRule="auto"/>
        <w:tabs>
          <w:tab w:leader="none" w:pos="711"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Severability</w:t>
      </w:r>
      <w:r>
        <w:rPr>
          <w:rFonts w:ascii="Arial" w:cs="Arial" w:eastAsia="Arial" w:hAnsi="Arial"/>
          <w:sz w:val="16"/>
          <w:szCs w:val="16"/>
          <w:color w:val="auto"/>
        </w:rPr>
        <w:t>. If any provision or provisions of this Amended Certificate of Incorporation shall be held to be invalid, illegal or unenforceable as applied to any circumstance for any reason whatsoever: (i) the validity, legality and enforceability of such provisions in any other circumstance and of the remaining provisions of this Amended Certificate of Incorporation (including, without limitation, each portion of any paragraph of this Amended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Amended Certificate of Incorporation (including, without limitation, each such portion of any paragraph of this Amended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58" w:lineRule="exact"/>
        <w:rPr>
          <w:rFonts w:ascii="Arial" w:cs="Arial" w:eastAsia="Arial" w:hAnsi="Arial"/>
          <w:sz w:val="16"/>
          <w:szCs w:val="16"/>
          <w:color w:val="auto"/>
        </w:rPr>
      </w:pPr>
    </w:p>
    <w:p>
      <w:pPr>
        <w:ind w:right="200" w:firstLine="444"/>
        <w:spacing w:after="0" w:line="277" w:lineRule="auto"/>
        <w:tabs>
          <w:tab w:leader="none" w:pos="711"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Amended Certificate of Incorporation, unless the context otherwise requires or as set forth in another Section of this Amended Certificate of Incorporation, the term:</w:t>
      </w:r>
    </w:p>
    <w:p>
      <w:pPr>
        <w:spacing w:after="0" w:line="62"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Certificate of Incorporation</w:t>
      </w:r>
      <w:r>
        <w:rPr>
          <w:rFonts w:ascii="Arial" w:cs="Arial" w:eastAsia="Arial" w:hAnsi="Arial"/>
          <w:sz w:val="18"/>
          <w:szCs w:val="18"/>
          <w:color w:val="auto"/>
        </w:rPr>
        <w:t>” is defined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Brands, LLC</w:t>
      </w:r>
      <w:r>
        <w:rPr>
          <w:rFonts w:ascii="Arial" w:cs="Arial" w:eastAsia="Arial" w:hAnsi="Arial"/>
          <w:sz w:val="18"/>
          <w:szCs w:val="18"/>
          <w:color w:val="auto"/>
        </w:rPr>
        <w:t>” means BellRing Brands, LLC, a Delaware limited liability company, and its successors and assigns.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is defined in Section 5.1(ii)(1).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is defined in Section 6.2.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is defined in Section 4.1.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is defined in Section 4.1.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is defined in Section 4.1.</w:t>
      </w:r>
    </w:p>
    <w:p>
      <w:pPr>
        <w:spacing w:after="0" w:line="225"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means the power to direct or cause the direction of the management and policies of a Person, whether through the ownership of voting securities, by contract or otherwise. The definition of Control and correlated terms set forth in Section 8.3(iii) shall only apply for purposes of Section 8.</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Controlled Company</w:t>
      </w:r>
      <w:r>
        <w:rPr>
          <w:rFonts w:ascii="Arial" w:cs="Arial" w:eastAsia="Arial" w:hAnsi="Arial"/>
          <w:sz w:val="17"/>
          <w:szCs w:val="17"/>
          <w:color w:val="auto"/>
        </w:rPr>
        <w:t>” means, with respect to the Corporation, any Person Controlled by the Corporation, including BellRing Brands, LLC.</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is defined in the Recitals.</w:t>
      </w:r>
    </w:p>
    <w:p>
      <w:pPr>
        <w:spacing w:after="0" w:line="225" w:lineRule="exact"/>
        <w:rPr>
          <w:sz w:val="20"/>
          <w:szCs w:val="20"/>
          <w:color w:val="auto"/>
        </w:rPr>
      </w:pPr>
    </w:p>
    <w:p>
      <w:pPr>
        <w:ind w:right="7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Dual Role Person</w:t>
      </w:r>
      <w:r>
        <w:rPr>
          <w:rFonts w:ascii="Arial" w:cs="Arial" w:eastAsia="Arial" w:hAnsi="Arial"/>
          <w:sz w:val="18"/>
          <w:szCs w:val="18"/>
          <w:color w:val="auto"/>
        </w:rPr>
        <w:t>” means each of (1) any director, officer, manager, employee or agent of the Corporation and/or any of its Controlled Companies who is also a director, officer, employee, agent and/or Affiliate of Post and (2) Post.</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any successor law or statute, together with the rules and regulations promulgated thereunder.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301" w:name="page302"/>
    <w:bookmarkEnd w:id="301"/>
    <w:tbl>
      <w:tblPr>
        <w:tblLayout w:type="fixed"/>
        <w:tblInd w:w="0" w:type="dxa"/>
        <w:tblCellMar>
          <w:top w:w="0" w:type="dxa"/>
          <w:left w:w="0" w:type="dxa"/>
          <w:bottom w:w="0" w:type="dxa"/>
          <w:right w:w="0" w:type="dxa"/>
        </w:tblCellMar>
      </w:tblPr>
      <w:tr>
        <w:trPr>
          <w:trHeight w:val="207"/>
        </w:trPr>
        <w:tc>
          <w:tcPr>
            <w:tcW w:w="6420" w:type="dxa"/>
            <w:vAlign w:val="bottom"/>
            <w:gridSpan w:val="5"/>
          </w:tcPr>
          <w:p>
            <w:pPr>
              <w:ind w:left="440"/>
              <w:spacing w:after="0"/>
              <w:rPr>
                <w:sz w:val="20"/>
                <w:szCs w:val="20"/>
                <w:color w:val="auto"/>
              </w:rPr>
            </w:pPr>
            <w:r>
              <w:rPr>
                <w:rFonts w:ascii="Arial" w:cs="Arial" w:eastAsia="Arial" w:hAnsi="Arial"/>
                <w:sz w:val="18"/>
                <w:szCs w:val="18"/>
                <w:color w:val="auto"/>
              </w:rPr>
              <w:t>“General Corporation Law” is defined in the Recitals.</w:t>
            </w:r>
          </w:p>
        </w:tc>
        <w:tc>
          <w:tcPr>
            <w:tcW w:w="37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r>
      <w:tr>
        <w:trPr>
          <w:trHeight w:val="412"/>
        </w:trPr>
        <w:tc>
          <w:tcPr>
            <w:tcW w:w="6420" w:type="dxa"/>
            <w:vAlign w:val="bottom"/>
            <w:gridSpan w:val="5"/>
          </w:tcPr>
          <w:p>
            <w:pPr>
              <w:ind w:left="440"/>
              <w:spacing w:after="0"/>
              <w:rPr>
                <w:sz w:val="20"/>
                <w:szCs w:val="20"/>
                <w:color w:val="auto"/>
              </w:rPr>
            </w:pPr>
            <w:r>
              <w:rPr>
                <w:rFonts w:ascii="Arial" w:cs="Arial" w:eastAsia="Arial" w:hAnsi="Arial"/>
                <w:sz w:val="18"/>
                <w:szCs w:val="18"/>
                <w:color w:val="auto"/>
                <w:w w:val="95"/>
              </w:rPr>
              <w:t>“Investor Rights Agreement” means the Investor Rights Agreement dated as of</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w w:val="94"/>
              </w:rPr>
              <w:t>, 2019 between PHI and the Corporation (as the same may</w:t>
            </w:r>
          </w:p>
        </w:tc>
      </w:tr>
      <w:tr>
        <w:trPr>
          <w:trHeight w:val="20"/>
        </w:trPr>
        <w:tc>
          <w:tcPr>
            <w:tcW w:w="5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7"/>
        </w:trPr>
        <w:tc>
          <w:tcPr>
            <w:tcW w:w="6420" w:type="dxa"/>
            <w:vAlign w:val="bottom"/>
            <w:gridSpan w:val="5"/>
          </w:tcPr>
          <w:p>
            <w:pPr>
              <w:spacing w:after="0"/>
              <w:rPr>
                <w:sz w:val="20"/>
                <w:szCs w:val="20"/>
                <w:color w:val="auto"/>
              </w:rPr>
            </w:pPr>
            <w:r>
              <w:rPr>
                <w:rFonts w:ascii="Arial" w:cs="Arial" w:eastAsia="Arial" w:hAnsi="Arial"/>
                <w:sz w:val="18"/>
                <w:szCs w:val="18"/>
                <w:color w:val="auto"/>
                <w:w w:val="97"/>
              </w:rPr>
              <w:t>be amended, restated, supplemented and/or otherwise modified from time to time).</w:t>
            </w:r>
          </w:p>
        </w:tc>
        <w:tc>
          <w:tcPr>
            <w:tcW w:w="37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92"/>
        </w:trPr>
        <w:tc>
          <w:tcPr>
            <w:tcW w:w="10160" w:type="dxa"/>
            <w:vAlign w:val="bottom"/>
            <w:gridSpan w:val="6"/>
          </w:tcPr>
          <w:p>
            <w:pPr>
              <w:ind w:left="440"/>
              <w:spacing w:after="0"/>
              <w:rPr>
                <w:sz w:val="20"/>
                <w:szCs w:val="20"/>
                <w:color w:val="auto"/>
              </w:rPr>
            </w:pPr>
            <w:r>
              <w:rPr>
                <w:rFonts w:ascii="Arial" w:cs="Arial" w:eastAsia="Arial" w:hAnsi="Arial"/>
                <w:sz w:val="18"/>
                <w:szCs w:val="18"/>
                <w:color w:val="auto"/>
                <w:w w:val="95"/>
              </w:rPr>
              <w:t>“LLC Agreement” means the Amended and Restated Limited Liability Company Agreement of BellRing Brands, LLC, dated as of</w:t>
            </w:r>
          </w:p>
        </w:tc>
        <w:tc>
          <w:tcPr>
            <w:tcW w:w="760" w:type="dxa"/>
            <w:vAlign w:val="bottom"/>
          </w:tcPr>
          <w:p>
            <w:pPr>
              <w:jc w:val="right"/>
              <w:spacing w:after="0"/>
              <w:rPr>
                <w:sz w:val="20"/>
                <w:szCs w:val="20"/>
                <w:color w:val="auto"/>
              </w:rPr>
            </w:pPr>
            <w:r>
              <w:rPr>
                <w:rFonts w:ascii="Arial" w:cs="Arial" w:eastAsia="Arial" w:hAnsi="Arial"/>
                <w:sz w:val="18"/>
                <w:szCs w:val="18"/>
                <w:color w:val="auto"/>
              </w:rPr>
              <w:t>, 2019,</w:t>
            </w:r>
          </w:p>
        </w:tc>
      </w:tr>
      <w:tr>
        <w:trPr>
          <w:trHeight w:val="20"/>
        </w:trPr>
        <w:tc>
          <w:tcPr>
            <w:tcW w:w="5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as the same may be amended, restated, supplemented and/or otherwise modified,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Non-Affiliated BellRing Brands, LLC Member</w:t>
      </w:r>
      <w:r>
        <w:rPr>
          <w:rFonts w:ascii="Arial" w:cs="Arial" w:eastAsia="Arial" w:hAnsi="Arial"/>
          <w:sz w:val="18"/>
          <w:szCs w:val="18"/>
          <w:color w:val="auto"/>
        </w:rPr>
        <w:t>” is defined in Section 5.1(i)(2).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Nonvoting Common Unit</w:t>
      </w:r>
      <w:r>
        <w:rPr>
          <w:rFonts w:ascii="Arial" w:cs="Arial" w:eastAsia="Arial" w:hAnsi="Arial"/>
          <w:sz w:val="18"/>
          <w:szCs w:val="18"/>
          <w:color w:val="auto"/>
        </w:rPr>
        <w:t>” means a Nonvoting Common Unit of BellRing Brands, LLC as defined in the LLC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Certificate of Incorporation</w:t>
      </w:r>
      <w:r>
        <w:rPr>
          <w:rFonts w:ascii="Arial" w:cs="Arial" w:eastAsia="Arial" w:hAnsi="Arial"/>
          <w:sz w:val="18"/>
          <w:szCs w:val="18"/>
          <w:color w:val="auto"/>
        </w:rPr>
        <w:t>” is defined in the Recitals.</w:t>
      </w:r>
    </w:p>
    <w:p>
      <w:pPr>
        <w:spacing w:after="0" w:line="225"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firm, corporation, limited liability company, association, trust, unincorporated organization or other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w:t>
      </w:r>
      <w:r>
        <w:rPr>
          <w:rFonts w:ascii="Arial" w:cs="Arial" w:eastAsia="Arial" w:hAnsi="Arial"/>
          <w:sz w:val="17"/>
          <w:szCs w:val="17"/>
          <w:color w:val="auto"/>
        </w:rPr>
        <w:t>” means Post Holdings, Inc. and its Affiliates (other than the Corporation and its Controlled Companies), successors and assigns.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is defined in Section 4.1.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Adjustment</w:t>
      </w:r>
      <w:r>
        <w:rPr>
          <w:rFonts w:ascii="Arial" w:cs="Arial" w:eastAsia="Arial" w:hAnsi="Arial"/>
          <w:sz w:val="18"/>
          <w:szCs w:val="18"/>
          <w:color w:val="auto"/>
        </w:rPr>
        <w:t>” is defined in Section 5.1(ii)(3).</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Triggering Event</w:t>
      </w:r>
      <w:r>
        <w:rPr>
          <w:rFonts w:ascii="Arial" w:cs="Arial" w:eastAsia="Arial" w:hAnsi="Arial"/>
          <w:sz w:val="17"/>
          <w:szCs w:val="17"/>
          <w:color w:val="auto"/>
        </w:rPr>
        <w:t>” means the first date on which Post ceases to own of record more than 50% of the outstanding Nonvoting Common Units.</w:t>
      </w: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440" w:top="257" w:right="539" w:bottom="1440" w:gutter="0" w:footer="0" w:header="0"/>
        </w:sectPr>
      </w:pPr>
    </w:p>
    <w:bookmarkStart w:id="302" w:name="page303"/>
    <w:bookmarkEnd w:id="30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Amended and Restated Certificate of Incorporation of BellRing Brands, Inc. has been duly executed by the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authorized officer below this   day of</w:t>
            </w:r>
          </w:p>
        </w:tc>
        <w:tc>
          <w:tcPr>
            <w:tcW w:w="76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C</w:t>
      </w:r>
      <w:r>
        <w:rPr>
          <w:rFonts w:ascii="Arial" w:cs="Arial" w:eastAsia="Arial" w:hAnsi="Arial"/>
          <w:sz w:val="15"/>
          <w:szCs w:val="15"/>
          <w:color w:val="auto"/>
        </w:rPr>
        <w:t>ERTIFICATE OF</w:t>
      </w:r>
      <w:r>
        <w:rPr>
          <w:rFonts w:ascii="Arial" w:cs="Arial" w:eastAsia="Arial" w:hAnsi="Arial"/>
          <w:sz w:val="18"/>
          <w:szCs w:val="18"/>
          <w:color w:val="auto"/>
        </w:rPr>
        <w:t xml:space="preserve"> I</w:t>
      </w:r>
      <w:r>
        <w:rPr>
          <w:rFonts w:ascii="Arial" w:cs="Arial" w:eastAsia="Arial" w:hAnsi="Arial"/>
          <w:sz w:val="15"/>
          <w:szCs w:val="15"/>
          <w:color w:val="auto"/>
        </w:rPr>
        <w:t>NCORPORATION</w:t>
      </w:r>
      <w:r>
        <w:rPr>
          <w:rFonts w:ascii="Arial" w:cs="Arial" w:eastAsia="Arial" w:hAnsi="Arial"/>
          <w:sz w:val="18"/>
          <w:szCs w:val="18"/>
          <w:color w:val="auto"/>
        </w:rPr>
        <w:t>]</w:t>
      </w:r>
    </w:p>
    <w:p>
      <w:pPr>
        <w:sectPr>
          <w:pgSz w:w="11900" w:h="16838" w:orient="portrait"/>
          <w:cols w:equalWidth="0" w:num="1">
            <w:col w:w="10460"/>
          </w:cols>
          <w:pgMar w:left="440" w:top="274" w:right="999"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BELLRING BRANDS, INC.</w:t>
      </w:r>
    </w:p>
    <w:p>
      <w:pPr>
        <w:spacing w:after="0" w:line="211" w:lineRule="exact"/>
        <w:rPr>
          <w:sz w:val="20"/>
          <w:szCs w:val="20"/>
          <w:color w:val="auto"/>
        </w:rPr>
      </w:pPr>
    </w:p>
    <w:p>
      <w:pPr>
        <w:ind w:left="4320"/>
        <w:spacing w:after="0"/>
        <w:tabs>
          <w:tab w:leader="none" w:pos="6640" w:val="left"/>
        </w:tabs>
        <w:rPr>
          <w:sz w:val="20"/>
          <w:szCs w:val="20"/>
          <w:color w:val="auto"/>
        </w:rPr>
      </w:pPr>
      <w:r>
        <w:rPr>
          <w:rFonts w:ascii="Arial" w:cs="Arial" w:eastAsia="Arial" w:hAnsi="Arial"/>
          <w:sz w:val="18"/>
          <w:szCs w:val="18"/>
          <w:color w:val="auto"/>
        </w:rPr>
        <w:t>(As Amended and Restated</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 – STOCKHOLDERS</w:t>
      </w:r>
    </w:p>
    <w:p>
      <w:pPr>
        <w:spacing w:after="0" w:line="225" w:lineRule="exact"/>
        <w:rPr>
          <w:sz w:val="20"/>
          <w:szCs w:val="20"/>
          <w:color w:val="auto"/>
        </w:rPr>
      </w:pPr>
    </w:p>
    <w:p>
      <w:pPr>
        <w:jc w:val="both"/>
        <w:ind w:right="140" w:firstLine="441"/>
        <w:spacing w:after="0" w:line="297" w:lineRule="auto"/>
        <w:rPr>
          <w:sz w:val="20"/>
          <w:szCs w:val="20"/>
          <w:color w:val="auto"/>
        </w:rPr>
      </w:pPr>
      <w:r>
        <w:rPr>
          <w:rFonts w:ascii="Arial" w:cs="Arial" w:eastAsia="Arial" w:hAnsi="Arial"/>
          <w:sz w:val="16"/>
          <w:szCs w:val="16"/>
          <w:color w:val="auto"/>
        </w:rPr>
        <w:t>SECTION 1. ANNUAL MEETING: The annual meeting of stockholders shall be held at the principal executive office of BellRing Brands, Inc. (the “</w:t>
      </w:r>
      <w:r>
        <w:rPr>
          <w:rFonts w:ascii="Arial" w:cs="Arial" w:eastAsia="Arial" w:hAnsi="Arial"/>
          <w:sz w:val="16"/>
          <w:szCs w:val="16"/>
          <w:u w:val="single" w:color="auto"/>
          <w:color w:val="auto"/>
        </w:rPr>
        <w:t>Company</w:t>
      </w:r>
      <w:r>
        <w:rPr>
          <w:rFonts w:ascii="Arial" w:cs="Arial" w:eastAsia="Arial" w:hAnsi="Arial"/>
          <w:sz w:val="16"/>
          <w:szCs w:val="16"/>
          <w:color w:val="auto"/>
        </w:rPr>
        <w:t>”), or at such other place either within or without the State of Delaware as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may from time to time determine, on such date and at such time as may be determined by the Board, to elect directors and transact such other business as may properly come before the meeting. At any annual meeting of stockholders only such business shall be conducted, and only such proposals shall be acted upon, as shall have been properly brought before the meeting by the Board or by a stockholder of record entitled to vote at such meeting.</w:t>
      </w:r>
    </w:p>
    <w:p>
      <w:pPr>
        <w:spacing w:after="0" w:line="158" w:lineRule="exact"/>
        <w:rPr>
          <w:sz w:val="20"/>
          <w:szCs w:val="20"/>
          <w:color w:val="auto"/>
        </w:rPr>
      </w:pPr>
    </w:p>
    <w:p>
      <w:pPr>
        <w:ind w:right="20" w:firstLine="441"/>
        <w:spacing w:after="0" w:line="284" w:lineRule="auto"/>
        <w:rPr>
          <w:sz w:val="20"/>
          <w:szCs w:val="20"/>
          <w:color w:val="auto"/>
        </w:rPr>
      </w:pPr>
      <w:r>
        <w:rPr>
          <w:rFonts w:ascii="Arial" w:cs="Arial" w:eastAsia="Arial" w:hAnsi="Arial"/>
          <w:sz w:val="16"/>
          <w:szCs w:val="16"/>
          <w:color w:val="auto"/>
        </w:rPr>
        <w:t>SECTION 2. SPECIAL MEETINGS: Special meetings of the stockholders or of the holders of any class of capital stock of the Company, unless otherwise prescribed by statute or by the Certificate of Incorporation of the Company (as may be amended from time to time, including the terms of any certificate of designation for any series of the Company’s preferred stock,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may be called only by (a) the affirmative vote of a majority of the Board, (b) the Chairperson of the Board, (c) by the Secretary of the Company, on the request of Post Holdings, Inc. and its successors (“</w:t>
      </w:r>
      <w:r>
        <w:rPr>
          <w:rFonts w:ascii="Arial" w:cs="Arial" w:eastAsia="Arial" w:hAnsi="Arial"/>
          <w:sz w:val="16"/>
          <w:szCs w:val="16"/>
          <w:u w:val="single" w:color="auto"/>
          <w:color w:val="auto"/>
        </w:rPr>
        <w:t>Post</w:t>
      </w:r>
      <w:r>
        <w:rPr>
          <w:rFonts w:ascii="Arial" w:cs="Arial" w:eastAsia="Arial" w:hAnsi="Arial"/>
          <w:sz w:val="16"/>
          <w:szCs w:val="16"/>
          <w:color w:val="auto"/>
        </w:rPr>
        <w:t>”), for such a meeting in writing so long as Post and its subsidiaries (other than the Company and its subsidiaries) own of record, in the aggregate, more than 50% of the Nonvoting Common Units of BellRing Brands, LLC, a Delaware limited liability company (as defined in the Amended</w:t>
      </w:r>
    </w:p>
    <w:p>
      <w:pPr>
        <w:spacing w:after="0" w:line="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and Restated Limited Liability Company Agreement of BellRing Brands, LLC, dated as of , 2019, as the same may be amended, restated, supplemented and/or otherwise modified, from time to time) or (d) the President of the Company. Such request shall be delivered to the Secretary of the Company and shall state the purpose or purposes of the proposed meeting. Upon such direction or request, subject to any requirements or limitations imposed by the Certificate of Incorporation, by these Bylaws or by law, it shall be the duty of the Secretary of the Company to call a special meeting of the stockholders to be held at such time as is specified in the request. Only such business shall be conducted, and only such proposals shall be acted upon, as is specified in the call of any special meeting of stockholders.</w:t>
      </w:r>
    </w:p>
    <w:p>
      <w:pPr>
        <w:spacing w:after="0" w:line="194"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SECTION 3. NOTICE: (a) Unless otherwise required by the General Corporation Law of the State of Delaware (as from time to time in effect, the “</w:t>
      </w:r>
      <w:r>
        <w:rPr>
          <w:rFonts w:ascii="Arial" w:cs="Arial" w:eastAsia="Arial" w:hAnsi="Arial"/>
          <w:sz w:val="16"/>
          <w:szCs w:val="16"/>
          <w:u w:val="single" w:color="auto"/>
          <w:color w:val="auto"/>
        </w:rPr>
        <w:t>General Corporation Law</w:t>
      </w:r>
      <w:r>
        <w:rPr>
          <w:rFonts w:ascii="Arial" w:cs="Arial" w:eastAsia="Arial" w:hAnsi="Arial"/>
          <w:sz w:val="16"/>
          <w:szCs w:val="16"/>
          <w:color w:val="auto"/>
        </w:rPr>
        <w:t>”), notice of each meeting of the stockholders, whether annual or special, shall be given in writing or by electronic transmission or otherwise, except that it shall not be necessary to give notice to any stockholder who properly waives notice before or after the meeting, whether in writing or by electronic transmission or otherwise, and no notice of an adjourned meeting need be given, except when required under these Bylaws or by law. Such notice shall state the date, time and place, if any, of the meeting (and the means of remote communications, if any, by which stockholders and proxy holders may be deemed to be present in person at such meeting), the record date for determining the stockholders entitled to vote at the meeting, if such date is different from the record date for determining stockholders entitled to notice of the meeting, and in the case of a special meeting, also shall state the purpose or purposes thereof. Except as otherwise required by law, each notice of a meeting shall be given in any manner permitted by law not less than 10 nor more than 60 days before the meeting and shall state the time and place of the meeting, and unless it is the annual meeting, shall state at whose direction or request the meeting is called and the purposes for</w:t>
      </w:r>
    </w:p>
    <w:p>
      <w:pPr>
        <w:sectPr>
          <w:pgSz w:w="11900" w:h="16838" w:orient="portrait"/>
          <w:cols w:equalWidth="0" w:num="1">
            <w:col w:w="11020"/>
          </w:cols>
          <w:pgMar w:left="440" w:top="121" w:right="439" w:bottom="1440" w:gutter="0" w:footer="0" w:header="0"/>
        </w:sectPr>
      </w:pPr>
    </w:p>
    <w:bookmarkStart w:id="304" w:name="page305"/>
    <w:bookmarkEnd w:id="304"/>
    <w:p>
      <w:pPr>
        <w:ind w:right="1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it is called. The attendance of any stockholder at a meeting, without protesting at the beginning of the meeting that the meeting is not lawfully called or convened, shall constitute a waiver of notice of such meeting, and the requirement of notice also may be waived in accordance with Section 3 of Article V of these Bylaws. Any previously scheduled meeting of stockholders may be postponed and (unless the Certificate of Incorporation otherwise provides) any special meeting of stockholders may be canceled or postponed, by resolution of the Board upon public announcement (as defined in Section 8(c) of Article I of these Bylaws) given on or prior to the date previously scheduled for such meeting of stockholders, except that no special meeting of stockholders called by Post may be postponed, rescheduled or cancelled by the Company without the prior written consent of Post.</w:t>
      </w:r>
    </w:p>
    <w:p>
      <w:pPr>
        <w:spacing w:after="0" w:line="57" w:lineRule="exact"/>
        <w:rPr>
          <w:sz w:val="20"/>
          <w:szCs w:val="20"/>
          <w:color w:val="auto"/>
        </w:rPr>
      </w:pPr>
    </w:p>
    <w:p>
      <w:pPr>
        <w:ind w:right="120" w:firstLine="996"/>
        <w:spacing w:after="0" w:line="259" w:lineRule="auto"/>
        <w:tabs>
          <w:tab w:leader="none" w:pos="124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Without limiting the manner by which notice may otherwise be given effectively to stockholders, any notice to a stockholder given by the Company may be given by a form of electronic transmission. For purposes of these Bylaws, “electronic transmission” shall mean any process of communication, not directly involving the physical transfer of paper, that is suitable for the retention, retrieval and reproduction of information by the recipient.</w:t>
      </w:r>
    </w:p>
    <w:p>
      <w:pPr>
        <w:spacing w:after="0" w:line="78" w:lineRule="exact"/>
        <w:rPr>
          <w:rFonts w:ascii="Arial" w:cs="Arial" w:eastAsia="Arial" w:hAnsi="Arial"/>
          <w:sz w:val="18"/>
          <w:szCs w:val="18"/>
          <w:color w:val="auto"/>
        </w:rPr>
      </w:pPr>
    </w:p>
    <w:p>
      <w:pPr>
        <w:ind w:firstLine="996"/>
        <w:spacing w:after="0" w:line="293" w:lineRule="auto"/>
        <w:tabs>
          <w:tab w:leader="none" w:pos="123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Notice shall be deemed given, if mailed, when deposited in the United States mail with postage prepaid, if addressed to a stockholder at his, her or its address on the Company’s records. Notice given by electronic transmission shall be deemed given (i) if by posting on an electronic network together with separate notice to the stockholder of such specific posting, upon the later of (A) such posting and (B) the giving of such separate notice; and (ii) if by any facsimile, electronic mail or other form of electronic transmission, when directed to the stockholder at his, her or its address on the Company’s records. An affidavit of the Secretary or an Assistant Secretary or the transfer agent or other agent of the Company that notice has been given, whether by a form of electronic transmission or otherwise, shall, in the absence of fraud, be prima facie evidence of the facts stated therein.</w:t>
      </w:r>
    </w:p>
    <w:p>
      <w:pPr>
        <w:spacing w:after="0" w:line="165"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 xml:space="preserve">SECTION 4. QUORUM: Except as otherwise required by law, the holders of shares representing a majority of the combined voting power of the Company entitled to vote thereat, present in person or represented by proxy, shall constitute a quorum at all meetings of the stockholders for the transaction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where a separate vote by a class or series of capital stock or classes or series of capital stock is required, a majority of the voting power of such class or series or classes or series entitled to vote shall constitute a quorum with respect to such vote. Less than such quorum shall have the right successively to adjourn the meeting to a specified date not more than 30 days after such adjournment, and no notice need be given of such adjournment to stockholders not present at such meeting. The stockholders present at a meeting at which a quorum is present may continue to transact business until adjournment, notwithstanding the withdrawal of such numbers of stockholders as to reduce the remaining stockholders to less than a quorum.</w:t>
      </w:r>
    </w:p>
    <w:p>
      <w:pPr>
        <w:spacing w:after="0" w:line="179"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SECTION 5. ACTION BY CONSENT: From and after the Triggering Event (as defined in the Certificate of Incorporation), any action required by the General Corporation Law to be taken at any annual or special meeting of stockholders of the Company, or any action which may be taken at any annual or special meeting of stockholders of the Company, may be effected only at a duly called annual or special meeting of stockholders of the Company and may not be effected by any consent in writing by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3" w:right="439" w:bottom="1440" w:gutter="0" w:footer="0" w:header="0"/>
        </w:sectPr>
      </w:pPr>
    </w:p>
    <w:bookmarkStart w:id="305" w:name="page306"/>
    <w:bookmarkEnd w:id="305"/>
    <w:p>
      <w:pPr>
        <w:ind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stockholders. Unless otherwise prescribed by the Certificate of Incorporation, prior to the Triggering Event, any action required by the General Corporation Law to be taken at any annual or special meeting of stockholders of the Company, or any action which may be taken at any annual or special meeting of stockholders of the Company, may be taken without a meeting, without prior notice and without a vote, if a consent or consents in writing, setting forth the action so taken, shall be signed by the holder or holders of Common Stock (as defined in the Certificate of Incorporation)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by the Company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Company.</w:t>
      </w:r>
    </w:p>
    <w:p>
      <w:pPr>
        <w:spacing w:after="0" w:line="182"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color w:val="auto"/>
        </w:rPr>
        <w:t>SECTION 6. VOTING: The shares of the Class A Common Stock (as defined in the Certificate of Incorporation) and the share of the Class B Common Stock (as defined in the Certificate of Incorporation) shall have the voting rights set forth in the Certificate of Incorporation. Except as otherwise provided in the Certificate of Incorporation, each stockholder shall at every meeting of the stockholders be entitled to vote the number of votes in person or by proxy for each share of the class of capital stock having voting power held by such stockholder. If a quorum is present, the affirmative vote of the majority of the voting power represented in person or by proxy and entitled to vote at the meeting shall be the act of the stockholders, except in connection with the election of directors or as otherwise required by the Certificate of Incorporation, by these Bylaws or by law. No person shall be permitted to vote on any shares belonging or hypothecated to the Company.</w:t>
      </w:r>
    </w:p>
    <w:p>
      <w:pPr>
        <w:spacing w:after="0" w:line="178"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SECTION 7. PROXIES: The following shall constitute valid means by which a stockholder may authorize a person to act for the stockholder as a proxy:</w:t>
      </w:r>
    </w:p>
    <w:p>
      <w:pPr>
        <w:spacing w:after="0" w:line="62" w:lineRule="exact"/>
        <w:rPr>
          <w:sz w:val="20"/>
          <w:szCs w:val="20"/>
          <w:color w:val="auto"/>
        </w:rPr>
      </w:pPr>
    </w:p>
    <w:p>
      <w:pPr>
        <w:ind w:right="380" w:firstLine="996"/>
        <w:spacing w:after="0" w:line="286" w:lineRule="auto"/>
        <w:tabs>
          <w:tab w:leader="none" w:pos="1237"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 stockholder or the stockholder’s duly authorized attorney-in-fact may execute a writing authorizing another person to act for the stockholder as proxy. Execution may be accomplished by the stockholder or duly authorized attorney-in-fact signing such writing or causing the stockholder’s signature to be affixed to such writing by any reasonable means, including, but not limited to, facsimile signature;</w:t>
      </w:r>
    </w:p>
    <w:p>
      <w:pPr>
        <w:spacing w:after="0" w:line="57" w:lineRule="exact"/>
        <w:rPr>
          <w:rFonts w:ascii="Arial" w:cs="Arial" w:eastAsia="Arial" w:hAnsi="Arial"/>
          <w:sz w:val="17"/>
          <w:szCs w:val="17"/>
          <w:color w:val="auto"/>
        </w:rPr>
      </w:pPr>
    </w:p>
    <w:p>
      <w:pPr>
        <w:ind w:right="140" w:firstLine="996"/>
        <w:spacing w:after="0" w:line="272" w:lineRule="auto"/>
        <w:tabs>
          <w:tab w:leader="none" w:pos="1247"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 stockholder may authorize another person to act for the stockholder as proxy by transmitting or authorizing the transmission of a facsimile or other means of electronic transmission, or by telephone, to the person who will be the holder of the proxy or to a proxy solicitation firm, proxy support service organization or like agent duly authorized by the person who will be the holder of the proxy to receive such transmission, provided that any such facsimile or other means of electronic transmission or telephonic transmission shall either set forth or be submitted with information from which it can be determined that the facsimile or other electronic transmission or telephonic transmission was authorized by the stockholder. If it is determined that such facsimiles or other electronic transmissions or telephonic transmissions are valid, the inspectors or, if there are no inspectors, such other persons making such determination, shall specify the information upon which they relied; or</w:t>
      </w:r>
    </w:p>
    <w:p>
      <w:pPr>
        <w:spacing w:after="0" w:line="69" w:lineRule="exact"/>
        <w:rPr>
          <w:rFonts w:ascii="Arial" w:cs="Arial" w:eastAsia="Arial" w:hAnsi="Arial"/>
          <w:sz w:val="17"/>
          <w:szCs w:val="17"/>
          <w:color w:val="auto"/>
        </w:rPr>
      </w:pPr>
    </w:p>
    <w:p>
      <w:pPr>
        <w:ind w:right="80" w:firstLine="996"/>
        <w:spacing w:after="0" w:line="277" w:lineRule="auto"/>
        <w:tabs>
          <w:tab w:leader="none" w:pos="123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holder of the Class B Common Stock may grant one or more proxies or enter into one or more voting agreements or arrangements as provided in the Certificate of Incorporation.</w:t>
      </w:r>
    </w:p>
    <w:p>
      <w:pPr>
        <w:spacing w:after="0" w:line="170"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SECTION 8. BUSINESS TO BE CONDUCTED; ADVANCE NOTICE: (a) At an annual meeting of stockholders, only such business (other than nominations of directors, which must be made in compliance with, and shall be exclusively governed by, Section 1 of Article II of these Bylaws) shall be conducted as shall have been brought before the meeting (i) pursuant to the Company’s notice of the meeting (or any supplement thereto), (ii) by or at the direction of the Board or any committee thereof or (iii) by any stockholder of the Company who is a stockholder of record at the time of giving of the notice provided for in this Section 8 of Article I of these Bylaws, and at the time of the annual meeting, who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3" w:right="439" w:bottom="1440" w:gutter="0" w:footer="0" w:header="0"/>
        </w:sectPr>
      </w:pPr>
    </w:p>
    <w:bookmarkStart w:id="306" w:name="page307"/>
    <w:bookmarkEnd w:id="306"/>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entitled to vote at such meeting and, in the case of any stockholder other than Post, who shall have complied with the notice procedures set forth in this Section 8 of Article I of these Bylaws; clause (iii) shall be the exclusive means for a stockholder, other than Post, to submit such business to be brought before the meeting (other than matters properly brought under Rule 14a-8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to be included in the Company’s notice of meeting before or at an annual meeting of stockholders.</w:t>
      </w:r>
    </w:p>
    <w:p>
      <w:pPr>
        <w:spacing w:after="0" w:line="63" w:lineRule="exact"/>
        <w:rPr>
          <w:sz w:val="20"/>
          <w:szCs w:val="20"/>
          <w:color w:val="auto"/>
        </w:rPr>
      </w:pPr>
    </w:p>
    <w:p>
      <w:pPr>
        <w:ind w:right="180" w:firstLine="996"/>
        <w:spacing w:after="0" w:line="277" w:lineRule="auto"/>
        <w:tabs>
          <w:tab w:leader="none" w:pos="124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At any special meeting of stockholders, only such business or proposals as are specified in the notice of the meeting may be properly brought before the meeting.</w:t>
      </w:r>
    </w:p>
    <w:p>
      <w:pPr>
        <w:spacing w:after="0" w:line="62" w:lineRule="exact"/>
        <w:rPr>
          <w:rFonts w:ascii="Arial" w:cs="Arial" w:eastAsia="Arial" w:hAnsi="Arial"/>
          <w:sz w:val="18"/>
          <w:szCs w:val="18"/>
          <w:color w:val="auto"/>
        </w:rPr>
      </w:pPr>
    </w:p>
    <w:p>
      <w:pPr>
        <w:ind w:right="40" w:firstLine="996"/>
        <w:spacing w:after="0" w:line="286" w:lineRule="auto"/>
        <w:tabs>
          <w:tab w:leader="none" w:pos="1237" w:val="left"/>
        </w:tabs>
        <w:numPr>
          <w:ilvl w:val="0"/>
          <w:numId w:val="211"/>
        </w:numPr>
        <w:rPr>
          <w:rFonts w:ascii="Arial" w:cs="Arial" w:eastAsia="Arial" w:hAnsi="Arial"/>
          <w:sz w:val="16"/>
          <w:szCs w:val="16"/>
          <w:color w:val="auto"/>
        </w:rPr>
      </w:pPr>
      <w:r>
        <w:rPr>
          <w:rFonts w:ascii="Arial" w:cs="Arial" w:eastAsia="Arial" w:hAnsi="Arial"/>
          <w:sz w:val="16"/>
          <w:szCs w:val="16"/>
          <w:color w:val="auto"/>
        </w:rPr>
        <w:t>For any such business to be properly brought before an annual meeting by a stockholder of record, other than Post, pursuant to Section 8(a)(iii) of this Article I of these Bylaws, the stockholder must have given timely notice thereof in writing to the Secretary of the Company and any such proposed business must constitute a proper matter for stockholder action. To be timely, a stockholder’s notice, in writing, must be delivered to, or mailed to and received by, the Secretary of the Company at the principal executive office of the Company not less than 90 days nor more than 120 days prior to the first anniversary of the date of the preceding year’s annual meeting (and for purposes of calculating this date with respect to the first annual meeting after the date shares of capital stock of the Company are first publicly traded (the “</w:t>
      </w:r>
      <w:r>
        <w:rPr>
          <w:rFonts w:ascii="Arial" w:cs="Arial" w:eastAsia="Arial" w:hAnsi="Arial"/>
          <w:sz w:val="16"/>
          <w:szCs w:val="16"/>
          <w:u w:val="single" w:color="auto"/>
          <w:color w:val="auto"/>
        </w:rPr>
        <w:t>IPO Date</w:t>
      </w:r>
      <w:r>
        <w:rPr>
          <w:rFonts w:ascii="Arial" w:cs="Arial" w:eastAsia="Arial" w:hAnsi="Arial"/>
          <w:sz w:val="16"/>
          <w:szCs w:val="16"/>
          <w:color w:val="auto"/>
        </w:rPr>
        <w:t xml:space="preserve">”), the Company shall be deemed to have held an annual meeting on January 24, 2019);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date of the meeting is more than 30 days before or more than 60 days after such anniversary date, notice by the stockholder must be received not earlier than the 120</w:t>
      </w:r>
      <w:r>
        <w:rPr>
          <w:rFonts w:ascii="Arial" w:cs="Arial" w:eastAsia="Arial" w:hAnsi="Arial"/>
          <w:sz w:val="13"/>
          <w:szCs w:val="13"/>
          <w:color w:val="auto"/>
        </w:rPr>
        <w:t>th</w:t>
      </w:r>
      <w:r>
        <w:rPr>
          <w:rFonts w:ascii="Arial" w:cs="Arial" w:eastAsia="Arial" w:hAnsi="Arial"/>
          <w:sz w:val="16"/>
          <w:szCs w:val="16"/>
          <w:color w:val="auto"/>
        </w:rPr>
        <w:t xml:space="preserve"> day prior to the date of such annual meeting and not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the date of such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the annual meeting is first made. In no event shall any adjournment or postponement of an annual meeting or the announcement thereof commence a new time period (or extend any time period) for the giving of a stockholder’s notice as described above. For purposes of these Bylaws, “</w:t>
      </w:r>
      <w:r>
        <w:rPr>
          <w:rFonts w:ascii="Arial" w:cs="Arial" w:eastAsia="Arial" w:hAnsi="Arial"/>
          <w:sz w:val="16"/>
          <w:szCs w:val="16"/>
          <w:u w:val="single" w:color="auto"/>
          <w:color w:val="auto"/>
        </w:rPr>
        <w:t>public announcement</w:t>
      </w:r>
      <w:r>
        <w:rPr>
          <w:rFonts w:ascii="Arial" w:cs="Arial" w:eastAsia="Arial" w:hAnsi="Arial"/>
          <w:sz w:val="16"/>
          <w:szCs w:val="16"/>
          <w:color w:val="auto"/>
        </w:rPr>
        <w:t>” shall include disclosure in a press release reported by a national news service or in a publicly available document filed or furnished by the Company with the Securities and Exchange Commission pursuant to the Exchange Act.</w:t>
      </w:r>
    </w:p>
    <w:p>
      <w:pPr>
        <w:spacing w:after="0" w:line="66" w:lineRule="exact"/>
        <w:rPr>
          <w:rFonts w:ascii="Arial" w:cs="Arial" w:eastAsia="Arial" w:hAnsi="Arial"/>
          <w:sz w:val="16"/>
          <w:szCs w:val="16"/>
          <w:color w:val="auto"/>
        </w:rPr>
      </w:pPr>
    </w:p>
    <w:p>
      <w:pPr>
        <w:ind w:firstLine="996"/>
        <w:spacing w:after="0" w:line="286" w:lineRule="auto"/>
        <w:tabs>
          <w:tab w:leader="none" w:pos="1247" w:val="left"/>
        </w:tabs>
        <w:numPr>
          <w:ilvl w:val="0"/>
          <w:numId w:val="211"/>
        </w:numPr>
        <w:rPr>
          <w:rFonts w:ascii="Arial" w:cs="Arial" w:eastAsia="Arial" w:hAnsi="Arial"/>
          <w:sz w:val="16"/>
          <w:szCs w:val="16"/>
          <w:color w:val="auto"/>
        </w:rPr>
      </w:pPr>
      <w:r>
        <w:rPr>
          <w:rFonts w:ascii="Arial" w:cs="Arial" w:eastAsia="Arial" w:hAnsi="Arial"/>
          <w:sz w:val="16"/>
          <w:szCs w:val="16"/>
          <w:color w:val="auto"/>
        </w:rPr>
        <w:t>No business (other than the election of directors) shall be conducted at an annual meeting, except in accordance with the procedures set forth in this Section 8 of Article I of these Bylaws. Except as otherwise provided by law, the Certificate of Incorporation or these Bylaws, the person presiding over the meeting (the “</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may, if the facts warrant, determine that the proposed business was not properly brought before the meeting in accordance with the provisions of this Section 8 of Article I of these Bylaws (including whether the stockholder or beneficial owner, if any, on whose behalf the proposal is solicited (or is part of a group which solicited) or did not so solicit, as the case may be, proxies in support of such stockholder’s proposal in compliance with such stockholder’s representation as required by Section 8(e)(iii)(d) of Article I of these Bylaws); and if the chairperson should so determine, the chairperson shall so declare to the meeting, and any such proposed business not properly brought before the meeting shall not be transacted. Notwithstanding the foregoing provisions of this Section 8 of Article I of these Bylaws, a stockholder also shall comply with all applicable requirements of the Exchange Act and the rules and regulations thereunder with respect to the matters set forth in this Section 8 of Article I of these Bylaws;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references in these Bylaws to the Exchange Act or the rules promulgated thereunder are not intended to and shall not limit the requirements applicable to business proposals to be considered pursuant to Section 8 of Article I of these Bylaws (including Section 8(a)(iii) of Article I of these Bylaws). Nothing in this Section 8 of Article I of these Bylaws shall be deemed to affect any rights of stockholders to request inclusion of proposals in the Company’s proxy statement pursuant to Rule 14a-8 under the Exchange Act. The provisions of this Section 8 of Article I of these Bylaws also shall govern what constitutes timely notice for purposes of Rule 14a-4(c) of the Exchange Act.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07" w:name="page308"/>
    <w:bookmarkEnd w:id="307"/>
    <w:p>
      <w:pPr>
        <w:ind w:left="-20" w:right="360" w:firstLine="996"/>
        <w:spacing w:after="0" w:line="277" w:lineRule="auto"/>
        <w:tabs>
          <w:tab w:leader="none" w:pos="1217" w:val="left"/>
        </w:tabs>
        <w:numPr>
          <w:ilvl w:val="0"/>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any such business to be properly brought before a meeting, such stockholder’s notice to the Secretary of the Company shall set forth as to each matter he or she proposes to bring before the meeting:</w:t>
      </w:r>
    </w:p>
    <w:p>
      <w:pPr>
        <w:spacing w:after="0" w:line="62" w:lineRule="exact"/>
        <w:rPr>
          <w:rFonts w:ascii="Arial" w:cs="Arial" w:eastAsia="Arial" w:hAnsi="Arial"/>
          <w:sz w:val="18"/>
          <w:szCs w:val="18"/>
          <w:color w:val="auto"/>
        </w:rPr>
      </w:pPr>
    </w:p>
    <w:p>
      <w:pPr>
        <w:ind w:left="420" w:right="60" w:firstLine="957"/>
        <w:spacing w:after="0" w:line="279" w:lineRule="auto"/>
        <w:tabs>
          <w:tab w:leader="none" w:pos="1587" w:val="left"/>
        </w:tabs>
        <w:numPr>
          <w:ilvl w:val="1"/>
          <w:numId w:val="212"/>
        </w:numPr>
        <w:rPr>
          <w:rFonts w:ascii="Arial" w:cs="Arial" w:eastAsia="Arial" w:hAnsi="Arial"/>
          <w:sz w:val="17"/>
          <w:szCs w:val="17"/>
          <w:color w:val="auto"/>
        </w:rPr>
      </w:pPr>
      <w:r>
        <w:rPr>
          <w:rFonts w:ascii="Arial" w:cs="Arial" w:eastAsia="Arial" w:hAnsi="Arial"/>
          <w:sz w:val="17"/>
          <w:szCs w:val="17"/>
          <w:color w:val="auto"/>
        </w:rPr>
        <w:t>a brief description of the business desired to be brought before the meeting, the text of the proposal or business (including any proposed resolutions for consideration and, in the event that such business includes a proposal to request or otherwise relating to the amendment of these Bylaws, the text of the proposed amendment), the reasons for proposing to conduct such business at the meeting and any material interest of such stockholder (and of the beneficial owner, if any, on whose behalf the proposal is made) in such business;</w:t>
      </w:r>
    </w:p>
    <w:p>
      <w:pPr>
        <w:spacing w:after="0" w:line="63" w:lineRule="exact"/>
        <w:rPr>
          <w:rFonts w:ascii="Arial" w:cs="Arial" w:eastAsia="Arial" w:hAnsi="Arial"/>
          <w:sz w:val="17"/>
          <w:szCs w:val="17"/>
          <w:color w:val="auto"/>
        </w:rPr>
      </w:pPr>
    </w:p>
    <w:p>
      <w:pPr>
        <w:ind w:left="420" w:right="60" w:firstLine="957"/>
        <w:spacing w:after="0" w:line="308" w:lineRule="auto"/>
        <w:tabs>
          <w:tab w:leader="none" w:pos="1637" w:val="left"/>
        </w:tabs>
        <w:numPr>
          <w:ilvl w:val="1"/>
          <w:numId w:val="212"/>
        </w:numPr>
        <w:rPr>
          <w:rFonts w:ascii="Arial" w:cs="Arial" w:eastAsia="Arial" w:hAnsi="Arial"/>
          <w:sz w:val="17"/>
          <w:szCs w:val="17"/>
          <w:color w:val="auto"/>
        </w:rPr>
      </w:pPr>
      <w:r>
        <w:rPr>
          <w:rFonts w:ascii="Arial" w:cs="Arial" w:eastAsia="Arial" w:hAnsi="Arial"/>
          <w:sz w:val="17"/>
          <w:szCs w:val="17"/>
          <w:color w:val="auto"/>
        </w:rPr>
        <w:t>a description of all agreements, arrangements and understandings between such stockholder and beneficial owner, if any, and any other person or persons (including their names) in connection with the proposal of such business by such stockholder;</w:t>
      </w:r>
    </w:p>
    <w:p>
      <w:pPr>
        <w:spacing w:after="0" w:line="38" w:lineRule="exact"/>
        <w:rPr>
          <w:rFonts w:ascii="Arial" w:cs="Arial" w:eastAsia="Arial" w:hAnsi="Arial"/>
          <w:sz w:val="17"/>
          <w:szCs w:val="17"/>
          <w:color w:val="auto"/>
        </w:rPr>
      </w:pPr>
    </w:p>
    <w:p>
      <w:pPr>
        <w:ind w:left="1700" w:hanging="323"/>
        <w:spacing w:after="0"/>
        <w:tabs>
          <w:tab w:leader="none" w:pos="17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as to the stockholder giving the notice and the beneficial owner, if any, on whose behalf the proposal is made:</w:t>
      </w:r>
    </w:p>
    <w:p>
      <w:pPr>
        <w:spacing w:after="0" w:line="117" w:lineRule="exact"/>
        <w:rPr>
          <w:rFonts w:ascii="Arial" w:cs="Arial" w:eastAsia="Arial" w:hAnsi="Arial"/>
          <w:sz w:val="18"/>
          <w:szCs w:val="18"/>
          <w:color w:val="auto"/>
        </w:rPr>
      </w:pPr>
    </w:p>
    <w:p>
      <w:pPr>
        <w:ind w:left="2040" w:hanging="162"/>
        <w:spacing w:after="0"/>
        <w:tabs>
          <w:tab w:leader="none" w:pos="2040" w:val="left"/>
        </w:tabs>
        <w:numPr>
          <w:ilvl w:val="2"/>
          <w:numId w:val="212"/>
        </w:numPr>
        <w:rPr>
          <w:rFonts w:ascii="Arial" w:cs="Arial" w:eastAsia="Arial" w:hAnsi="Arial"/>
          <w:sz w:val="17"/>
          <w:szCs w:val="17"/>
          <w:color w:val="auto"/>
        </w:rPr>
      </w:pPr>
      <w:r>
        <w:rPr>
          <w:rFonts w:ascii="Arial" w:cs="Arial" w:eastAsia="Arial" w:hAnsi="Arial"/>
          <w:sz w:val="17"/>
          <w:szCs w:val="17"/>
          <w:color w:val="auto"/>
        </w:rPr>
        <w:t>the name and address of such stockholder and beneficial owner as they appear in the Company’s stockholder records;</w:t>
      </w:r>
    </w:p>
    <w:p>
      <w:pPr>
        <w:spacing w:after="0" w:line="128" w:lineRule="exact"/>
        <w:rPr>
          <w:rFonts w:ascii="Arial" w:cs="Arial" w:eastAsia="Arial" w:hAnsi="Arial"/>
          <w:sz w:val="17"/>
          <w:szCs w:val="17"/>
          <w:color w:val="auto"/>
        </w:rPr>
      </w:pPr>
    </w:p>
    <w:p>
      <w:pPr>
        <w:ind w:left="980" w:firstLine="898"/>
        <w:spacing w:after="0" w:line="283" w:lineRule="auto"/>
        <w:tabs>
          <w:tab w:leader="none" w:pos="2063" w:val="left"/>
        </w:tabs>
        <w:numPr>
          <w:ilvl w:val="2"/>
          <w:numId w:val="212"/>
        </w:numPr>
        <w:rPr>
          <w:rFonts w:ascii="Arial" w:cs="Arial" w:eastAsia="Arial" w:hAnsi="Arial"/>
          <w:sz w:val="16"/>
          <w:szCs w:val="16"/>
          <w:color w:val="auto"/>
        </w:rPr>
      </w:pPr>
      <w:r>
        <w:rPr>
          <w:rFonts w:ascii="Arial" w:cs="Arial" w:eastAsia="Arial" w:hAnsi="Arial"/>
          <w:sz w:val="16"/>
          <w:szCs w:val="16"/>
          <w:color w:val="auto"/>
        </w:rPr>
        <w:t>(1) the class or series and number of shares of the Company’s capital stock which are directly or indirectly beneficially owned or owned of record by such stockholder and such beneficial owner, (2) any option, warrant, convertible security, stock appreciation right, or similar right with an exercise or conversion privilege or a settlement payment or mechanism at a price related to any class or series of shares of capital stock of the Company or with a value derived in whole or in part from the value of any class or series of shares of capital stock of the Company, whether or not such instrument or right shall be subject to settlement in the underlying class or series of capital stock of the Company or otherwise (a “</w:t>
      </w:r>
      <w:r>
        <w:rPr>
          <w:rFonts w:ascii="Arial" w:cs="Arial" w:eastAsia="Arial" w:hAnsi="Arial"/>
          <w:sz w:val="16"/>
          <w:szCs w:val="16"/>
          <w:u w:val="single" w:color="auto"/>
          <w:color w:val="auto"/>
        </w:rPr>
        <w:t>Derivative Instrument</w:t>
      </w:r>
      <w:r>
        <w:rPr>
          <w:rFonts w:ascii="Arial" w:cs="Arial" w:eastAsia="Arial" w:hAnsi="Arial"/>
          <w:sz w:val="16"/>
          <w:szCs w:val="16"/>
          <w:color w:val="auto"/>
        </w:rPr>
        <w:t>”) directly or indirectly owned beneficially by such stockholder or beneficial owner and any other direct or indirect opportunity to profit or share in any profit derived from any increase or decrease in the value of shares of the Company, (3) any proxy, contract, arrangement, understanding or relationship pursuant to which such stockholder or beneficial owner has a right to vote any shares or any security of the Company, (4) any short interest of such stockholder or beneficial owner in any security of the Company (for purposes of these Bylaws,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(5) any rights to dividends on the shares of the Company owned beneficially by such stockholder or beneficial owner that are separated or separable from the underlying shares of the Company,</w:t>
      </w:r>
    </w:p>
    <w:p>
      <w:pPr>
        <w:spacing w:after="0" w:line="3" w:lineRule="exact"/>
        <w:rPr>
          <w:rFonts w:ascii="Arial" w:cs="Arial" w:eastAsia="Arial" w:hAnsi="Arial"/>
          <w:sz w:val="16"/>
          <w:szCs w:val="16"/>
          <w:color w:val="auto"/>
        </w:rPr>
      </w:pPr>
    </w:p>
    <w:p>
      <w:pPr>
        <w:ind w:left="980" w:right="260"/>
        <w:spacing w:after="0" w:line="252" w:lineRule="auto"/>
        <w:rPr>
          <w:rFonts w:ascii="Arial" w:cs="Arial" w:eastAsia="Arial" w:hAnsi="Arial"/>
          <w:sz w:val="16"/>
          <w:szCs w:val="16"/>
          <w:color w:val="auto"/>
        </w:rPr>
      </w:pPr>
      <w:r>
        <w:rPr>
          <w:rFonts w:ascii="Arial" w:cs="Arial" w:eastAsia="Arial" w:hAnsi="Arial"/>
          <w:sz w:val="18"/>
          <w:szCs w:val="18"/>
          <w:color w:val="auto"/>
        </w:rPr>
        <w:t>(6) any proportionate interest in shares of the Company or Derivative Instruments held, directly or indirectly, by a general or limited partnership or limited liability company in which such stockholder or beneficial owner is a general partner or manager or directly or indirectly beneficially owns an interest in a general partner or manager, (7) any performance-related fees (other than an asset-based fee) that such stockholder or beneficial owner is entitled to based on any increase or decrease in the value of shares of the Company or Derivative Instruments, if any, as of the date of such notice, including without limitation any such interests held by members of such stockholder’s or beneficial owner’s immediate family sharing the same household, and (8) any other information relating to such stockholder or beneficial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60" w:top="274" w:right="439" w:bottom="1440" w:gutter="0" w:footer="0" w:header="0"/>
        </w:sectPr>
      </w:pPr>
    </w:p>
    <w:bookmarkStart w:id="308" w:name="page309"/>
    <w:bookmarkEnd w:id="308"/>
    <w:p>
      <w:pPr>
        <w:ind w:left="1000"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owner that would be required to be disclosed in a proxy statement or other filing required to be made in connection with the solicitation of proxies for, as applicable, the proposal and/or the election of directors in a contested election, or is otherwise required, pursuant to Section 14 of the Exchange Act and the rules and regulations thereunder (the foregoing items (1) through (8), individually or collectively, the “</w:t>
      </w:r>
      <w:r>
        <w:rPr>
          <w:rFonts w:ascii="Arial" w:cs="Arial" w:eastAsia="Arial" w:hAnsi="Arial"/>
          <w:sz w:val="16"/>
          <w:szCs w:val="16"/>
          <w:u w:val="single" w:color="auto"/>
          <w:color w:val="auto"/>
        </w:rPr>
        <w:t>Proposing Stockholder Information</w:t>
      </w:r>
      <w:r>
        <w:rPr>
          <w:rFonts w:ascii="Arial" w:cs="Arial" w:eastAsia="Arial" w:hAnsi="Arial"/>
          <w:sz w:val="16"/>
          <w:szCs w:val="16"/>
          <w:color w:val="auto"/>
        </w:rPr>
        <w:t>,” which information shall be supplemented by such stockholder and beneficial owner, if any, not later than 10 days after the record date for the meeting to disclose such ownership or other information as of the record date);</w:t>
      </w:r>
    </w:p>
    <w:p>
      <w:pPr>
        <w:spacing w:after="0" w:line="50" w:lineRule="exact"/>
        <w:rPr>
          <w:sz w:val="20"/>
          <w:szCs w:val="20"/>
          <w:color w:val="auto"/>
        </w:rPr>
      </w:pPr>
    </w:p>
    <w:p>
      <w:pPr>
        <w:ind w:left="1000" w:right="260" w:firstLine="903"/>
        <w:spacing w:after="0" w:line="277" w:lineRule="auto"/>
        <w:rPr>
          <w:sz w:val="20"/>
          <w:szCs w:val="20"/>
          <w:color w:val="auto"/>
        </w:rPr>
      </w:pPr>
      <w:r>
        <w:rPr>
          <w:rFonts w:ascii="Arial" w:cs="Arial" w:eastAsia="Arial" w:hAnsi="Arial"/>
          <w:sz w:val="18"/>
          <w:szCs w:val="18"/>
          <w:color w:val="auto"/>
        </w:rPr>
        <w:t>c. a representation that the stockholder is a holder of record of shares of the Company, is entitled to vote at the meeting and intends to appear in person or by proxy at the meeting to propose such business; and</w:t>
      </w:r>
    </w:p>
    <w:p>
      <w:pPr>
        <w:spacing w:after="0" w:line="62" w:lineRule="exact"/>
        <w:rPr>
          <w:sz w:val="20"/>
          <w:szCs w:val="20"/>
          <w:color w:val="auto"/>
        </w:rPr>
      </w:pPr>
    </w:p>
    <w:p>
      <w:pPr>
        <w:ind w:left="1000" w:right="300" w:firstLine="903"/>
        <w:spacing w:after="0" w:line="302" w:lineRule="auto"/>
        <w:rPr>
          <w:sz w:val="20"/>
          <w:szCs w:val="20"/>
          <w:color w:val="auto"/>
        </w:rPr>
      </w:pPr>
      <w:r>
        <w:rPr>
          <w:rFonts w:ascii="Arial" w:cs="Arial" w:eastAsia="Arial" w:hAnsi="Arial"/>
          <w:sz w:val="16"/>
          <w:szCs w:val="16"/>
          <w:color w:val="auto"/>
        </w:rPr>
        <w:t>d. a representation as to whether the stockholder or the beneficial owner, if any, is or intends to be part of a group which intends (1) to deliver a proxy statement and/or form of proxy to holders of at least the percentage of the Company’s outstanding capital stock required to approve or adopt the proposal or (2) otherwise to solicit proxies from stockholders in support of such proposal. The meaning of the term “</w:t>
      </w:r>
      <w:r>
        <w:rPr>
          <w:rFonts w:ascii="Arial" w:cs="Arial" w:eastAsia="Arial" w:hAnsi="Arial"/>
          <w:sz w:val="16"/>
          <w:szCs w:val="16"/>
          <w:u w:val="single" w:color="auto"/>
          <w:color w:val="auto"/>
        </w:rPr>
        <w:t>group</w:t>
      </w:r>
      <w:r>
        <w:rPr>
          <w:rFonts w:ascii="Arial" w:cs="Arial" w:eastAsia="Arial" w:hAnsi="Arial"/>
          <w:sz w:val="16"/>
          <w:szCs w:val="16"/>
          <w:color w:val="auto"/>
        </w:rPr>
        <w:t>” shall be within the meaning ascribed to such term under Section 13(d)(3) of the Exchange Act.</w:t>
      </w:r>
    </w:p>
    <w:p>
      <w:pPr>
        <w:spacing w:after="0" w:line="15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proposed business must not be an improper subject for stockholder action under applicable law, and the stockholder must comply with state law, the Exchange Act and the rules and regulations thereunder with respect to the matters set forth in this Section 8 of Article I of these Bylaws.</w:t>
      </w:r>
    </w:p>
    <w:p>
      <w:pPr>
        <w:spacing w:after="0" w:line="147"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SECTION 9. ORGANIZATION; CONDUCT OF STOCKHOLDER MEETINGS: (a) Each meeting of stockholders shall be convened by the President, Secretary or other officer of the Company or other person calling the meeting by notice given in accordance with these Bylaws. The Chairperson of the Board, or any person appointed by the Chairperson of the Board prior to any meeting of stockholders, shall act as chairperson of each meeting of stockholders. In the absence of the Chairperson of the Board, or a person appointed by the Chairperson of the Board to act as chairperson of the meeting, the stockholders present at the meeting shall designate a stockholder or officer of the Company present to act as chairperson of the meeting. The Secretary of the Company, or a person designated by the chairperson, shall act as secretary of each meeting of stockholders. Whenever the Secretary of the Company shall act as chairperson of the meeting, or shall be absent, the chairperson of the meeting shall appoint a person present to act as secretary of the meeting.</w:t>
      </w:r>
    </w:p>
    <w:p>
      <w:pPr>
        <w:spacing w:after="0" w:line="84" w:lineRule="exact"/>
        <w:rPr>
          <w:sz w:val="20"/>
          <w:szCs w:val="20"/>
          <w:color w:val="auto"/>
        </w:rPr>
      </w:pPr>
    </w:p>
    <w:p>
      <w:pPr>
        <w:ind w:right="20" w:firstLine="996"/>
        <w:spacing w:after="0" w:line="288" w:lineRule="auto"/>
        <w:tabs>
          <w:tab w:leader="none" w:pos="1247"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Board shall be entitled to make such rules or regulations for the conduct of meetings of stockholders as it shall deem appropriate. Subject to such rules and regulations of the Board, if any, the person presiding over the meeting shall have the right and authority to convene and adjourn the meeting, to prescribe such rules, regulations and procedures and to do all such acts as, in the judgment of the person presiding over the meeting, are necessary, appropriate or convenient for the proper conduct of the meeting, including, without limitation, adjournment of the meeting, establishing an agenda or order of business for the meeting, rules and procedures for maintaining order at the meeting and the safety of those present, limitations on participation in such meeting to stockholders of record of the Company and their duly authorized and constituted proxies and such other persons as the person presiding over the meeting shall permit, restrictions on entry to the meeting after the time fixed for the commencement thereof, limitations on the time allotted to questions or comments by participants, either by the person presiding over the meeting or by vote of the shares present in person or by proxy at the meeting, and regulation of the voting or balloting, as applicable, including, without limitation, matters which are to be voted on by ballot, if any. The chairperson of the meeting shall have sole, absolute and complete authority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309" w:name="page310"/>
    <w:bookmarkEnd w:id="309"/>
    <w:p>
      <w:pPr>
        <w:ind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discretion to decide questions of compliance with the foregoing procedures and his or her ruling thereon shall be final and conclusive. The chairperson of the meeting, in addition to making any other determinations that may be appropriate to the conduct of the meeting, shall, if the facts warrant, determine and declare to the meeting that a matter or business was not properly brought before the meeting and if the chairperson of the meeting should so determine and declare, any such matter or business shall not be transacted or considered. Unless and to the extent determined by the Board or the chairperson of the meeting, meetings of stockholders shall not be required to be held in accordance with rules of parliamentary procedure.</w:t>
      </w:r>
    </w:p>
    <w:p>
      <w:pPr>
        <w:spacing w:after="0" w:line="50" w:lineRule="exact"/>
        <w:rPr>
          <w:sz w:val="20"/>
          <w:szCs w:val="20"/>
          <w:color w:val="auto"/>
        </w:rPr>
      </w:pPr>
    </w:p>
    <w:p>
      <w:pPr>
        <w:ind w:right="100" w:firstLine="996"/>
        <w:spacing w:after="0" w:line="253" w:lineRule="auto"/>
        <w:tabs>
          <w:tab w:leader="none" w:pos="123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Notwithstanding anything to the contrary in these Bylaws, unless otherwise required by law, if a stockholder (or qualified representative) does not appear at the annual or special meeting of stockholders of the Company to present business or a nomination proposed by such stockholder pursuant to Section 8 of Article I of these Bylaws or Section 1 of Article II of these Bylaws, such proposed business shall not be transacted and such nomination shall be disregarded, as the case may be, even though proxies in respect of such vote may have been received by the Company. In order to be considered a qualified representative of the stockholder for purposes of Section 8 of Article I of these Bylaws or Section 1 of Article II of these Bylaws,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 – BOARD OF DIRECTORS</w:t>
      </w:r>
    </w:p>
    <w:p>
      <w:pPr>
        <w:spacing w:after="0" w:line="225" w:lineRule="exact"/>
        <w:rPr>
          <w:sz w:val="20"/>
          <w:szCs w:val="20"/>
          <w:color w:val="auto"/>
        </w:rPr>
      </w:pPr>
    </w:p>
    <w:p>
      <w:pPr>
        <w:ind w:right="280" w:firstLine="441"/>
        <w:spacing w:after="0" w:line="286" w:lineRule="auto"/>
        <w:rPr>
          <w:sz w:val="20"/>
          <w:szCs w:val="20"/>
          <w:color w:val="auto"/>
        </w:rPr>
      </w:pPr>
      <w:r>
        <w:rPr>
          <w:rFonts w:ascii="Arial" w:cs="Arial" w:eastAsia="Arial" w:hAnsi="Arial"/>
          <w:sz w:val="17"/>
          <w:szCs w:val="17"/>
          <w:color w:val="auto"/>
        </w:rPr>
        <w:t>SECTION 1. ELECTION; TENURE; QUALIFICATIONS; NOMINATIONS: (a) The Board shall consist of not less than five nor more than twelve members, such directors to be classified in respect of the time for which they shall severally hold office by dividing them into three classes of approximately equal size, and the number of directors shall be fixed by a resolution of the Board adopted from time to time.</w:t>
      </w:r>
    </w:p>
    <w:p>
      <w:pPr>
        <w:spacing w:after="0" w:line="57" w:lineRule="exact"/>
        <w:rPr>
          <w:sz w:val="20"/>
          <w:szCs w:val="20"/>
          <w:color w:val="auto"/>
        </w:rPr>
      </w:pPr>
    </w:p>
    <w:p>
      <w:pPr>
        <w:ind w:right="160" w:firstLine="996"/>
        <w:spacing w:after="0" w:line="288" w:lineRule="auto"/>
        <w:tabs>
          <w:tab w:leader="none" w:pos="1247" w:val="left"/>
        </w:tabs>
        <w:numPr>
          <w:ilvl w:val="0"/>
          <w:numId w:val="215"/>
        </w:numPr>
        <w:rPr>
          <w:rFonts w:ascii="Arial" w:cs="Arial" w:eastAsia="Arial" w:hAnsi="Arial"/>
          <w:sz w:val="16"/>
          <w:szCs w:val="16"/>
          <w:color w:val="auto"/>
        </w:rPr>
      </w:pPr>
      <w:r>
        <w:rPr>
          <w:rFonts w:ascii="Arial" w:cs="Arial" w:eastAsia="Arial" w:hAnsi="Arial"/>
          <w:sz w:val="16"/>
          <w:szCs w:val="16"/>
          <w:color w:val="auto"/>
        </w:rPr>
        <w:t>In the event of any increase or decrease in the number of directors, the number of directors assigned to each class shall be adjusted as may be necessary so that all classes shall be as nearly equal in number as reasonably possible, except that one class may be one greater or one less in number than the other two classes. No reduction in the number of directors shall affect the term of office of any incumbent director. Subject to the</w:t>
      </w:r>
    </w:p>
    <w:p>
      <w:pPr>
        <w:ind w:right="320"/>
        <w:spacing w:after="0" w:line="254" w:lineRule="auto"/>
        <w:rPr>
          <w:sz w:val="20"/>
          <w:szCs w:val="20"/>
          <w:color w:val="auto"/>
        </w:rPr>
      </w:pPr>
      <w:r>
        <w:rPr>
          <w:rFonts w:ascii="Arial" w:cs="Arial" w:eastAsia="Arial" w:hAnsi="Arial"/>
          <w:sz w:val="18"/>
          <w:szCs w:val="18"/>
          <w:color w:val="auto"/>
        </w:rPr>
        <w:t>foregoing and the rights of Post under the Investor Rights Agreement dated as of , 2019 between Post and the Company (as the same may be amended, restated, supplemented and/or otherwise modified from time to time, the “</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(as long as such agreement is in effect), the Board shall determine the class or classes to which any director shall be assigned and the class or classes which shall be increased or decreased in the event of any increase or decrease in the number of directors.</w:t>
      </w:r>
    </w:p>
    <w:p>
      <w:pPr>
        <w:spacing w:after="0" w:line="8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(c) Each director shall hold office until a successor is duly elected and qualified or until the director’s earlier death, resignation,</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disqualification or removal. With respect to the members of the Board in office on , 2019, the first class of directors shall hold office until the first annual meeting of stockholders following the IPO Date, the second class of directors shall hold office until the second annual meeting of stockholders following the IPO Date, and the third class of directors shall hold office until the third annual meeting of stockholders following the IPO Date. Thereafter, directors shall be elected to hold office for a term of three years, and at each annual meeting of stockholders, the successors to the class of directors whose term shall then expire shall be elected for a term expiring at the third succeeding annual meeting after that election or until their successors shall be elected and qualified.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3" w:right="459" w:bottom="1440" w:gutter="0" w:footer="0" w:header="0"/>
        </w:sectPr>
      </w:pPr>
    </w:p>
    <w:bookmarkStart w:id="310" w:name="page311"/>
    <w:bookmarkEnd w:id="310"/>
    <w:p>
      <w:pPr>
        <w:jc w:val="both"/>
        <w:ind w:right="40" w:firstLine="996"/>
        <w:spacing w:after="0" w:line="288" w:lineRule="auto"/>
        <w:tabs>
          <w:tab w:leader="none" w:pos="1247" w:val="left"/>
        </w:tabs>
        <w:numPr>
          <w:ilvl w:val="1"/>
          <w:numId w:val="2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Section 1(h) in this Article II (including the exceptions for Post set forth therein) and in addition to the qualifications set out in Section 11 of Article II of these Bylaws, only persons who are nominated in accordance with the procedures set forth in these Bylaws shall be eligible as directors at a meeting of stockholders. Nominations of persons for election to the Board may be made at an annual meeting of stockholders</w:t>
      </w:r>
    </w:p>
    <w:p>
      <w:pPr>
        <w:ind w:left="220" w:hanging="216"/>
        <w:spacing w:after="0"/>
        <w:tabs>
          <w:tab w:leader="none" w:pos="22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pursuant to the Company’s notice of the meeting (or any supplement thereto), (ii) by or at the direction of the Board or any committee thereof or</w:t>
      </w:r>
    </w:p>
    <w:p>
      <w:pPr>
        <w:spacing w:after="0" w:line="21" w:lineRule="exact"/>
        <w:rPr>
          <w:sz w:val="20"/>
          <w:szCs w:val="20"/>
          <w:color w:val="auto"/>
        </w:rPr>
      </w:pPr>
    </w:p>
    <w:p>
      <w:pPr>
        <w:ind w:firstLine="4"/>
        <w:spacing w:after="0" w:line="267" w:lineRule="auto"/>
        <w:tabs>
          <w:tab w:leader="none" w:pos="315" w:val="left"/>
        </w:tabs>
        <w:numPr>
          <w:ilvl w:val="0"/>
          <w:numId w:val="218"/>
        </w:numPr>
        <w:rPr>
          <w:rFonts w:ascii="Arial" w:cs="Arial" w:eastAsia="Arial" w:hAnsi="Arial"/>
          <w:sz w:val="17"/>
          <w:szCs w:val="17"/>
          <w:color w:val="auto"/>
        </w:rPr>
      </w:pPr>
      <w:r>
        <w:rPr>
          <w:rFonts w:ascii="Arial" w:cs="Arial" w:eastAsia="Arial" w:hAnsi="Arial"/>
          <w:sz w:val="17"/>
          <w:szCs w:val="17"/>
          <w:color w:val="auto"/>
        </w:rPr>
        <w:t>by any stockholder of the Company who is a stockholder of record of the Company at the time of giving of the notice provided for in this Section 1 of Article II of these Bylaws, and at the time of the annual meeting, who shall be entitled to vote for the election of directors at the annual meeting and who shall have complied with the notice procedures set forth in this Section 1 of Article II of these Bylaws; the foregoing clause (iii), subject to Section 1(h) in this Article II (including the exceptions for Post set forth therein) shall be the exclusive means for a stockholder other than Post to make nominations of persons for election to the Board at an annual meeting of stockholders. Nominations of persons for election to the Board may be made at a special meeting of stockholders at which directors are to be elected pursuant to the notice of meeting (x) by or at the direction of the Board or any committee thereof or (y) provided that the Board has determined that directors shall be elected at such meeting, by any stockholder of the Company who is a stockholder of record at the time the notice provided in this Section 1(d) of Article II of these Bylaws is delivered to the Secretary of the Company, and at the time of the special meeting, who shall be entitled to vote at the special meeting for the election of directors at the special meeting and who shall have complied with the notice provisions set forth in this Section 1 of Article II of these Bylaws; the foregoing clause (y), subject to Section 1(h) in this Article II (including the exceptions for Post set forth therein) shall be the exclusive means for a stockholder other than Post to make nominations of persons for election to the Board at a special meeting of stockholders.</w:t>
      </w:r>
    </w:p>
    <w:p>
      <w:pPr>
        <w:spacing w:after="0" w:line="185" w:lineRule="exact"/>
        <w:rPr>
          <w:sz w:val="20"/>
          <w:szCs w:val="20"/>
          <w:color w:val="auto"/>
        </w:rPr>
      </w:pPr>
    </w:p>
    <w:p>
      <w:pPr>
        <w:ind w:right="60" w:firstLine="441"/>
        <w:spacing w:after="0" w:line="268" w:lineRule="auto"/>
        <w:rPr>
          <w:sz w:val="20"/>
          <w:szCs w:val="20"/>
          <w:color w:val="auto"/>
        </w:rPr>
      </w:pPr>
      <w:r>
        <w:rPr>
          <w:rFonts w:ascii="Arial" w:cs="Arial" w:eastAsia="Arial" w:hAnsi="Arial"/>
          <w:sz w:val="17"/>
          <w:szCs w:val="17"/>
          <w:color w:val="auto"/>
        </w:rPr>
        <w:t xml:space="preserve">Subject to Section 1(h) in this Article II (including the exceptions for Post set forth therein) for any nominations by a stockholder other than Post to be properly brought before an annual or special meeting of stockholders pursuant to clauses (d)(iii) and (d)(y) of the preceding paragraph of these Bylaws, the stockholder must have given timely notice thereof in writing to the Secretary of the Company. To be timely, a stockholder’s notice in writing must be delivered or mailed to and received by the Secretary of the Company at the principal executive office of the Company (i) in the case of an annual meeting, not less than 90 days nor more than 120 days prior to the first anniversary of the preceding year’s annual meeting (and for purposes of calculating this date with respect to the first annual meeting after the IPO Date, the Company shall be deemed to have held an annual meeting on January 24, 2019),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date of the meeting is more than 30 days before or more than 60 days after such anniversary date, notice by the stockholder must be received not earlier than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date of such annual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the date of such annual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public announcement (as defined in Section 8(c) of Article I of these Bylaws) of the date of the annual meeting is first made; or (ii) in the case of a special meeting at which directors are to be elected pursuant to the notice of meeting, not earlier than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date of such special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the date of such special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public announcement of the date of the meeting and of the nominees proposed by the Board to be elected at such meeting is first made. In no event shall any adjournment or postponement of a meeting or the announcement thereof commence a new time period (or extend any time period) for the giving of a stockholder’s notice as described above.</w:t>
      </w:r>
    </w:p>
    <w:p>
      <w:pPr>
        <w:spacing w:after="0" w:line="183" w:lineRule="exact"/>
        <w:rPr>
          <w:sz w:val="20"/>
          <w:szCs w:val="20"/>
          <w:color w:val="auto"/>
        </w:rPr>
      </w:pPr>
    </w:p>
    <w:p>
      <w:pPr>
        <w:ind w:right="380" w:firstLine="441"/>
        <w:spacing w:after="0" w:line="297" w:lineRule="auto"/>
        <w:rPr>
          <w:sz w:val="20"/>
          <w:szCs w:val="20"/>
          <w:color w:val="auto"/>
        </w:rPr>
      </w:pPr>
      <w:r>
        <w:rPr>
          <w:rFonts w:ascii="Arial" w:cs="Arial" w:eastAsia="Arial" w:hAnsi="Arial"/>
          <w:sz w:val="16"/>
          <w:szCs w:val="16"/>
          <w:color w:val="auto"/>
        </w:rPr>
        <w:t>At the request of the Board, any person nominated by the Board for election as a director shall furnish to the Secretary of the Company that information required to be set forth in a stockholder’s notice of nomination under Section 1(e) in this Article II which pertains to the nominee. Notwithstanding anything in this Section 1 of Article II of these Bylaws to the contrary, in the event that the number of directors to be elected to the Board at an annual meeting is increased effective at the annual meeting and there is no public announcement by the Company naming all of the nominees proposed by the Board for the additional directorships at least 70 days prior to the first anniversary of the preceding year’s annual</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3" w:right="439" w:bottom="1440" w:gutter="0" w:footer="0" w:header="0"/>
        </w:sectPr>
      </w:pPr>
    </w:p>
    <w:bookmarkStart w:id="311" w:name="page312"/>
    <w:bookmarkEnd w:id="311"/>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meeting, a stockholder’s notice required by this Section 1 of Article II of these Bylaws also shall be considered timely, but only with respect to nominees for such additional directorships, if it shall be delivered to the Secretary of the Company at the principal executive office of the Company not later than the close of business on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such public announcement is first made by the Company.</w:t>
      </w:r>
    </w:p>
    <w:p>
      <w:pPr>
        <w:spacing w:after="0" w:line="57" w:lineRule="exact"/>
        <w:rPr>
          <w:sz w:val="20"/>
          <w:szCs w:val="20"/>
          <w:color w:val="auto"/>
        </w:rPr>
      </w:pPr>
    </w:p>
    <w:p>
      <w:pPr>
        <w:ind w:right="20" w:firstLine="996"/>
        <w:spacing w:after="0" w:line="277" w:lineRule="auto"/>
        <w:tabs>
          <w:tab w:leader="none" w:pos="123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For nominations to be properly brought before an annual or special meeting, such stockholder’s notice to the Secretary shall set forth as to each person whom the stockholder proposes to nominate for election or re-election as a director:</w:t>
      </w:r>
    </w:p>
    <w:p>
      <w:pPr>
        <w:spacing w:after="0" w:line="62" w:lineRule="exact"/>
        <w:rPr>
          <w:rFonts w:ascii="Arial" w:cs="Arial" w:eastAsia="Arial" w:hAnsi="Arial"/>
          <w:sz w:val="18"/>
          <w:szCs w:val="18"/>
          <w:color w:val="auto"/>
        </w:rPr>
      </w:pPr>
    </w:p>
    <w:p>
      <w:pPr>
        <w:ind w:left="1620" w:hanging="223"/>
        <w:spacing w:after="0"/>
        <w:tabs>
          <w:tab w:leader="none" w:pos="162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name, age, business address and residence of such person;</w:t>
      </w:r>
    </w:p>
    <w:p>
      <w:pPr>
        <w:spacing w:after="0" w:line="117" w:lineRule="exact"/>
        <w:rPr>
          <w:rFonts w:ascii="Arial" w:cs="Arial" w:eastAsia="Arial" w:hAnsi="Arial"/>
          <w:sz w:val="18"/>
          <w:szCs w:val="18"/>
          <w:color w:val="auto"/>
        </w:rPr>
      </w:pPr>
    </w:p>
    <w:p>
      <w:pPr>
        <w:ind w:left="1660" w:hanging="263"/>
        <w:spacing w:after="0"/>
        <w:tabs>
          <w:tab w:leader="none" w:pos="166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principal occupation or employment of such person currently and for the previous five years;</w:t>
      </w:r>
    </w:p>
    <w:p>
      <w:pPr>
        <w:spacing w:after="0" w:line="117" w:lineRule="exact"/>
        <w:rPr>
          <w:rFonts w:ascii="Arial" w:cs="Arial" w:eastAsia="Arial" w:hAnsi="Arial"/>
          <w:sz w:val="18"/>
          <w:szCs w:val="18"/>
          <w:color w:val="auto"/>
        </w:rPr>
      </w:pPr>
    </w:p>
    <w:p>
      <w:pPr>
        <w:ind w:left="440" w:right="40" w:firstLine="957"/>
        <w:spacing w:after="0" w:line="291" w:lineRule="auto"/>
        <w:tabs>
          <w:tab w:leader="none" w:pos="1707" w:val="left"/>
        </w:tabs>
        <w:numPr>
          <w:ilvl w:val="1"/>
          <w:numId w:val="219"/>
        </w:numPr>
        <w:rPr>
          <w:rFonts w:ascii="Arial" w:cs="Arial" w:eastAsia="Arial" w:hAnsi="Arial"/>
          <w:sz w:val="16"/>
          <w:szCs w:val="16"/>
          <w:color w:val="auto"/>
        </w:rPr>
      </w:pPr>
      <w:r>
        <w:rPr>
          <w:rFonts w:ascii="Arial" w:cs="Arial" w:eastAsia="Arial" w:hAnsi="Arial"/>
          <w:sz w:val="16"/>
          <w:szCs w:val="16"/>
          <w:color w:val="auto"/>
        </w:rPr>
        <w:t>a description of all direct and indirect compensation and other material monetary agreements, arrangements and understandings during the past three years, and any other material relationships between or among such stockholder and beneficial owner, if any, on whose behalf the nomination is being made,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Item 404 of Regulation S-K if the stockholder making the nomination and any beneficial owner on whose behalf the nomination is made, if any, or any affiliate or associate thereof or person acting in concert therewith, were the “registrant” for purposes of such requirement and the nominee were a director or executive officer of such registrant;</w:t>
      </w:r>
    </w:p>
    <w:p>
      <w:pPr>
        <w:spacing w:after="0" w:line="59" w:lineRule="exact"/>
        <w:rPr>
          <w:rFonts w:ascii="Arial" w:cs="Arial" w:eastAsia="Arial" w:hAnsi="Arial"/>
          <w:sz w:val="16"/>
          <w:szCs w:val="16"/>
          <w:color w:val="auto"/>
        </w:rPr>
      </w:pPr>
    </w:p>
    <w:p>
      <w:pPr>
        <w:jc w:val="both"/>
        <w:ind w:left="440" w:right="200" w:firstLine="957"/>
        <w:spacing w:after="0" w:line="259" w:lineRule="auto"/>
        <w:tabs>
          <w:tab w:leader="none" w:pos="1697" w:val="left"/>
        </w:tabs>
        <w:numPr>
          <w:ilvl w:val="1"/>
          <w:numId w:val="219"/>
        </w:numPr>
        <w:rPr>
          <w:rFonts w:ascii="Arial" w:cs="Arial" w:eastAsia="Arial" w:hAnsi="Arial"/>
          <w:sz w:val="18"/>
          <w:szCs w:val="18"/>
          <w:color w:val="auto"/>
        </w:rPr>
      </w:pPr>
      <w:r>
        <w:rPr>
          <w:rFonts w:ascii="Arial" w:cs="Arial" w:eastAsia="Arial" w:hAnsi="Arial"/>
          <w:sz w:val="18"/>
          <w:szCs w:val="18"/>
          <w:color w:val="auto"/>
        </w:rPr>
        <w:t>such person’s representation that he or she is eligible to serve as a director pursuant to Section 11 of Article II of these Bylaws and whether such person has acted in any manner contrary to the best interest of the Company, including, but not limited to, the violation of any federal or state law or breach of any agreement between that person and the Company relating to his or her services as a director, employee or agent of the Company;</w:t>
      </w:r>
    </w:p>
    <w:p>
      <w:pPr>
        <w:spacing w:after="0" w:line="78" w:lineRule="exact"/>
        <w:rPr>
          <w:rFonts w:ascii="Arial" w:cs="Arial" w:eastAsia="Arial" w:hAnsi="Arial"/>
          <w:sz w:val="18"/>
          <w:szCs w:val="18"/>
          <w:color w:val="auto"/>
        </w:rPr>
      </w:pPr>
    </w:p>
    <w:p>
      <w:pPr>
        <w:ind w:left="1660" w:hanging="263"/>
        <w:spacing w:after="0"/>
        <w:tabs>
          <w:tab w:leader="none" w:pos="166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such person’s written consent to being named as a nominee and to serving as a director if elected; and</w:t>
      </w:r>
    </w:p>
    <w:p>
      <w:pPr>
        <w:spacing w:after="0" w:line="117" w:lineRule="exact"/>
        <w:rPr>
          <w:rFonts w:ascii="Arial" w:cs="Arial" w:eastAsia="Arial" w:hAnsi="Arial"/>
          <w:sz w:val="18"/>
          <w:szCs w:val="18"/>
          <w:color w:val="auto"/>
        </w:rPr>
      </w:pPr>
    </w:p>
    <w:p>
      <w:pPr>
        <w:ind w:left="440" w:right="80" w:firstLine="957"/>
        <w:spacing w:after="0" w:line="264" w:lineRule="auto"/>
        <w:tabs>
          <w:tab w:leader="none" w:pos="1697"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any other information relating to such person that would be required to be disclosed in a proxy statement or other filing required to be made in connection with the solicitation of proxies for election of directors in a contested election, or is otherwise required, pursuant to Section 14 of the Exchange Act and the rules and regulations thereunder.</w:t>
      </w:r>
    </w:p>
    <w:p>
      <w:pPr>
        <w:spacing w:after="0" w:line="73" w:lineRule="exact"/>
        <w:rPr>
          <w:rFonts w:ascii="Arial" w:cs="Arial" w:eastAsia="Arial" w:hAnsi="Arial"/>
          <w:sz w:val="18"/>
          <w:szCs w:val="18"/>
          <w:color w:val="auto"/>
        </w:rPr>
      </w:pPr>
    </w:p>
    <w:p>
      <w:pPr>
        <w:ind w:right="40" w:firstLine="996"/>
        <w:spacing w:after="0" w:line="277" w:lineRule="auto"/>
        <w:tabs>
          <w:tab w:leader="none" w:pos="121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Such stockholder’s notice also shall set forth as to the stockholder(s) giving the notice and the beneficial owner, if any, on whose behalf the nomination is made:</w:t>
      </w:r>
    </w:p>
    <w:p>
      <w:pPr>
        <w:spacing w:after="0" w:line="62" w:lineRule="exact"/>
        <w:rPr>
          <w:rFonts w:ascii="Arial" w:cs="Arial" w:eastAsia="Arial" w:hAnsi="Arial"/>
          <w:sz w:val="18"/>
          <w:szCs w:val="18"/>
          <w:color w:val="auto"/>
        </w:rPr>
      </w:pPr>
    </w:p>
    <w:p>
      <w:pPr>
        <w:ind w:left="1620" w:hanging="223"/>
        <w:spacing w:after="0"/>
        <w:tabs>
          <w:tab w:leader="none" w:pos="162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the name and address of such stockholder and beneficial owner, as they appear in the Company’s stockholder records;</w:t>
      </w:r>
    </w:p>
    <w:p>
      <w:pPr>
        <w:spacing w:after="0" w:line="128" w:lineRule="exact"/>
        <w:rPr>
          <w:rFonts w:ascii="Arial" w:cs="Arial" w:eastAsia="Arial" w:hAnsi="Arial"/>
          <w:sz w:val="17"/>
          <w:szCs w:val="17"/>
          <w:color w:val="auto"/>
        </w:rPr>
      </w:pPr>
    </w:p>
    <w:p>
      <w:pPr>
        <w:ind w:left="1660" w:hanging="263"/>
        <w:spacing w:after="0"/>
        <w:tabs>
          <w:tab w:leader="none" w:pos="166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Proposing Stockholder Information as defined in Section 8(e) of Article I of these Bylaws;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312" w:name="page313"/>
    <w:bookmarkEnd w:id="312"/>
    <w:p>
      <w:pPr>
        <w:ind w:left="440" w:right="480" w:firstLine="957"/>
        <w:spacing w:after="0" w:line="277" w:lineRule="auto"/>
        <w:tabs>
          <w:tab w:leader="none" w:pos="1707" w:val="left"/>
        </w:tabs>
        <w:numPr>
          <w:ilvl w:val="1"/>
          <w:numId w:val="2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representation that the stockholder is a holder of record of shares of the Company, is entitled to vote at such meeting and intends to appear in person or by proxy at the meeting to nominate the person or persons specified in the notice;</w:t>
      </w:r>
    </w:p>
    <w:p>
      <w:pPr>
        <w:spacing w:after="0" w:line="62" w:lineRule="exact"/>
        <w:rPr>
          <w:rFonts w:ascii="Arial" w:cs="Arial" w:eastAsia="Arial" w:hAnsi="Arial"/>
          <w:sz w:val="18"/>
          <w:szCs w:val="18"/>
          <w:color w:val="auto"/>
        </w:rPr>
      </w:pPr>
    </w:p>
    <w:p>
      <w:pPr>
        <w:ind w:left="440" w:right="20" w:firstLine="957"/>
        <w:spacing w:after="0" w:line="286" w:lineRule="auto"/>
        <w:tabs>
          <w:tab w:leader="none" w:pos="1697" w:val="left"/>
        </w:tabs>
        <w:numPr>
          <w:ilvl w:val="1"/>
          <w:numId w:val="220"/>
        </w:numPr>
        <w:rPr>
          <w:rFonts w:ascii="Arial" w:cs="Arial" w:eastAsia="Arial" w:hAnsi="Arial"/>
          <w:sz w:val="17"/>
          <w:szCs w:val="17"/>
          <w:color w:val="auto"/>
        </w:rPr>
      </w:pPr>
      <w:r>
        <w:rPr>
          <w:rFonts w:ascii="Arial" w:cs="Arial" w:eastAsia="Arial" w:hAnsi="Arial"/>
          <w:sz w:val="17"/>
          <w:szCs w:val="17"/>
          <w:color w:val="auto"/>
        </w:rPr>
        <w:t>any other information relating to such stockholder or beneficial owner that would be required to be disclosed in a proxy statement or other filing required to be made in connection with the solicitation of proxies for the election of directors in a contested election, or is otherwise required pursuant to Section 14 of the Exchange Act and the rules and regulations thereunder; and</w:t>
      </w:r>
    </w:p>
    <w:p>
      <w:pPr>
        <w:spacing w:after="0" w:line="57" w:lineRule="exact"/>
        <w:rPr>
          <w:rFonts w:ascii="Arial" w:cs="Arial" w:eastAsia="Arial" w:hAnsi="Arial"/>
          <w:sz w:val="17"/>
          <w:szCs w:val="17"/>
          <w:color w:val="auto"/>
        </w:rPr>
      </w:pPr>
    </w:p>
    <w:p>
      <w:pPr>
        <w:ind w:left="440" w:right="100" w:firstLine="957"/>
        <w:spacing w:after="0" w:line="259" w:lineRule="auto"/>
        <w:tabs>
          <w:tab w:leader="none" w:pos="1647"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 representation as to whether the stockholder or beneficial owner, if any, is or intends to be part of a group (as defined in Section 8(e) of Article I of these Bylaws) which intends (i) to deliver a proxy statement and/or form of proxy to holders of at least the percentage of the Company’s outstanding capital stock required to elect the nominee, or (ii) otherwise solicit proxies from stockholders in support of such nominee.</w:t>
      </w:r>
    </w:p>
    <w:p>
      <w:pPr>
        <w:spacing w:after="0" w:line="78" w:lineRule="exact"/>
        <w:rPr>
          <w:rFonts w:ascii="Arial" w:cs="Arial" w:eastAsia="Arial" w:hAnsi="Arial"/>
          <w:sz w:val="18"/>
          <w:szCs w:val="18"/>
          <w:color w:val="auto"/>
        </w:rPr>
      </w:pPr>
    </w:p>
    <w:p>
      <w:pPr>
        <w:ind w:firstLine="996"/>
        <w:spacing w:after="0" w:line="282" w:lineRule="auto"/>
        <w:tabs>
          <w:tab w:leader="none" w:pos="1247"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In addition to the qualifications set out in Section 11 of Article II of these Bylaws, to be eligible to be a nominee for election or reelection as a director of the Company, the prospective nominee (whether nominated by or at the direction of the Board or by a stockholder), or someone acting on such prospective nominee’s behalf, must deliver (in accordance with any applicable time periods prescribed for delivery of notice under this Section 1 of Article II of these Bylaws) to the Secretary of the Company at the principal executive office of the Company a written questionnaire providing such information with respect to the background and qualification of such person and the background of any other person or entity on whose behalf the nomination is being made that would be required to be disclosed to stockholders pursuant to applicable law or the rules and regulations of any stock exchange applicable to the Company, including without limitation (i) all information concerning such person that would be required to be disclosed in solicitation of proxies for election of directors pursuant to and in accordance with Regulation 14A under the Exchange Act and (ii) any information the Company may reasonably request to determine the eligibility of the proposed nominee to serve as an independent director under the rules of any exchange upon which shares of the Company’s capital stock are then listed or that could be material to a reasonable stockholder’s understanding of the independence or lack thereof of such nominee (which questionnaire shall be provided by the Secretary upon written request). The prospective nominee also must provide a written representation and agreement, in the form provided by the Secretary of the Company upon written request, that such prospective nominee: (A) is not and will not become a party to (1) any agreement, arrangement or understanding with, and has not given any commitment or assurance to, any person or entity as to how such prospective nominee, if elected as a director of the Company, will act or vote on any issue or question (a “Voting Commitment”) that has not been disclosed to the Company or (2) any Voting Commitment that could limit or interfere with such prospective nominee’s ability to comply, if elected as a director of the Company, with such prospective nominee’s fiduciary duties under applicable law; (B)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therein; and (C) would be in compliance, if elected as a director of the Company, and will comply with all applicable corporate governance, conflict of interest, confidentiality and stock ownership and trading policies and guidelines of the Company. For purposes of this</w:t>
      </w:r>
    </w:p>
    <w:p>
      <w:pPr>
        <w:spacing w:after="0" w:line="1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1(g) of Article II of these Bylaws a “</w:t>
      </w:r>
      <w:r>
        <w:rPr>
          <w:rFonts w:ascii="Arial" w:cs="Arial" w:eastAsia="Arial" w:hAnsi="Arial"/>
          <w:sz w:val="18"/>
          <w:szCs w:val="18"/>
          <w:u w:val="single" w:color="auto"/>
          <w:color w:val="auto"/>
        </w:rPr>
        <w:t>nominee</w:t>
      </w:r>
      <w:r>
        <w:rPr>
          <w:rFonts w:ascii="Arial" w:cs="Arial" w:eastAsia="Arial" w:hAnsi="Arial"/>
          <w:sz w:val="18"/>
          <w:szCs w:val="18"/>
          <w:color w:val="auto"/>
        </w:rPr>
        <w:t>” shall include any person being considered to fill a vacancy on the Board.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3" w:right="459" w:bottom="1440" w:gutter="0" w:footer="0" w:header="0"/>
        </w:sectPr>
      </w:pPr>
    </w:p>
    <w:bookmarkStart w:id="313" w:name="page314"/>
    <w:bookmarkEnd w:id="313"/>
    <w:p>
      <w:pPr>
        <w:ind w:firstLine="996"/>
        <w:spacing w:after="0" w:line="285" w:lineRule="auto"/>
        <w:tabs>
          <w:tab w:leader="none" w:pos="1247" w:val="left"/>
        </w:tabs>
        <w:numPr>
          <w:ilvl w:val="0"/>
          <w:numId w:val="2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so long as the Investor Rights Agreement is in effect, the notice and other requirements set forth in Section 1(d) through this Section 1(h) of Article II of these Bylaws shall not apply to Post or any Post Nominees (as defined in the Investor Rights Agreement). Subject to the preceding sentence, no person shall be eligible for election as a director of the Company unless nominated in accordance with the procedures set forth in this Section 1 of Article II of these Bylaws and qualified under Section 11 of Article II of these Bylaws. Except as otherwise provided by law, the Certificate of Incorporation or these Bylaws, the chairperson of the meeting may, if the facts warrant, determine that a nominee is not qualified or a nomination was not properly made in accordance with the procedures prescribed in this Section 1 of Article II of these Bylaws (including whether the stockholder or beneficial owner, if any, on whose behalf the nomination is made solicited (or is part of a group which solicited) or did not so solicit, as the case may be, proxies in support of such stockholder’s nominee in compliance with such stockholder’s representation as required by clause (f)(v) of this Section 1 of Article II of these Bylaws); and if the chairperson should so determine, the chairperson shall so declare to the meeting, and the defective nomination shall be disregarded. Notwithstanding the foregoing provisions of this Section 1 of Article II of these Bylaws, a stockholder also shall comply with all applicable requirements of the Exchange Act and the rules and regulations thereunder with respect to the matters set forth in this Section 1 of Article II of these Bylaws;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references in these Bylaws to the Exchange Act or the rules promulgated thereunder are not intended to and shall not limit the requirements applicable to nominations to be considered pursuant to this Section 1 of Article II of these Bylaws (including clause (d) of this Section 1). Nothing in this Section 1 of Article II of these Bylaws shall be deemed to affect any rights of the holders of any series of preferred stock of the Company to elect directors pursuant to any applicable provisions of the Certificate of Incorporation or the rights of Post under the Investor Rights Agreement (so long as such agreement is in effect).</w:t>
      </w:r>
    </w:p>
    <w:p>
      <w:pPr>
        <w:spacing w:after="0" w:line="178"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SECTION 2. POWERS: The Board shall have power to manage and control the property and affairs of the Company, and to do all such lawful acts and things which, in its absolute judgment and discretion, it may deem necessary and appropriate for the expedient conduct and furtherance of the Company’s business.</w:t>
      </w:r>
    </w:p>
    <w:p>
      <w:pPr>
        <w:spacing w:after="0" w:line="18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SECTION 3. CHAIRPERSON: The directors shall elect one of the members of the Board to be Chairperson of the Board. The Chairperson shall preside at all meetings of the Board, unless absent from such meeting, in which case, if there is a quorum, the directors present may elect another director to preside at such meeting.</w:t>
      </w:r>
    </w:p>
    <w:p>
      <w:pPr>
        <w:spacing w:after="0" w:line="181" w:lineRule="exact"/>
        <w:rPr>
          <w:sz w:val="20"/>
          <w:szCs w:val="20"/>
          <w:color w:val="auto"/>
        </w:rPr>
      </w:pPr>
    </w:p>
    <w:p>
      <w:pPr>
        <w:ind w:right="60" w:firstLine="441"/>
        <w:spacing w:after="0" w:line="289" w:lineRule="auto"/>
        <w:rPr>
          <w:sz w:val="20"/>
          <w:szCs w:val="20"/>
          <w:color w:val="auto"/>
        </w:rPr>
      </w:pPr>
      <w:r>
        <w:rPr>
          <w:rFonts w:ascii="Arial" w:cs="Arial" w:eastAsia="Arial" w:hAnsi="Arial"/>
          <w:sz w:val="16"/>
          <w:szCs w:val="16"/>
          <w:color w:val="auto"/>
        </w:rPr>
        <w:t xml:space="preserve">SECTION 4. MEETINGS: (a) Regular meetings of the Board shall be held on such days and at such times and places either within or without the State of Delaware as shall from time to time be fixed by the Board. Notice of such regular meetings need not be given. Special meetings of the Board may be held on any day and at any time and place, within or without the State of Delaware, upon the call of the Chairperson of the Board or the President or Secretary of the Company, by oral, written or email notice duly given, sent or mailed to each director, at such director’s last known address, not less than twenty-four hours before such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director may, at any time, in writing or by email, waive notice of any meeting at which he or she may not be or may not have been present. Attendance of a director at any meeting shall constitute a waiver of notice of the meeting, except where a director attends a meeting for the sole and express purpose of objecting to the transaction of any business because the meeting is not lawfully called or convened. Neither the business to be transacted at, nor the purpose of, any meeting of the Board need be specified in the notice or waiver of notice of such meeting. Rules of procedure for the conduct of such meetings may be adopted by resolution of the Board.</w:t>
      </w:r>
    </w:p>
    <w:p>
      <w:pPr>
        <w:spacing w:after="0" w:line="59" w:lineRule="exact"/>
        <w:rPr>
          <w:sz w:val="20"/>
          <w:szCs w:val="20"/>
          <w:color w:val="auto"/>
        </w:rPr>
      </w:pPr>
    </w:p>
    <w:p>
      <w:pPr>
        <w:jc w:val="both"/>
        <w:ind w:right="80" w:firstLine="996"/>
        <w:spacing w:after="0" w:line="264" w:lineRule="auto"/>
        <w:tabs>
          <w:tab w:leader="none" w:pos="124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Members of the Board or of any committee designated by the Board may participate in a meeting of the Board or committee by means of conference telephone or other communications equipment whereby all persons participating in the meeting can hear each other, and participation in a meeting in this manner shall constitute presence in person at the meeting.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314" w:name="page315"/>
    <w:bookmarkEnd w:id="314"/>
    <w:p>
      <w:pPr>
        <w:ind w:right="120"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 ACTION BY CONSENT: Unless otherwise specifically prohibited by the Certificate of Incorporation or these Bylaws, any action required or permitted to be taken at any meeting of the Board or of any committee thereof may be taken without a meeting, if all members of the Board or such committee, as the case may be, execute a consent thereto in writing, or by electronic transmission, setting forth the action so taken. After an action is taken, the consent or consents relating thereto shall be filed with the minutes of proceedings of the Board or committee in the same paper or electronic form as the minutes are maintained.</w:t>
      </w:r>
    </w:p>
    <w:p>
      <w:pPr>
        <w:spacing w:after="0" w:line="188"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SECTION 6. QUORUM: A majority of the Board then in office shall constitute a quorum at all meetings of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less than one-third of the entire Board constitute a quorum), and the act of the majority of the directors present at any meeting at which a quorum is present shall be the act of the Board, unless a greater number of directors is required by the Certificate of Incorporation, by these Bylaws or by law. At any meeting of directors, whether or not a quorum is present, the directors present thereat may adjourn the same from time to time without notice other than announcement at the meeting. A director who may be disqualified, by reason of personal interest, from voting on any particular matter before a meeting of the Board may nevertheless be counted for the purpose of constituting a quorum of the Board.</w:t>
      </w:r>
    </w:p>
    <w:p>
      <w:pPr>
        <w:spacing w:after="0" w:line="178"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SECTION 7. RESIGNATION OF DIRECTORS: Any director of the Company may resign at any time by giving written notice of such resignation to the Board, the Chairperson of the Board or the President or Secretary of the Company. Any such resignation shall take effect at the time specified therein or, if no time is specified, upon receipt thereof by the Board, the Chairperson of the Board or one of the above-named officers of the Company; and, unless specified therein, the acceptance of such resignation shall not be necessary to make it effective.</w:t>
      </w:r>
    </w:p>
    <w:p>
      <w:pPr>
        <w:spacing w:after="0" w:line="171" w:lineRule="exact"/>
        <w:rPr>
          <w:sz w:val="20"/>
          <w:szCs w:val="20"/>
          <w:color w:val="auto"/>
        </w:rPr>
      </w:pPr>
    </w:p>
    <w:p>
      <w:pPr>
        <w:ind w:right="140" w:firstLine="441"/>
        <w:spacing w:after="0" w:line="291" w:lineRule="auto"/>
        <w:rPr>
          <w:sz w:val="20"/>
          <w:szCs w:val="20"/>
          <w:color w:val="auto"/>
        </w:rPr>
      </w:pPr>
      <w:r>
        <w:rPr>
          <w:rFonts w:ascii="Arial" w:cs="Arial" w:eastAsia="Arial" w:hAnsi="Arial"/>
          <w:sz w:val="16"/>
          <w:szCs w:val="16"/>
          <w:color w:val="auto"/>
        </w:rPr>
        <w:t>SECTION 8. VACANCIES: Subject to the rights, if any, of the holders of any class of capital stock of the Company (other than the Common Stock) then outstanding and the rights of Post under the Investor Rights Agreement (so long as such agreement is in effect), any vacancies in the Board which occur for any reason prior to the expiration of the term of office of the class of directors in which the vacancy occurs, including vacancies which occur by reason of an increase in the number of directors, may be filled (i) by the Board, acting by the affirmative vote of a majority of the remaining directors then in office (even if less than a quorum), or by a sole remaining director, (ii) at a special meeting of stockholders of the Company called for such purpose, or (iii) prior to the Triggering Event, by written consent of one or more stockholders of the Company, in each case until the next election of directors by the stockholders of the Company at which such class of directors is elected.</w:t>
      </w:r>
    </w:p>
    <w:p>
      <w:pPr>
        <w:spacing w:after="0" w:line="167"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 xml:space="preserve">SECTION 9. COMPENSATION OF DIRECTORS: The Board may, by resolution passed by a majority of the entire Board, fix the terms and amount of compensation payable to any person for his or her services as director, if he or she is not otherwise compensated for services rendered as an officer or employee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director may be reimbursed for reasonable and necessary expenses of attending meetings of the Board, or otherwise incurred for any Company purpose;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members of any special or standing committee of directors also may be allowed compensation and expenses similarly incurred. Nothing herein contained shall be construed to preclude any director from serving the Company in any other capacity and receiving compensation therefor.</w:t>
      </w:r>
    </w:p>
    <w:p>
      <w:pPr>
        <w:spacing w:after="0" w:line="178"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SECTION 10. COMMITTEES OF THE BOARD OF DIRECTORS: Subject to the rights of Post under the Investor Rights Agreement (so long as such agreement is in effect), the Board (i) may, by resolution passed by a majority of the entire Board, designate two or more directors to constitute an Executive Committee of the Board which shall, to the fullest extent permitted by law, have and exercise all of the authority of the Board in the management of the Company, in the intervals between meetings of the Board, (ii) may appoint any other committee or committees, with such members, functions and powers as the Board may designate, and (iii) shall have the power at any time to fill vacancies in, to change the size or membership of, or to dissolve,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3" w:right="439" w:bottom="1440" w:gutter="0" w:footer="0" w:header="0"/>
        </w:sectPr>
      </w:pPr>
    </w:p>
    <w:bookmarkStart w:id="315" w:name="page316"/>
    <w:bookmarkEnd w:id="315"/>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one or more of such committees. Each such committee shall have such name as may be determined by the Board and shall keep regular minutes of its proceedings and report the same to the Board for approval as required. At all meetings of a committee, a majority of the committee members then in office shall constitute a quorum for the purpose of transacting business, and the acts of a majority of the committee members present at any meeting at which there is a quorum shall be the acts of the committee. A director who may be disqualified, by reason of personal interest, from voting on any particular matter before a meeting of a committee may nevertheless be counted for the purpose of constituting a quorum of the committee. Any action which is required to be or may be taken at a meeting of a committee of directors may be taken without a meeting if consents in writing, setting forth the action so taken, are signed, including signing by electronic transmission, by all of the members of the committee.</w:t>
      </w:r>
    </w:p>
    <w:p>
      <w:pPr>
        <w:spacing w:after="0" w:line="167"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SECTION 11. QUALIFICATIONS: A director shall not be eligible for reelection after his or her 72nd birthday, unless the Board or the applicable committee of the Board determines that such director continues to meet the criteria for Board service and, in the case such determination is made by such committee of the Board, recommends to the Board that he or she stand for reelection notwithstanding his or her age.</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 – OFFICERS</w:t>
      </w:r>
    </w:p>
    <w:p>
      <w:pPr>
        <w:spacing w:after="0" w:line="225"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SECTION 1. OFFICERS; ELECTION: The officers of the Company shall be a Chief Executive Officer, a President and a Secretary, each of whom shall be elected by the Board. The Board may from time to time elect and appoint one or more Assistant Secretaries of the Board and one or more Vice Chairpersons of the Board. In addition, the President may from time to time elect and appoint the other officers of the Company, including one or more Executive Vice Presidents, one or more Senior Vice Presidents, a Controller, a Treasurer and such other officers as the President may deem appropriate. Any two or more offices may be held by the same person except the offices of Chairperson of the Board and Secretary.</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 TERMS: All officers of the Company shall hold their respective offices until their death, resignation or removal.</w:t>
      </w:r>
    </w:p>
    <w:p>
      <w:pPr>
        <w:spacing w:after="0" w:line="225"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SECTION 3. POWERS; DUTIES: Each officer of the Company shall have such powers and duties as may be prescribed by resolution of the Board or as may be assigned by the Board or the President of the Company.</w:t>
      </w:r>
    </w:p>
    <w:p>
      <w:pPr>
        <w:spacing w:after="0" w:line="170"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SECTION 4. REMOVAL: Any officer or agent may be removed by the person or persons, which shall include the Board where applicable, that have authority to appoint such officer or agent, with or without cause, whenever in such person’s or persons’ judgment, as applicable, the best interest of the Company will be served thereby, but such removal shall be without prejudice to the contract rights, if any, of the officer or agent so removed. Any vacancy occurring in any office of the Company shall be filled by the person or persons, which shall include the Board where applicable, that have authority to appoint such officer.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 – CAPITAL STOCK</w:t>
      </w:r>
    </w:p>
    <w:p>
      <w:pPr>
        <w:spacing w:after="0" w:line="225"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 xml:space="preserve">SECTION 1. STOCK CERTIFICATES AND UNCERTIFICATED SHARES: (a) The shares of the Company shall be represented by certificates;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Board may provide by resolution that some or all of any classes or series of the Company’s capital stock shall be uncertificated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3" w:right="459" w:bottom="1440" w:gutter="0" w:footer="0" w:header="0"/>
        </w:sectPr>
      </w:pPr>
    </w:p>
    <w:bookmarkStart w:id="316" w:name="page317"/>
    <w:bookmarkEnd w:id="316"/>
    <w:p>
      <w:pPr>
        <w:ind w:right="1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Any such resolution shall not apply to shares represented by a certificate until such certificate is surrendered to the Company. Every holder of stock represented by certificates shall be entitled to have a certificate, in any form approved by the Board, signed by any two authorized officers of the Company (it being understood that the Chairperson of the Board, the Chief Executive Officer, the President, any Vice President, the Secretary, any Assistant Secretary, the Treasurer and any Assistant Treasurer shall be an authorized officer for such purpose), and shall bear the corporate seal of the Company. If the certificate is countersigned by a transfer agent or registrar other than the Company or its employee, any other signature and the corporate seal appearing on certificates of stock may be facsimile, engraved or printed. In case any such officer, transfer agent or registrar who has signed or whose facsimile, engraved or printed signature appears on any such certificate shall have ceased to be such officer, transfer agent or registrar before the certificate is issued, such certificate may nevertheless be issued by the Company with the same effect as if such officer, transfer agent or registrar had not ceased to be such officer, transfer agent or registrar at the date of its issue. Every holder of uncertificated shares shall be entitled to receive a statement of holdings as evidence of share ownership.</w:t>
      </w:r>
    </w:p>
    <w:p>
      <w:pPr>
        <w:spacing w:after="0" w:line="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 All certificates of stock of each class and series shall be numbered appropriately.</w:t>
      </w:r>
    </w:p>
    <w:p>
      <w:pPr>
        <w:spacing w:after="0" w:line="225"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SECTION 2. RECORD OWNERSHIP: The Company shall maintain a record of the name and address of the holder of each share of Company capital stock, the number of shares held by such holder thereby, and the date of issue thereof. The Company shall be entitled to treat the holder of record of any share of capital stock as the holder in fact thereof, and accordingly it will not be bound to recognize any legal, equitable or other claim of interest in such share on the part of any other person, whether or not it shall have express or other notice thereof, except as otherwise provided by the laws of the State of Delaware.</w:t>
      </w:r>
    </w:p>
    <w:p>
      <w:pPr>
        <w:spacing w:after="0" w:line="188"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SECTION 3. TRANSFERS: Transfers of shares of capital stock shall be made on the books of the Company only by direction of the holder thereof in person or by his, her or its duly authorized attorney or legal representative. Upon transfer of certificated shares, the old certificates shall be surrendered to the Company by the delivery thereof to the person in charge of the capital stock and transfer books and ledgers, or to such other persons as the Board may designate, by whom they shall be cancelled and new certificates shall thereupon be issued. In the case of uncertificated shares, transfer shall be made only upon receipt of transfer documentation reasonably acceptable to the Company.</w:t>
      </w:r>
    </w:p>
    <w:p>
      <w:pPr>
        <w:spacing w:after="0" w:line="173"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SECTION 4. TRANSFER AGENTS; REGISTRARS: The Board shall, by resolution, from time to time appoint one or more transfer agents, that may be officers or employees of the Company, to make transfers of shares of capital stock of the Company and one or more registrars to register shares of capital stock issued by or on behalf of the Company. The Board may adopt such rules as it may deem expedient concerning the issue, transfer and registration of shares of capital stock of the Company.</w:t>
      </w:r>
    </w:p>
    <w:p>
      <w:pPr>
        <w:spacing w:after="0" w:line="18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SECTION 5. LOST CERTIFICATES: The Company may issue a new certificate in place of any certificate theretofore issued by it which is alleged to have been lost, stolen or destroyed and the Board may require the owner of the lost, stolen or destroyed certificate or the owner’s legal representative to give the Company a bond in a sum and in a form approved by the Board, and with a surety or sureties which the Board finds satisfactory, to indemnify the Company and its transfer agents and registrars, if any, against any claim or liability that may be asserted against or incurred by it or any transfer agent or registrar on account of the alleged loss, theft or destruction of any certificate or the issuance of any new certificate. A new certificate may be issued without requiring any bond when, in the judgment of the Board, it is proper to do so. The Board may delegate to any officer or officers of the Company any of the powers and authorities contained in this section.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317" w:name="page318"/>
    <w:bookmarkEnd w:id="317"/>
    <w:p>
      <w:pPr>
        <w:ind w:right="80" w:firstLine="44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 RECORD DATES: In order that the Company may determine the stockholders entitled to notice of or to vote at any meeting of the stockholders or any adjournment thereof, the Board may fix a record date, which record date shall not precede the date upon which the resolution fixing the record date is adopted by the Board, and which record date shall not be more than 60 nor less than 10 days before the date of such meeting. If no record date is fixed by the Board, the record date for determining stockholders entitled to notice of or to vote 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the stockholders shall apply to any adjournment of the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may fix a new record date for the determination of the stockholders entitled to notice of or to vote at the adjourned meeting. 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to the action taken.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 – SEAL, BOOKS, FISCAL YEAR, AMENDMENT</w:t>
      </w:r>
    </w:p>
    <w:p>
      <w:pPr>
        <w:spacing w:after="0" w:line="225"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SECTION 1. SEAL: The corporate seal, if any, of the Company shall be in such form as may be approved from time to time by the Board. The seal may be used by causing it or a facsimile thereof to be impressed or affixed or in any other manner reproduced.</w:t>
      </w:r>
    </w:p>
    <w:p>
      <w:pPr>
        <w:spacing w:after="0" w:line="170"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SECTION 2. PLACE FOR KEEPING BOOKS AND SEAL: The books of the Company, and its corporate minutes and corporate seal, shall be kept in the custody of the Secretary of the Company at the principal executive office of the Company, or at such other place or places and in the custody of such other person or persons as the Board may from time to time determine.</w:t>
      </w:r>
    </w:p>
    <w:p>
      <w:pPr>
        <w:spacing w:after="0" w:line="181" w:lineRule="exact"/>
        <w:rPr>
          <w:sz w:val="20"/>
          <w:szCs w:val="20"/>
          <w:color w:val="auto"/>
        </w:rPr>
      </w:pPr>
    </w:p>
    <w:p>
      <w:pPr>
        <w:ind w:right="160" w:firstLine="441"/>
        <w:spacing w:after="0" w:line="276" w:lineRule="auto"/>
        <w:rPr>
          <w:sz w:val="20"/>
          <w:szCs w:val="20"/>
          <w:color w:val="auto"/>
        </w:rPr>
      </w:pPr>
      <w:r>
        <w:rPr>
          <w:rFonts w:ascii="Arial" w:cs="Arial" w:eastAsia="Arial" w:hAnsi="Arial"/>
          <w:sz w:val="17"/>
          <w:szCs w:val="17"/>
          <w:color w:val="auto"/>
        </w:rPr>
        <w:t>SECTION 3. NOTICES: (a) Whenever, under the provisions of applicable law, the Certificate of Incorporation or these Bylaws, written notice is required to be given to any director or stockholder, it shall not be construed to require personal notice, but such notice may be given by mail, by depositing the same in the post office or in a letter box, in a postage paid sealed wrapper, addressed to such director or stockholder at such address as appears on the books of the Company, and such notice shall be deemed to be given at the time when the same shall be thus mailed, or may be given by facsimile or other electronic transmission to the extent authorized or allowed by law.</w:t>
      </w:r>
    </w:p>
    <w:p>
      <w:pPr>
        <w:spacing w:after="0" w:line="64" w:lineRule="exact"/>
        <w:rPr>
          <w:sz w:val="20"/>
          <w:szCs w:val="20"/>
          <w:color w:val="auto"/>
        </w:rPr>
      </w:pPr>
    </w:p>
    <w:p>
      <w:pPr>
        <w:ind w:firstLine="996"/>
        <w:spacing w:after="0" w:line="290" w:lineRule="auto"/>
        <w:tabs>
          <w:tab w:leader="none" w:pos="1247" w:val="left"/>
        </w:tabs>
        <w:numPr>
          <w:ilvl w:val="0"/>
          <w:numId w:val="224"/>
        </w:numPr>
        <w:rPr>
          <w:rFonts w:ascii="Arial" w:cs="Arial" w:eastAsia="Arial" w:hAnsi="Arial"/>
          <w:sz w:val="16"/>
          <w:szCs w:val="16"/>
          <w:color w:val="auto"/>
        </w:rPr>
      </w:pPr>
      <w:r>
        <w:rPr>
          <w:rFonts w:ascii="Arial" w:cs="Arial" w:eastAsia="Arial" w:hAnsi="Arial"/>
          <w:sz w:val="16"/>
          <w:szCs w:val="16"/>
          <w:color w:val="auto"/>
        </w:rPr>
        <w:t>Any person may waive any notice required to be given under these Bylaws. Whenever notice is required to be given pursuant to the General Corporation Law, the Certificate of Incorporation or these Bylaws, a written waiver thereof, signed by the person entitled to notice, or a waiver by facsimile or other electronic transmission by the person entitled to notice, whether before or after the time stated therein, shall be deemed equivalent to notice. Attendance of a person at a meeting of stockholders or the Board or a committee thereof shall constitute a waiver of notice of such meeting, except when the stockholder or director attends such meeting for the express purpose of objecting, and such stockholder or director objects at the beginning of the meeting, to the transaction of any business because the meeting is not lawfully called or convened. Neither the business to be transacted at, nor the purpose of, any regular or special meeting of the stockholders or the Board or committee thereof need be specified in any written waiver of notice or any waiver by electronic transmission unless so required by the Certificate of Incorporation or by these Bylaws.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3" w:right="439" w:bottom="1440" w:gutter="0" w:footer="0" w:header="0"/>
        </w:sectPr>
      </w:pPr>
    </w:p>
    <w:bookmarkStart w:id="318" w:name="page319"/>
    <w:bookmarkEnd w:id="31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 FISCAL YEAR: The fiscal year of the Company shall commence with the first day of October in each year.</w:t>
      </w:r>
    </w:p>
    <w:p>
      <w:pPr>
        <w:spacing w:after="0" w:line="225"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SECTION 5. AMENDMENT: A majority of all of the members of the Board may amend, alter, change or repeal any provision of these Bylaws;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shall not have the power to amend, alter, change or repeal this Section 5 of Article V of these Bylaws in any manner that alters the stockholders’ power to amend, alter, change or repeal these Bylaws. The stockholders of the Company also may amend, alter, change or repeal any provision of these Bylaws upon the affirmative vote of a majority of all of the voting power of the Company entitled to vote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stockholders shall not have the power to amend, alter, change or repeal this Section 5 of Article V of these Bylaws in any manner that alters the Board’s power to amend, alter, change or repeal these Bylaws.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40" w:top="274" w:right="519" w:bottom="1440" w:gutter="0" w:footer="0" w:header="0"/>
        </w:sectPr>
      </w:pPr>
    </w:p>
    <w:bookmarkStart w:id="319" w:name="page320"/>
    <w:bookmarkEnd w:id="31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172085</wp:posOffset>
            </wp:positionV>
            <wp:extent cx="1269365" cy="2228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0">
                      <a:extLst>
                        <a:ext uri="{28A0092B-C50C-407E-A947-70E740481C1C}"/>
                      </a:extLst>
                    </a:blip>
                    <a:srcRect/>
                    <a:stretch>
                      <a:fillRect/>
                    </a:stretch>
                  </pic:blipFill>
                  <pic:spPr bwMode="auto">
                    <a:xfrm>
                      <a:off x="0" y="0"/>
                      <a:ext cx="126936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color w:val="auto"/>
                <w:w w:val="93"/>
              </w:rPr>
              <w:t>314.444.7600</w:t>
            </w:r>
          </w:p>
        </w:tc>
        <w:tc>
          <w:tcPr>
            <w:tcW w:w="2300" w:type="dxa"/>
            <w:vAlign w:val="bottom"/>
          </w:tcPr>
          <w:p>
            <w:pPr>
              <w:ind w:left="20"/>
              <w:spacing w:after="0"/>
              <w:rPr>
                <w:sz w:val="20"/>
                <w:szCs w:val="20"/>
                <w:color w:val="auto"/>
              </w:rPr>
            </w:pPr>
            <w:r>
              <w:rPr>
                <w:rFonts w:ascii="Arial" w:cs="Arial" w:eastAsia="Arial" w:hAnsi="Arial"/>
                <w:sz w:val="14"/>
                <w:szCs w:val="14"/>
                <w:i w:val="1"/>
                <w:iCs w:val="1"/>
                <w:color w:val="auto"/>
              </w:rPr>
              <w:t>(direct)</w:t>
            </w:r>
          </w:p>
        </w:tc>
        <w:tc>
          <w:tcPr>
            <w:tcW w:w="4000" w:type="dxa"/>
            <w:vAlign w:val="bottom"/>
          </w:tcPr>
          <w:p>
            <w:pPr>
              <w:spacing w:after="0"/>
              <w:rPr>
                <w:sz w:val="14"/>
                <w:szCs w:val="14"/>
                <w:color w:val="auto"/>
              </w:rPr>
            </w:pPr>
          </w:p>
        </w:tc>
        <w:tc>
          <w:tcPr>
            <w:tcW w:w="2640" w:type="dxa"/>
            <w:vAlign w:val="bottom"/>
          </w:tcPr>
          <w:p>
            <w:pPr>
              <w:ind w:left="1140"/>
              <w:spacing w:after="0"/>
              <w:rPr>
                <w:sz w:val="20"/>
                <w:szCs w:val="20"/>
                <w:color w:val="auto"/>
              </w:rPr>
            </w:pPr>
            <w:r>
              <w:rPr>
                <w:rFonts w:ascii="Arial" w:cs="Arial" w:eastAsia="Arial" w:hAnsi="Arial"/>
                <w:sz w:val="14"/>
                <w:szCs w:val="14"/>
                <w:color w:val="auto"/>
                <w:w w:val="97"/>
              </w:rPr>
              <w:t>600 Washington Avenue</w:t>
            </w: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color w:val="auto"/>
                <w:w w:val="93"/>
              </w:rPr>
              <w:t>314.241.6056</w:t>
            </w:r>
          </w:p>
        </w:tc>
        <w:tc>
          <w:tcPr>
            <w:tcW w:w="2300" w:type="dxa"/>
            <w:vAlign w:val="bottom"/>
          </w:tcPr>
          <w:p>
            <w:pPr>
              <w:ind w:left="20"/>
              <w:spacing w:after="0" w:line="149" w:lineRule="exact"/>
              <w:rPr>
                <w:sz w:val="20"/>
                <w:szCs w:val="20"/>
                <w:color w:val="auto"/>
              </w:rPr>
            </w:pPr>
            <w:r>
              <w:rPr>
                <w:rFonts w:ascii="Arial" w:cs="Arial" w:eastAsia="Arial" w:hAnsi="Arial"/>
                <w:sz w:val="14"/>
                <w:szCs w:val="14"/>
                <w:i w:val="1"/>
                <w:iCs w:val="1"/>
                <w:color w:val="auto"/>
              </w:rPr>
              <w:t>(fax)</w:t>
            </w:r>
          </w:p>
        </w:tc>
        <w:tc>
          <w:tcPr>
            <w:tcW w:w="4000" w:type="dxa"/>
            <w:vAlign w:val="bottom"/>
          </w:tcPr>
          <w:p>
            <w:pPr>
              <w:spacing w:after="0"/>
              <w:rPr>
                <w:sz w:val="12"/>
                <w:szCs w:val="12"/>
                <w:color w:val="auto"/>
              </w:rPr>
            </w:pPr>
          </w:p>
        </w:tc>
        <w:tc>
          <w:tcPr>
            <w:tcW w:w="2640" w:type="dxa"/>
            <w:vAlign w:val="bottom"/>
          </w:tcPr>
          <w:p>
            <w:pPr>
              <w:ind w:left="1140"/>
              <w:spacing w:after="0" w:line="149" w:lineRule="exact"/>
              <w:rPr>
                <w:sz w:val="20"/>
                <w:szCs w:val="20"/>
                <w:color w:val="auto"/>
              </w:rPr>
            </w:pPr>
            <w:r>
              <w:rPr>
                <w:rFonts w:ascii="Arial" w:cs="Arial" w:eastAsia="Arial" w:hAnsi="Arial"/>
                <w:sz w:val="14"/>
                <w:szCs w:val="14"/>
                <w:color w:val="auto"/>
              </w:rPr>
              <w:t>Suite 2500</w:t>
            </w:r>
          </w:p>
        </w:tc>
      </w:tr>
      <w:tr>
        <w:trPr>
          <w:trHeight w:val="196"/>
        </w:trPr>
        <w:tc>
          <w:tcPr>
            <w:tcW w:w="3120" w:type="dxa"/>
            <w:vAlign w:val="bottom"/>
            <w:gridSpan w:val="2"/>
          </w:tcPr>
          <w:p>
            <w:pPr>
              <w:spacing w:after="0"/>
              <w:rPr>
                <w:sz w:val="20"/>
                <w:szCs w:val="20"/>
                <w:color w:val="auto"/>
              </w:rPr>
            </w:pPr>
            <w:r>
              <w:rPr>
                <w:rFonts w:ascii="Arial" w:cs="Arial" w:eastAsia="Arial" w:hAnsi="Arial"/>
                <w:sz w:val="14"/>
                <w:szCs w:val="14"/>
                <w:color w:val="auto"/>
              </w:rPr>
              <w:t>www.lewisrice.com</w:t>
            </w:r>
          </w:p>
        </w:tc>
        <w:tc>
          <w:tcPr>
            <w:tcW w:w="4000" w:type="dxa"/>
            <w:vAlign w:val="bottom"/>
          </w:tcPr>
          <w:p>
            <w:pPr>
              <w:ind w:left="1840"/>
              <w:spacing w:after="0"/>
              <w:rPr>
                <w:sz w:val="20"/>
                <w:szCs w:val="20"/>
                <w:color w:val="auto"/>
              </w:rPr>
            </w:pPr>
            <w:r>
              <w:rPr>
                <w:rFonts w:ascii="Arial" w:cs="Arial" w:eastAsia="Arial" w:hAnsi="Arial"/>
                <w:sz w:val="14"/>
                <w:szCs w:val="14"/>
                <w:color w:val="auto"/>
              </w:rPr>
              <w:t>Attorneys at Law</w:t>
            </w:r>
          </w:p>
        </w:tc>
        <w:tc>
          <w:tcPr>
            <w:tcW w:w="2640" w:type="dxa"/>
            <w:vAlign w:val="bottom"/>
          </w:tcPr>
          <w:p>
            <w:pPr>
              <w:ind w:left="1140"/>
              <w:spacing w:after="0"/>
              <w:rPr>
                <w:sz w:val="20"/>
                <w:szCs w:val="20"/>
                <w:color w:val="auto"/>
              </w:rPr>
            </w:pPr>
            <w:r>
              <w:rPr>
                <w:rFonts w:ascii="Arial" w:cs="Arial" w:eastAsia="Arial" w:hAnsi="Arial"/>
                <w:sz w:val="14"/>
                <w:szCs w:val="14"/>
                <w:color w:val="auto"/>
                <w:w w:val="94"/>
              </w:rPr>
              <w:t>St. Louis, Missouri 63101</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7,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 63144</w:t>
      </w:r>
    </w:p>
    <w:p>
      <w:pPr>
        <w:spacing w:after="0" w:line="234" w:lineRule="exact"/>
        <w:rPr>
          <w:sz w:val="20"/>
          <w:szCs w:val="20"/>
          <w:color w:val="auto"/>
        </w:rPr>
      </w:pPr>
    </w:p>
    <w:p>
      <w:pPr>
        <w:ind w:left="460"/>
        <w:spacing w:after="0"/>
        <w:tabs>
          <w:tab w:leader="none" w:pos="9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u w:val="single" w:color="auto"/>
          <w:color w:val="auto"/>
        </w:rPr>
        <w:t>Registration Statement No. 333-233867 on Form S-1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acted as counsel to BellRing Brands,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proposed issuance and sale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by the Company of up to 34,500,000 shares of the Company’s Class A common stock, par value $0.01 per share (the “</w:t>
      </w:r>
      <w:r>
        <w:rPr>
          <w:rFonts w:ascii="Arial" w:cs="Arial" w:eastAsia="Arial" w:hAnsi="Arial"/>
          <w:sz w:val="16"/>
          <w:szCs w:val="16"/>
          <w:u w:val="single" w:color="auto"/>
          <w:color w:val="auto"/>
        </w:rPr>
        <w:t>Class A Common</w:t>
      </w:r>
      <w:r>
        <w:rPr>
          <w:rFonts w:ascii="Arial" w:cs="Arial" w:eastAsia="Arial" w:hAnsi="Arial"/>
          <w:sz w:val="16"/>
          <w:szCs w:val="16"/>
          <w:color w:val="auto"/>
        </w:rPr>
        <w:t>”),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4,500,000 shares of Class A Common, if any, to cover the exercise of an option to purchase additional shares, as described in the Company’s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statement on Form S-1 (No. 333-233867)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originally filed with the Securities and Exchange Commission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on September 20, 2019 pursuant to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 shares of Class A Common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registered by the Company pursuant to the Registration Statement are referred herein as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21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This opinion letter is being furnished to the Company in accordance with the requirements of Item 601(b)(5) of the Commission’s Regulation S-K, and no opinion is expressed herein as to any matter pertaining to the contents of the Registration Statement, including the prospectus contained therein, other than as expressly stated herein with respect to the issuance of the Shares.</w:t>
      </w:r>
    </w:p>
    <w:p>
      <w:pPr>
        <w:spacing w:after="0" w:line="181"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the Securities Act, and we express no opinion with respect to any other laws.</w:t>
      </w:r>
    </w:p>
    <w:p>
      <w:pPr>
        <w:spacing w:after="0" w:line="187"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In connection with this opinion, we have examined originals or copies, certified or otherwise identified to our satisfaction, of: (i) the form of Amended and Restated Certificate of Incorporation of the Company in the form filed as Exhibit 3.1 to the Registration Statement, which is to be filed with the Secretary of State of the State of Delaware prior to the completion of the issuance and sale of the Shares; (ii) the form of Amended and Restated Bylaws of the Company in the form filed as Exhibit 3.2 to the Registration Statement, which are to be effective upon the completion of the issuance and sale of the Shares; (iii) certain resolutions of the board of directors of the Company relating to the issuance, sale and registration of the Shares under the Registration Statement and to the formation transactions described in the Registration Statement; (iv) the form of Underwriting Agreement filed as Exhibit 1.1 to the Registration Statement on October 7, 2019; and (v) the Registration Statement. In addition, we have examined originals or copies, certified or otherwise identified to our satisfaction, of certain other corporate records, documents, instruments and certificates of public officials and of the Company, and we have made such inquiries of officers of the Company and public officials and considered such questions of law as we have deemed necessary for purposes of rendering the opinions set forth herein. As to the facts upon which this opinion is based, we have relied upon certificates of public officials and certificates and written statements of officers, directors, employees and representatives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3136900</wp:posOffset>
            </wp:positionH>
            <wp:positionV relativeFrom="paragraph">
              <wp:posOffset>299085</wp:posOffset>
            </wp:positionV>
            <wp:extent cx="728980" cy="1543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1">
                      <a:extLst>
                        <a:ext uri="{28A0092B-C50C-407E-A947-70E740481C1C}"/>
                      </a:extLst>
                    </a:blip>
                    <a:srcRect/>
                    <a:stretch>
                      <a:fillRect/>
                    </a:stretch>
                  </pic:blipFill>
                  <pic:spPr bwMode="auto">
                    <a:xfrm>
                      <a:off x="0" y="0"/>
                      <a:ext cx="728980" cy="15430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320" w:name="page321"/>
    <w:bookmarkEnd w:id="3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3150235</wp:posOffset>
            </wp:positionH>
            <wp:positionV relativeFrom="page">
              <wp:posOffset>183515</wp:posOffset>
            </wp:positionV>
            <wp:extent cx="1269365" cy="2228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3">
                      <a:clrChange>
                        <a:clrFrom>
                          <a:srgbClr val="FFFFFF"/>
                        </a:clrFrom>
                        <a:clrTo>
                          <a:srgbClr val="FFFFFF">
                            <a:alpha val="0"/>
                          </a:srgbClr>
                        </a:clrTo>
                      </a:clrChange>
                      <a:extLst>
                        <a:ext uri="{28A0092B-C50C-407E-A947-70E740481C1C}"/>
                      </a:extLst>
                    </a:blip>
                    <a:srcRect/>
                    <a:stretch>
                      <a:fillRect/>
                    </a:stretch>
                  </pic:blipFill>
                  <pic:spPr bwMode="auto">
                    <a:xfrm>
                      <a:off x="0" y="0"/>
                      <a:ext cx="1269365" cy="222885"/>
                    </a:xfrm>
                    <a:prstGeom prst="rect">
                      <a:avLst/>
                    </a:prstGeom>
                    <a:noFill/>
                  </pic:spPr>
                </pic:pic>
              </a:graphicData>
            </a:graphic>
          </wp:anchor>
        </w:drawing>
        <w:t>BellRing Brands,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7,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In rendering this opinion, we have assumed the genuineness and authenticity of all signatures on original documents; the authenticity of all documents submitted to us as originals; the conformity to originals of all documents submitted to us as copies; the legal capacity of natural persons who are signatories to the documents examined by us; the accuracy, completeness and authenticity of certificates of public officials; the due authorization, execution and delivery of all documents where authorization, execution and delivery are prerequisites to the effectiveness of such documents; and the legal power and authority of all persons (other than officers of the Company) signing on behalf of the parties to all documents.</w:t>
      </w:r>
    </w:p>
    <w:p>
      <w:pPr>
        <w:spacing w:after="0" w:line="158" w:lineRule="exact"/>
        <w:rPr>
          <w:sz w:val="20"/>
          <w:szCs w:val="20"/>
          <w:color w:val="auto"/>
        </w:rPr>
      </w:pPr>
    </w:p>
    <w:p>
      <w:pPr>
        <w:jc w:val="both"/>
        <w:ind w:right="40" w:firstLine="441"/>
        <w:spacing w:after="0" w:line="259" w:lineRule="auto"/>
        <w:rPr>
          <w:sz w:val="20"/>
          <w:szCs w:val="20"/>
          <w:color w:val="auto"/>
        </w:rPr>
      </w:pPr>
      <w:r>
        <w:rPr>
          <w:rFonts w:ascii="Arial" w:cs="Arial" w:eastAsia="Arial" w:hAnsi="Arial"/>
          <w:sz w:val="18"/>
          <w:szCs w:val="18"/>
          <w:color w:val="auto"/>
        </w:rPr>
        <w:t>Subject to the foregoing, it is our opinion that, as of the date hereof, the Shares have been duly authorized by all necessary corporate action of the Company, and, when the Shares shall have been duly registered on the books of the transfer agent or registrar therefor in the name of or on behalf of the purchasers, and have been issued by the Company against payment therefor as contemplated by the Underwriting Agreement, the Shares will be validly issued, fully paid and nonassessable.</w:t>
      </w:r>
    </w:p>
    <w:p>
      <w:pPr>
        <w:spacing w:after="0" w:line="187"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This opinion is for your benefit in connection with the Registration Statement and may be relied upon by you and by persons entitled to rely upon it pursuant to the applicable provisions of the Securities Act. We consent to your filing this opinion as Exhibit 5.1 to the Registration Statement and to the reference to our firm contained in the Registration Statement under the heading “Legal Matters.” In giving such consent, we do not thereby admit that we are in the category of persons whose consent is required under Section 7 of the Securities Act or the rules and regulations of the Commission thereunder. This opinion and consent may be incorporated by reference in a subsequent registration statement on Form S-1 filed pursuant to Rule 462(b) under the Securities Act with respect to the registration of additional securities for sale in the offering contemplated by the Registration Statement and shall cover such additional securities, if any, registered on such subsequent registration statement.</w:t>
      </w:r>
    </w:p>
    <w:p>
      <w:pPr>
        <w:spacing w:after="0" w:line="27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LEWIS RICE LLC</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Lewis Rice LLC</w:t>
      </w:r>
    </w:p>
    <w:p>
      <w:pPr>
        <w:sectPr>
          <w:pgSz w:w="11900" w:h="16838" w:orient="portrait"/>
          <w:cols w:equalWidth="0" w:num="1">
            <w:col w:w="10980"/>
          </w:cols>
          <w:pgMar w:left="440" w:top="733" w:right="479" w:bottom="1440" w:gutter="0" w:footer="0" w:header="0"/>
        </w:sectPr>
      </w:pPr>
    </w:p>
    <w:bookmarkStart w:id="321" w:name="page322"/>
    <w:bookmarkEnd w:id="321"/>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LONG-TERM INCENTIVE PLAN</w:t>
      </w:r>
    </w:p>
    <w:p>
      <w:pPr>
        <w:spacing w:after="0" w:line="99" w:lineRule="exact"/>
        <w:rPr>
          <w:sz w:val="20"/>
          <w:szCs w:val="20"/>
          <w:color w:val="auto"/>
        </w:rPr>
      </w:pPr>
    </w:p>
    <w:p>
      <w:pPr>
        <w:ind w:right="140" w:firstLine="4"/>
        <w:spacing w:after="0" w:line="261" w:lineRule="auto"/>
        <w:tabs>
          <w:tab w:leader="none" w:pos="45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Establishment and Purpose. </w:t>
      </w:r>
      <w:r>
        <w:rPr>
          <w:rFonts w:ascii="Arial" w:cs="Arial" w:eastAsia="Arial" w:hAnsi="Arial"/>
          <w:sz w:val="18"/>
          <w:szCs w:val="18"/>
          <w:color w:val="auto"/>
        </w:rPr>
        <w:t>BellRing Brands, Inc. hereby establishes, effective September 30, 2019, an incentive compensation plan known as</w:t>
      </w:r>
      <w:r>
        <w:rPr>
          <w:rFonts w:ascii="Arial" w:cs="Arial" w:eastAsia="Arial" w:hAnsi="Arial"/>
          <w:sz w:val="18"/>
          <w:szCs w:val="18"/>
          <w:b w:val="1"/>
          <w:bCs w:val="1"/>
          <w:color w:val="auto"/>
        </w:rPr>
        <w:t xml:space="preserve"> </w:t>
      </w:r>
      <w:r>
        <w:rPr>
          <w:rFonts w:ascii="Arial" w:cs="Arial" w:eastAsia="Arial" w:hAnsi="Arial"/>
          <w:sz w:val="18"/>
          <w:szCs w:val="18"/>
          <w:color w:val="auto"/>
        </w:rPr>
        <w:t>the “BellRing Brands, Inc. 2019 Long-Term Incentive Plan.” The purpose of the Plan is to attract, retain, and motivate Participants (as defined herein) by offering such individuals opportunities to realize stock price appreciation, by facilitating stock ownership and/or by rewarding them for achieving a high level of performance.</w:t>
      </w:r>
    </w:p>
    <w:p>
      <w:pPr>
        <w:spacing w:after="0" w:line="180" w:lineRule="exact"/>
        <w:rPr>
          <w:rFonts w:ascii="Arial" w:cs="Arial" w:eastAsia="Arial" w:hAnsi="Arial"/>
          <w:sz w:val="18"/>
          <w:szCs w:val="18"/>
          <w:b w:val="1"/>
          <w:bCs w:val="1"/>
          <w:color w:val="auto"/>
        </w:rPr>
      </w:pPr>
    </w:p>
    <w:p>
      <w:pPr>
        <w:ind w:left="460" w:hanging="456"/>
        <w:spacing w:after="0"/>
        <w:tabs>
          <w:tab w:leader="none" w:pos="46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The capitalized terms used in this Plan have the meanings set forth below.</w:t>
      </w:r>
    </w:p>
    <w:p>
      <w:pPr>
        <w:spacing w:after="0" w:line="229" w:lineRule="exact"/>
        <w:rPr>
          <w:rFonts w:ascii="Arial" w:cs="Arial" w:eastAsia="Arial" w:hAnsi="Arial"/>
          <w:sz w:val="18"/>
          <w:szCs w:val="18"/>
          <w:b w:val="1"/>
          <w:bCs w:val="1"/>
          <w:color w:val="auto"/>
        </w:rPr>
      </w:pPr>
    </w:p>
    <w:p>
      <w:pPr>
        <w:ind w:right="60" w:firstLine="444"/>
        <w:spacing w:after="0" w:line="286" w:lineRule="auto"/>
        <w:tabs>
          <w:tab w:leader="none" w:pos="820" w:val="left"/>
        </w:tabs>
        <w:numPr>
          <w:ilvl w:val="1"/>
          <w:numId w:val="225"/>
        </w:numPr>
        <w:rPr>
          <w:rFonts w:ascii="Arial" w:cs="Arial" w:eastAsia="Arial" w:hAnsi="Arial"/>
          <w:sz w:val="17"/>
          <w:szCs w:val="17"/>
          <w:color w:val="auto"/>
        </w:rPr>
      </w:pPr>
      <w:r>
        <w:rPr>
          <w:rFonts w:ascii="Arial" w:cs="Arial" w:eastAsia="Arial" w:hAnsi="Arial"/>
          <w:sz w:val="17"/>
          <w:szCs w:val="17"/>
          <w:color w:val="auto"/>
        </w:rPr>
        <w:t>“Affiliate” means any corporation that is a Subsidiary of the Company and, for purposes other than the grant of Incentive Stock Options, any limited liability company, partnership, corporation, joint venture or any other entity in which the Company or any such Subsidiary owns an equity interest. For the avoidance of doubt, the ownership referred to in the preceding sentence includes direct and indirect ownership.</w:t>
      </w:r>
    </w:p>
    <w:p>
      <w:pPr>
        <w:spacing w:after="0" w:line="165" w:lineRule="exact"/>
        <w:rPr>
          <w:rFonts w:ascii="Arial" w:cs="Arial" w:eastAsia="Arial" w:hAnsi="Arial"/>
          <w:sz w:val="17"/>
          <w:szCs w:val="17"/>
          <w:color w:val="auto"/>
        </w:rPr>
      </w:pPr>
    </w:p>
    <w:p>
      <w:pPr>
        <w:ind w:right="60" w:firstLine="444"/>
        <w:spacing w:after="0" w:line="302" w:lineRule="auto"/>
        <w:tabs>
          <w:tab w:leader="none" w:pos="831" w:val="left"/>
        </w:tabs>
        <w:numPr>
          <w:ilvl w:val="1"/>
          <w:numId w:val="225"/>
        </w:numPr>
        <w:rPr>
          <w:rFonts w:ascii="Arial" w:cs="Arial" w:eastAsia="Arial" w:hAnsi="Arial"/>
          <w:sz w:val="16"/>
          <w:szCs w:val="16"/>
          <w:color w:val="auto"/>
        </w:rPr>
      </w:pPr>
      <w:r>
        <w:rPr>
          <w:rFonts w:ascii="Arial" w:cs="Arial" w:eastAsia="Arial" w:hAnsi="Arial"/>
          <w:sz w:val="16"/>
          <w:szCs w:val="16"/>
          <w:color w:val="auto"/>
        </w:rPr>
        <w:t>“Agreement” means a written agreement, contract, certificate or other instrument or document (which may be transmitted electronically to any Participant) evidencing the terms and conditions of an Award in such form (not inconsistent with this Plan) as the Committee approves from time to time, together with all amendments thereof, which amendments may be made unilaterally by the Company (with the approval of the Committee) unless such amendments are deemed by the Committee to be materially adverse to the Participant and not required as a matter of law.</w:t>
      </w:r>
    </w:p>
    <w:p>
      <w:pPr>
        <w:spacing w:after="0" w:line="154" w:lineRule="exact"/>
        <w:rPr>
          <w:rFonts w:ascii="Arial" w:cs="Arial" w:eastAsia="Arial" w:hAnsi="Arial"/>
          <w:sz w:val="16"/>
          <w:szCs w:val="16"/>
          <w:color w:val="auto"/>
        </w:rPr>
      </w:pPr>
    </w:p>
    <w:p>
      <w:pPr>
        <w:jc w:val="both"/>
        <w:ind w:right="80" w:firstLine="444"/>
        <w:spacing w:after="0" w:line="312" w:lineRule="auto"/>
        <w:tabs>
          <w:tab w:leader="none" w:pos="82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“Associate” means any service provider (including any employee, director, manager, consultant or advisor) to the Company or an Affiliate. References in this Plan to “employment” and related terms (except for references to “employee” in this definition of “Associate” or in Section 7(a)(i)) shall also include the providing of services as a service provider to the Company or an Affiliate who is not an employee of the Company or an Affiliate.</w:t>
      </w:r>
    </w:p>
    <w:p>
      <w:pPr>
        <w:spacing w:after="0" w:line="146" w:lineRule="exact"/>
        <w:rPr>
          <w:rFonts w:ascii="Arial" w:cs="Arial" w:eastAsia="Arial" w:hAnsi="Arial"/>
          <w:sz w:val="16"/>
          <w:szCs w:val="16"/>
          <w:color w:val="auto"/>
        </w:rPr>
      </w:pPr>
    </w:p>
    <w:p>
      <w:pPr>
        <w:ind w:right="260" w:firstLine="444"/>
        <w:spacing w:after="0" w:line="277" w:lineRule="auto"/>
        <w:tabs>
          <w:tab w:leader="none" w:pos="831"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“Award” means a grant made under this Plan in the form of Options, Stock Appreciation Rights, Restricted Stock, Restricted Stock Units, Performance Shares or any Other Award, whether singly, in combination or in tandem.</w:t>
      </w:r>
    </w:p>
    <w:p>
      <w:pPr>
        <w:spacing w:after="0" w:line="170" w:lineRule="exact"/>
        <w:rPr>
          <w:rFonts w:ascii="Arial" w:cs="Arial" w:eastAsia="Arial" w:hAnsi="Arial"/>
          <w:sz w:val="18"/>
          <w:szCs w:val="18"/>
          <w:color w:val="auto"/>
        </w:rPr>
      </w:pPr>
    </w:p>
    <w:p>
      <w:pPr>
        <w:ind w:left="820" w:hanging="376"/>
        <w:spacing w:after="0"/>
        <w:tabs>
          <w:tab w:leader="none" w:pos="8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25" w:lineRule="exact"/>
        <w:rPr>
          <w:rFonts w:ascii="Arial" w:cs="Arial" w:eastAsia="Arial" w:hAnsi="Arial"/>
          <w:sz w:val="18"/>
          <w:szCs w:val="18"/>
          <w:color w:val="auto"/>
        </w:rPr>
      </w:pPr>
    </w:p>
    <w:p>
      <w:pPr>
        <w:ind w:left="800" w:hanging="356"/>
        <w:spacing w:after="0"/>
        <w:tabs>
          <w:tab w:leader="none" w:pos="80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“Cause” shall have the meaning ascribed to such term in the Agreement.</w:t>
      </w:r>
    </w:p>
    <w:p>
      <w:pPr>
        <w:spacing w:after="0" w:line="225" w:lineRule="exact"/>
        <w:rPr>
          <w:rFonts w:ascii="Arial" w:cs="Arial" w:eastAsia="Arial" w:hAnsi="Arial"/>
          <w:sz w:val="18"/>
          <w:szCs w:val="18"/>
          <w:color w:val="auto"/>
        </w:rPr>
      </w:pPr>
    </w:p>
    <w:p>
      <w:pPr>
        <w:ind w:left="840" w:hanging="396"/>
        <w:spacing w:after="0"/>
        <w:tabs>
          <w:tab w:leader="none" w:pos="84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“Change in Control” means, except as otherwise provided in an Agreement, any of the following:</w:t>
      </w:r>
    </w:p>
    <w:p>
      <w:pPr>
        <w:spacing w:after="0" w:line="225" w:lineRule="exact"/>
        <w:rPr>
          <w:rFonts w:ascii="Arial" w:cs="Arial" w:eastAsia="Arial" w:hAnsi="Arial"/>
          <w:sz w:val="18"/>
          <w:szCs w:val="18"/>
          <w:color w:val="auto"/>
        </w:rPr>
      </w:pPr>
    </w:p>
    <w:p>
      <w:pPr>
        <w:ind w:left="1340" w:hanging="344"/>
        <w:spacing w:after="0"/>
        <w:tabs>
          <w:tab w:leader="none" w:pos="1340" w:val="left"/>
        </w:tabs>
        <w:numPr>
          <w:ilvl w:val="2"/>
          <w:numId w:val="225"/>
        </w:numPr>
        <w:rPr>
          <w:rFonts w:ascii="Arial" w:cs="Arial" w:eastAsia="Arial" w:hAnsi="Arial"/>
          <w:sz w:val="18"/>
          <w:szCs w:val="18"/>
          <w:color w:val="auto"/>
        </w:rPr>
      </w:pPr>
      <w:r>
        <w:rPr>
          <w:rFonts w:ascii="Arial" w:cs="Arial" w:eastAsia="Arial" w:hAnsi="Arial"/>
          <w:sz w:val="18"/>
          <w:szCs w:val="18"/>
          <w:color w:val="auto"/>
        </w:rPr>
        <w:t>Individuals who constitute the Incumbent Board cease for any reason to constitute at least a majority of the Board.</w:t>
      </w:r>
    </w:p>
    <w:p>
      <w:pPr>
        <w:spacing w:after="0" w:line="225" w:lineRule="exact"/>
        <w:rPr>
          <w:rFonts w:ascii="Arial" w:cs="Arial" w:eastAsia="Arial" w:hAnsi="Arial"/>
          <w:sz w:val="18"/>
          <w:szCs w:val="18"/>
          <w:color w:val="auto"/>
        </w:rPr>
      </w:pPr>
    </w:p>
    <w:p>
      <w:pPr>
        <w:ind w:right="280" w:firstLine="996"/>
        <w:spacing w:after="0" w:line="297" w:lineRule="auto"/>
        <w:tabs>
          <w:tab w:leader="none" w:pos="1382" w:val="left"/>
        </w:tabs>
        <w:numPr>
          <w:ilvl w:val="2"/>
          <w:numId w:val="225"/>
        </w:numPr>
        <w:rPr>
          <w:rFonts w:ascii="Arial" w:cs="Arial" w:eastAsia="Arial" w:hAnsi="Arial"/>
          <w:sz w:val="16"/>
          <w:szCs w:val="16"/>
          <w:color w:val="auto"/>
        </w:rPr>
      </w:pPr>
      <w:r>
        <w:rPr>
          <w:rFonts w:ascii="Arial" w:cs="Arial" w:eastAsia="Arial" w:hAnsi="Arial"/>
          <w:sz w:val="16"/>
          <w:szCs w:val="16"/>
          <w:color w:val="auto"/>
        </w:rPr>
        <w:t>An individual, entity or group (within the meaning of Section 13(d)(3) or 14(d)(2) of the Exchange Act) directly or indirectly acquires or beneficially owns (as defined in Rule 13d-3 under the Exchange Act, or any successor rule thereto) (in each case, together with such individual’s, entity’s or group’s prior ownership of the Company) the right to direct the vote with respect to more than 50% of the combined voting power of the then outstanding securities of the Company entitled to vote generally in the election of directors (“Voting Control”), provided, however, that the following acquisitions and beneficial ownership shall not constitute a Change in Control pursuant to this paragraph 2(g)(ii);</w:t>
      </w:r>
    </w:p>
    <w:p>
      <w:pPr>
        <w:spacing w:after="0" w:line="50" w:lineRule="exact"/>
        <w:rPr>
          <w:rFonts w:ascii="Arial" w:cs="Arial" w:eastAsia="Arial" w:hAnsi="Arial"/>
          <w:sz w:val="16"/>
          <w:szCs w:val="16"/>
          <w:color w:val="auto"/>
        </w:rPr>
      </w:pPr>
    </w:p>
    <w:p>
      <w:pPr>
        <w:ind w:left="1000" w:right="820" w:firstLine="397"/>
        <w:spacing w:after="0" w:line="277" w:lineRule="auto"/>
        <w:tabs>
          <w:tab w:leader="none" w:pos="1831" w:val="left"/>
        </w:tabs>
        <w:numPr>
          <w:ilvl w:val="3"/>
          <w:numId w:val="225"/>
        </w:numPr>
        <w:rPr>
          <w:rFonts w:ascii="Arial" w:cs="Arial" w:eastAsia="Arial" w:hAnsi="Arial"/>
          <w:sz w:val="18"/>
          <w:szCs w:val="18"/>
          <w:color w:val="auto"/>
        </w:rPr>
      </w:pPr>
      <w:r>
        <w:rPr>
          <w:rFonts w:ascii="Arial" w:cs="Arial" w:eastAsia="Arial" w:hAnsi="Arial"/>
          <w:sz w:val="18"/>
          <w:szCs w:val="18"/>
          <w:color w:val="auto"/>
        </w:rPr>
        <w:t>any direct or indirect acquisition or beneficial ownership by the Company, Post Holdings, Inc. or any of its and their Subsidiaries,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22" w:name="page323"/>
    <w:bookmarkEnd w:id="322"/>
    <w:p>
      <w:pPr>
        <w:ind w:left="1000" w:right="80" w:firstLine="397"/>
        <w:spacing w:after="0" w:line="264" w:lineRule="auto"/>
        <w:tabs>
          <w:tab w:leader="none" w:pos="1821" w:val="left"/>
        </w:tabs>
        <w:numPr>
          <w:ilvl w:val="1"/>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direct or indirect acquisition or beneficial ownership of additional securities of the Company entitled to vote generally in the election of directors or of the right to direct the vote of such securities by an individual, entity or group who already beneficially owns Voting Control, or</w:t>
      </w:r>
    </w:p>
    <w:p>
      <w:pPr>
        <w:spacing w:after="0" w:line="73" w:lineRule="exact"/>
        <w:rPr>
          <w:rFonts w:ascii="Arial" w:cs="Arial" w:eastAsia="Arial" w:hAnsi="Arial"/>
          <w:sz w:val="18"/>
          <w:szCs w:val="18"/>
          <w:color w:val="auto"/>
        </w:rPr>
      </w:pPr>
    </w:p>
    <w:p>
      <w:pPr>
        <w:ind w:left="1000" w:right="660" w:firstLine="397"/>
        <w:spacing w:after="0" w:line="277" w:lineRule="auto"/>
        <w:tabs>
          <w:tab w:leader="none" w:pos="1821"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any acquisition or beneficial ownership by any employee benefit plan (or related trust) sponsored or maintained by the Company or one of more of its Subsidiaries.</w:t>
      </w:r>
    </w:p>
    <w:p>
      <w:pPr>
        <w:spacing w:after="0" w:line="170" w:lineRule="exact"/>
        <w:rPr>
          <w:rFonts w:ascii="Arial" w:cs="Arial" w:eastAsia="Arial" w:hAnsi="Arial"/>
          <w:sz w:val="18"/>
          <w:szCs w:val="18"/>
          <w:color w:val="auto"/>
        </w:rPr>
      </w:pPr>
    </w:p>
    <w:p>
      <w:pPr>
        <w:ind w:right="540" w:firstLine="996"/>
        <w:spacing w:after="0" w:line="277" w:lineRule="auto"/>
        <w:tabs>
          <w:tab w:leader="none" w:pos="144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Consummation of a reorganization, merger, share exchange or consolidation (a “Business Combination”), unless in each case following such Business Combination:</w:t>
      </w:r>
    </w:p>
    <w:p>
      <w:pPr>
        <w:spacing w:after="0" w:line="62" w:lineRule="exact"/>
        <w:rPr>
          <w:rFonts w:ascii="Arial" w:cs="Arial" w:eastAsia="Arial" w:hAnsi="Arial"/>
          <w:sz w:val="18"/>
          <w:szCs w:val="18"/>
          <w:color w:val="auto"/>
        </w:rPr>
      </w:pPr>
    </w:p>
    <w:p>
      <w:pPr>
        <w:ind w:left="1000" w:firstLine="397"/>
        <w:spacing w:after="0" w:line="257" w:lineRule="auto"/>
        <w:tabs>
          <w:tab w:leader="none" w:pos="1831"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all or substantially all of the individuals, entities or groups who were the beneficial owners of Voting Control immediately prior to such Business Combination beneficially own, directly or indirectly, the right to direct the vote with respect to more than 50% of the combined voting power of the then outstanding securities entitled to vote generally in the election of directors or other governing body, as the case may be, of the entity resulting from such Business Combination (including, without limitation, an entity that, as a result of such transaction, owns the Company through one or more subsidiaries);</w:t>
      </w:r>
    </w:p>
    <w:p>
      <w:pPr>
        <w:spacing w:after="0" w:line="80" w:lineRule="exact"/>
        <w:rPr>
          <w:rFonts w:ascii="Arial" w:cs="Arial" w:eastAsia="Arial" w:hAnsi="Arial"/>
          <w:sz w:val="18"/>
          <w:szCs w:val="18"/>
          <w:color w:val="auto"/>
        </w:rPr>
      </w:pPr>
    </w:p>
    <w:p>
      <w:pPr>
        <w:ind w:left="1000" w:right="160" w:firstLine="397"/>
        <w:spacing w:after="0" w:line="276" w:lineRule="auto"/>
        <w:tabs>
          <w:tab w:leader="none" w:pos="1821" w:val="left"/>
        </w:tabs>
        <w:numPr>
          <w:ilvl w:val="1"/>
          <w:numId w:val="227"/>
        </w:numPr>
        <w:rPr>
          <w:rFonts w:ascii="Arial" w:cs="Arial" w:eastAsia="Arial" w:hAnsi="Arial"/>
          <w:sz w:val="17"/>
          <w:szCs w:val="17"/>
          <w:color w:val="auto"/>
        </w:rPr>
      </w:pPr>
      <w:r>
        <w:rPr>
          <w:rFonts w:ascii="Arial" w:cs="Arial" w:eastAsia="Arial" w:hAnsi="Arial"/>
          <w:sz w:val="17"/>
          <w:szCs w:val="17"/>
          <w:color w:val="auto"/>
        </w:rPr>
        <w:t>no individual, entity or group (excluding any employee benefit plan (or related trust) of the Company or such corporation resulting from such Business Combination) beneficially owns, directly or indirectly, the right to direct the vote with respect to more than 50% of the combined voting power of the then outstanding securities of such corporation entitled to vote generally in the election of directors or other governing body, as the case may be, of the entity resulting from such Business Combination, except to the extent that such individual, entity or group beneficially owned Voting Control prior to the Business Combination; and</w:t>
      </w:r>
    </w:p>
    <w:p>
      <w:pPr>
        <w:spacing w:after="0" w:line="64" w:lineRule="exact"/>
        <w:rPr>
          <w:rFonts w:ascii="Arial" w:cs="Arial" w:eastAsia="Arial" w:hAnsi="Arial"/>
          <w:sz w:val="17"/>
          <w:szCs w:val="17"/>
          <w:color w:val="auto"/>
        </w:rPr>
      </w:pPr>
    </w:p>
    <w:p>
      <w:pPr>
        <w:ind w:left="1000" w:right="120" w:firstLine="397"/>
        <w:spacing w:after="0" w:line="264" w:lineRule="auto"/>
        <w:tabs>
          <w:tab w:leader="none" w:pos="1821"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at least a majority of the members of the board of directors or other governing body of the entity resulting from such Business Combination were members of the Incumbent Board at the time of the execution of the initial agreement, or of the action of the Board, approving such Business Combination.</w:t>
      </w:r>
    </w:p>
    <w:p>
      <w:pPr>
        <w:spacing w:after="0" w:line="181" w:lineRule="exact"/>
        <w:rPr>
          <w:rFonts w:ascii="Arial" w:cs="Arial" w:eastAsia="Arial" w:hAnsi="Arial"/>
          <w:sz w:val="18"/>
          <w:szCs w:val="18"/>
          <w:color w:val="auto"/>
        </w:rPr>
      </w:pPr>
    </w:p>
    <w:p>
      <w:pPr>
        <w:ind w:left="1440" w:hanging="444"/>
        <w:spacing w:after="0"/>
        <w:tabs>
          <w:tab w:leader="none" w:pos="144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Company shall sell or otherwise dispose of all or substantially all of the assets of the Company (in one transaction or a series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transactions).</w:t>
      </w:r>
    </w:p>
    <w:p>
      <w:pPr>
        <w:spacing w:after="0" w:line="210" w:lineRule="exact"/>
        <w:rPr>
          <w:rFonts w:ascii="Arial" w:cs="Arial" w:eastAsia="Arial" w:hAnsi="Arial"/>
          <w:sz w:val="16"/>
          <w:szCs w:val="16"/>
          <w:color w:val="auto"/>
        </w:rPr>
      </w:pPr>
    </w:p>
    <w:p>
      <w:pPr>
        <w:ind w:right="80" w:firstLine="996"/>
        <w:spacing w:after="0" w:line="277" w:lineRule="auto"/>
        <w:tabs>
          <w:tab w:leader="none" w:pos="137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stockholders of the Company shall approve a plan to liquidate or dissolve the Company and the Company shall commence such liquidation or dissolution of the Company.</w:t>
      </w:r>
    </w:p>
    <w:p>
      <w:pPr>
        <w:spacing w:after="0" w:line="170"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Notwithstanding the foregoing, any direct or indirect spin-off, split-off or similar transaction involving Company securities by any stockholder of the Company to the stockholder’s stockholders shall not constitute a Change in Control. Notwithstanding anything herein to the contrary, an event described herein shall be considered a Change in Control hereunder only if it also constitutes a “change in control event” under Section 409A of the Code, to the extent necessary to avoid the adverse tax consequences thereunder.</w:t>
      </w:r>
    </w:p>
    <w:p>
      <w:pPr>
        <w:spacing w:after="0" w:line="187" w:lineRule="exact"/>
        <w:rPr>
          <w:sz w:val="20"/>
          <w:szCs w:val="20"/>
          <w:color w:val="auto"/>
        </w:rPr>
      </w:pPr>
    </w:p>
    <w:p>
      <w:pPr>
        <w:ind w:right="100" w:firstLine="444"/>
        <w:spacing w:after="0" w:line="277" w:lineRule="auto"/>
        <w:tabs>
          <w:tab w:leader="none" w:pos="876"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and in effect from time to time, or any successor statute. Any reference to a section of the Code shall be deemed to include a reference to any regulations promulgated thereunder.</w:t>
      </w:r>
    </w:p>
    <w:p>
      <w:pPr>
        <w:spacing w:after="0" w:line="170" w:lineRule="exact"/>
        <w:rPr>
          <w:rFonts w:ascii="Arial" w:cs="Arial" w:eastAsia="Arial" w:hAnsi="Arial"/>
          <w:sz w:val="18"/>
          <w:szCs w:val="18"/>
          <w:color w:val="auto"/>
        </w:rPr>
      </w:pPr>
    </w:p>
    <w:p>
      <w:pPr>
        <w:ind w:right="380" w:firstLine="444"/>
        <w:spacing w:after="0" w:line="277" w:lineRule="auto"/>
        <w:tabs>
          <w:tab w:leader="none" w:pos="791"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“Committee” means the committee of directors appointed by the Board to administer this Plan. In the absence of a specific appointment, “Committee” shall mean the compensation committee of the Board.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3" w:right="459" w:bottom="1440" w:gutter="0" w:footer="0" w:header="0"/>
        </w:sectPr>
      </w:pPr>
    </w:p>
    <w:bookmarkStart w:id="323" w:name="page324"/>
    <w:bookmarkEnd w:id="323"/>
    <w:p>
      <w:pPr>
        <w:ind w:right="380" w:firstLine="444"/>
        <w:spacing w:after="0" w:line="277" w:lineRule="auto"/>
        <w:tabs>
          <w:tab w:leader="none" w:pos="791" w:val="left"/>
        </w:tabs>
        <w:numPr>
          <w:ilvl w:val="0"/>
          <w:numId w:val="2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means BellRing Brands, Inc., a Delaware corporation, or any successor to all or substantially all of its businesses by merger, consolidation, purchase of assets or otherwise.</w:t>
      </w:r>
    </w:p>
    <w:p>
      <w:pPr>
        <w:spacing w:after="0" w:line="170" w:lineRule="exact"/>
        <w:rPr>
          <w:rFonts w:ascii="Arial" w:cs="Arial" w:eastAsia="Arial" w:hAnsi="Arial"/>
          <w:sz w:val="18"/>
          <w:szCs w:val="18"/>
          <w:color w:val="auto"/>
        </w:rPr>
      </w:pPr>
    </w:p>
    <w:p>
      <w:pPr>
        <w:ind w:right="60" w:firstLine="444"/>
        <w:spacing w:after="0" w:line="290" w:lineRule="auto"/>
        <w:tabs>
          <w:tab w:leader="none" w:pos="831" w:val="left"/>
        </w:tabs>
        <w:numPr>
          <w:ilvl w:val="0"/>
          <w:numId w:val="229"/>
        </w:numPr>
        <w:rPr>
          <w:rFonts w:ascii="Arial" w:cs="Arial" w:eastAsia="Arial" w:hAnsi="Arial"/>
          <w:sz w:val="16"/>
          <w:szCs w:val="16"/>
          <w:color w:val="auto"/>
        </w:rPr>
      </w:pPr>
      <w:r>
        <w:rPr>
          <w:rFonts w:ascii="Arial" w:cs="Arial" w:eastAsia="Arial" w:hAnsi="Arial"/>
          <w:sz w:val="16"/>
          <w:szCs w:val="16"/>
          <w:color w:val="auto"/>
        </w:rPr>
        <w:t>“Disability” means, except as otherwise provided in an Agreement, that the Participant is unable to engage in any substantial gainful activity by reason of any medically determinable physical or mental impairment which can be expected to result in death or which has lasted or can be expected to last for a continuous period of not less than 12 months, provided, however, for purposes of determining the Term of an Incentive Stock Option, the term Disability shall have the meaning ascribed to it under Section 22(e)(3) of the Code. Whether an individual has a Disability shall be determined under procedures established by the Committee. Except in situations where the Committee is determining Disability for purposes of the Term of an Incentive Stock Option within the meaning of Section 22(e)(3) of the Code, the Committee may rely on any determination that a Participant is disabled for purposes of benefits under any long-term disability plan maintained by the Company or any Affiliate in which a Participant participates, provided that the definition of disability applied under such disability plan meets the requirements of a Disability in the first sentence hereof.</w:t>
      </w:r>
    </w:p>
    <w:p>
      <w:pPr>
        <w:spacing w:after="0" w:line="166" w:lineRule="exact"/>
        <w:rPr>
          <w:rFonts w:ascii="Arial" w:cs="Arial" w:eastAsia="Arial" w:hAnsi="Arial"/>
          <w:sz w:val="16"/>
          <w:szCs w:val="16"/>
          <w:color w:val="auto"/>
        </w:rPr>
      </w:pPr>
    </w:p>
    <w:p>
      <w:pPr>
        <w:ind w:right="20" w:firstLine="444"/>
        <w:spacing w:after="0" w:line="277" w:lineRule="auto"/>
        <w:tabs>
          <w:tab w:leader="none" w:pos="79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“Exchange Act Rule 16b-3” means Rule 16b-3 promulgated by the Securities and Exchange Commission under the Exchange Act or any successor regulation.</w:t>
      </w:r>
    </w:p>
    <w:p>
      <w:pPr>
        <w:spacing w:after="0" w:line="170" w:lineRule="exact"/>
        <w:rPr>
          <w:rFonts w:ascii="Arial" w:cs="Arial" w:eastAsia="Arial" w:hAnsi="Arial"/>
          <w:sz w:val="18"/>
          <w:szCs w:val="18"/>
          <w:color w:val="auto"/>
        </w:rPr>
      </w:pPr>
    </w:p>
    <w:p>
      <w:pPr>
        <w:ind w:left="880" w:hanging="436"/>
        <w:spacing w:after="0"/>
        <w:tabs>
          <w:tab w:leader="none" w:pos="8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“Fair Market Value” as of any date means, unless otherwise expressly provided in this Plan:</w:t>
      </w:r>
    </w:p>
    <w:p>
      <w:pPr>
        <w:spacing w:after="0" w:line="225" w:lineRule="exact"/>
        <w:rPr>
          <w:rFonts w:ascii="Arial" w:cs="Arial" w:eastAsia="Arial" w:hAnsi="Arial"/>
          <w:sz w:val="18"/>
          <w:szCs w:val="18"/>
          <w:color w:val="auto"/>
        </w:rPr>
      </w:pPr>
    </w:p>
    <w:p>
      <w:pPr>
        <w:ind w:firstLine="996"/>
        <w:spacing w:after="0" w:line="255" w:lineRule="auto"/>
        <w:tabs>
          <w:tab w:leader="none" w:pos="1342"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 the closing sales price of a Share on the composite tape for New York Stock Exchange (“NYSE”) listed shares, or if Shares are not quoted on the composite tape for NYSE listed shares, on the Nasdaq Global Select Market or any similar system then in use, or (B) if clause (i)(A) is not applicable, the mean between the closing “bid” and the closing “asked” quotation of a Share on the Nasdaq Global Select Market or any similar system then in use, or (C) if the Shares are not quoted on the NYSE composite tape or the Nasdaq Global Select Market or any similar system then in use, the closing sale price of a Share on the principal United States securities exchange registered under the Exchange Act on which the Shares are listed, in any case on the specified date, or, if no sale of Shares shall have occurred on that date, on the immediately preceding day on which a sale of Shares occurred, or</w:t>
      </w:r>
    </w:p>
    <w:p>
      <w:pPr>
        <w:spacing w:after="0" w:line="189" w:lineRule="exact"/>
        <w:rPr>
          <w:rFonts w:ascii="Arial" w:cs="Arial" w:eastAsia="Arial" w:hAnsi="Arial"/>
          <w:sz w:val="18"/>
          <w:szCs w:val="18"/>
          <w:color w:val="auto"/>
        </w:rPr>
      </w:pPr>
    </w:p>
    <w:p>
      <w:pPr>
        <w:ind w:left="1400" w:hanging="404"/>
        <w:spacing w:after="0"/>
        <w:tabs>
          <w:tab w:leader="none" w:pos="140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if clause (i) is not applicable, what the Committee determines in good faith to be 100% of the fair market value of a Share on that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1"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In the case of any Option or Stock Appreciation Right, the determination of Fair Market Value shall be done in a manner consistent with the then current regulations of the Secretary of the Treasury. The determination of Fair Market Value shall be subject to adjustment as provided in Section 12(f) hereof.</w:t>
      </w:r>
    </w:p>
    <w:p>
      <w:pPr>
        <w:spacing w:after="0" w:line="181" w:lineRule="exact"/>
        <w:rPr>
          <w:sz w:val="20"/>
          <w:szCs w:val="20"/>
          <w:color w:val="auto"/>
        </w:rPr>
      </w:pPr>
    </w:p>
    <w:p>
      <w:pPr>
        <w:ind w:right="40" w:firstLine="444"/>
        <w:spacing w:after="0" w:line="255" w:lineRule="auto"/>
        <w:tabs>
          <w:tab w:leader="none" w:pos="831" w:val="left"/>
        </w:tabs>
        <w:numPr>
          <w:ilvl w:val="0"/>
          <w:numId w:val="230"/>
        </w:numPr>
        <w:rPr>
          <w:rFonts w:ascii="Arial" w:cs="Arial" w:eastAsia="Arial" w:hAnsi="Arial"/>
          <w:sz w:val="18"/>
          <w:szCs w:val="18"/>
          <w:color w:val="auto"/>
        </w:rPr>
      </w:pPr>
      <w:r>
        <w:rPr>
          <w:rFonts w:ascii="Arial" w:cs="Arial" w:eastAsia="Arial" w:hAnsi="Arial"/>
          <w:sz w:val="18"/>
          <w:szCs w:val="18"/>
          <w:color w:val="auto"/>
        </w:rPr>
        <w:t>“Good Reason” means, except as otherwise provided in an Agreement, the occurrence of one or more of the following, which circumstances are not remedied by the Company within thirty (30) days after its receipt of a written notice from the Participant describing the applicable circumstances (which notice must be provided by the Participant within ninety (90) days after the Participant’s knowledge of the applicable circumstances): (i) a material diminution in a Participant’s duties and responsibilities, (ii) a material decrease in a Participant’s base salary or bonus opportunity or (iii) a geographical relocation of the Participant’s principal office location by more than fifty (50) miles, in each case, without written consent; provided that in each case, the Participant must actually terminate his or her employment within thirty (30) days following the Company’s thirty (30)-day cure period specified herein.</w:t>
      </w:r>
    </w:p>
    <w:p>
      <w:pPr>
        <w:spacing w:after="0" w:line="189" w:lineRule="exact"/>
        <w:rPr>
          <w:rFonts w:ascii="Arial" w:cs="Arial" w:eastAsia="Arial" w:hAnsi="Arial"/>
          <w:sz w:val="18"/>
          <w:szCs w:val="18"/>
          <w:color w:val="auto"/>
        </w:rPr>
      </w:pPr>
    </w:p>
    <w:p>
      <w:pPr>
        <w:ind w:right="40" w:firstLine="444"/>
        <w:spacing w:after="0" w:line="277" w:lineRule="auto"/>
        <w:tabs>
          <w:tab w:leader="none" w:pos="831"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“Incentive Stock Option” means any Option designated as such and granted in accordance with the requirements of Section 422 of the Code, or any successor to such section.</w:t>
      </w:r>
    </w:p>
    <w:p>
      <w:pPr>
        <w:spacing w:after="0" w:line="170" w:lineRule="exact"/>
        <w:rPr>
          <w:rFonts w:ascii="Arial" w:cs="Arial" w:eastAsia="Arial" w:hAnsi="Arial"/>
          <w:sz w:val="18"/>
          <w:szCs w:val="18"/>
          <w:color w:val="auto"/>
        </w:rPr>
      </w:pPr>
    </w:p>
    <w:p>
      <w:pPr>
        <w:ind w:right="180" w:firstLine="444"/>
        <w:spacing w:after="0" w:line="277" w:lineRule="auto"/>
        <w:tabs>
          <w:tab w:leader="none" w:pos="831"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“Incumbent Board” means the group of directors consisting of (i) those individuals who, as of the effective date of the Plan, constituted the Board; and (ii) any individuals who become directors subsequent to such effective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3" w:right="439" w:bottom="1440" w:gutter="0" w:footer="0" w:header="0"/>
        </w:sectPr>
      </w:pPr>
    </w:p>
    <w:bookmarkStart w:id="324" w:name="page325"/>
    <w:bookmarkEnd w:id="324"/>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whose appointment, election or nomination for election by the stockholders of the Company was approved by a vote of at least a majority of the directors then comprising the Incumbent Board. The Incumbent Board shall exclude any individual whose initial assumption of office occurred (i) as a result of an actual or threatened election contest with respect to the election or removal of directors or other actual or threatened solicitation of proxies or consents by or on behalf of an individual, entity or group (other than a solicitation of proxies by the Incumbent Board) or (ii) with the approval of the Incumbent Board but by reason of any agreement intended to avoid or settle a proxy contest.</w:t>
      </w:r>
    </w:p>
    <w:p>
      <w:pPr>
        <w:spacing w:after="0" w:line="173" w:lineRule="exact"/>
        <w:rPr>
          <w:sz w:val="20"/>
          <w:szCs w:val="20"/>
          <w:color w:val="auto"/>
        </w:rPr>
      </w:pPr>
    </w:p>
    <w:p>
      <w:pPr>
        <w:ind w:left="840" w:hanging="396"/>
        <w:spacing w:after="0"/>
        <w:tabs>
          <w:tab w:leader="none" w:pos="84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“Non-Employee Director” means a member of the Board who is a “non-employee director,” as defined by Exchange Act Rule 16b-3.</w:t>
      </w:r>
    </w:p>
    <w:p>
      <w:pPr>
        <w:spacing w:after="0" w:line="236" w:lineRule="exact"/>
        <w:rPr>
          <w:rFonts w:ascii="Arial" w:cs="Arial" w:eastAsia="Arial" w:hAnsi="Arial"/>
          <w:sz w:val="17"/>
          <w:szCs w:val="17"/>
          <w:color w:val="auto"/>
        </w:rPr>
      </w:pPr>
    </w:p>
    <w:p>
      <w:pPr>
        <w:ind w:left="800" w:hanging="356"/>
        <w:spacing w:after="0"/>
        <w:tabs>
          <w:tab w:leader="none" w:pos="8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“Non-Qualified Stock Option” means an Option other than an Incentive Stock Option.</w:t>
      </w:r>
    </w:p>
    <w:p>
      <w:pPr>
        <w:spacing w:after="0" w:line="225" w:lineRule="exact"/>
        <w:rPr>
          <w:rFonts w:ascii="Arial" w:cs="Arial" w:eastAsia="Arial" w:hAnsi="Arial"/>
          <w:sz w:val="18"/>
          <w:szCs w:val="18"/>
          <w:color w:val="auto"/>
        </w:rPr>
      </w:pPr>
    </w:p>
    <w:p>
      <w:pPr>
        <w:ind w:right="280" w:firstLine="444"/>
        <w:spacing w:after="0" w:line="277" w:lineRule="auto"/>
        <w:tabs>
          <w:tab w:leader="none" w:pos="81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“Option” means a right to purchase Stock (or, if the Committee so provides in an applicable Agreement, Restricted Stock), including both Non-Qualified Stock Options and Incentive Stock Options granted under Section 7 hereof.</w:t>
      </w:r>
    </w:p>
    <w:p>
      <w:pPr>
        <w:spacing w:after="0" w:line="170" w:lineRule="exact"/>
        <w:rPr>
          <w:rFonts w:ascii="Arial" w:cs="Arial" w:eastAsia="Arial" w:hAnsi="Arial"/>
          <w:sz w:val="18"/>
          <w:szCs w:val="18"/>
          <w:color w:val="auto"/>
        </w:rPr>
      </w:pPr>
    </w:p>
    <w:p>
      <w:pPr>
        <w:ind w:right="640" w:firstLine="444"/>
        <w:spacing w:after="0" w:line="277" w:lineRule="auto"/>
        <w:tabs>
          <w:tab w:leader="none" w:pos="79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“Other Award” means an Award of Stock, an Award based on Stock other than Options, Stock Appreciation Rights, Restricted Stock, Restricted Stock Units or Performance Shares, or a cash-based Award granted under Section 11 hereof.</w:t>
      </w:r>
    </w:p>
    <w:p>
      <w:pPr>
        <w:spacing w:after="0" w:line="170" w:lineRule="exact"/>
        <w:rPr>
          <w:rFonts w:ascii="Arial" w:cs="Arial" w:eastAsia="Arial" w:hAnsi="Arial"/>
          <w:sz w:val="18"/>
          <w:szCs w:val="18"/>
          <w:color w:val="auto"/>
        </w:rPr>
      </w:pPr>
    </w:p>
    <w:p>
      <w:pPr>
        <w:ind w:left="840" w:hanging="396"/>
        <w:spacing w:after="0"/>
        <w:tabs>
          <w:tab w:leader="none" w:pos="8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“Parent” means a “parent,” within the meaning of Rule 405 under the Securities Act, or any successor provision.</w:t>
      </w:r>
    </w:p>
    <w:p>
      <w:pPr>
        <w:spacing w:after="0" w:line="225" w:lineRule="exact"/>
        <w:rPr>
          <w:rFonts w:ascii="Arial" w:cs="Arial" w:eastAsia="Arial" w:hAnsi="Arial"/>
          <w:sz w:val="18"/>
          <w:szCs w:val="18"/>
          <w:color w:val="auto"/>
        </w:rPr>
      </w:pPr>
    </w:p>
    <w:p>
      <w:pPr>
        <w:ind w:right="60" w:firstLine="444"/>
        <w:spacing w:after="0" w:line="277" w:lineRule="auto"/>
        <w:tabs>
          <w:tab w:leader="none" w:pos="83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“Participant” means an Associate to whom an Award is granted pursuant to the Plan or, if applicable, such other person who validly holds an outstanding Award.</w:t>
      </w:r>
    </w:p>
    <w:p>
      <w:pPr>
        <w:spacing w:after="0" w:line="170" w:lineRule="exact"/>
        <w:rPr>
          <w:rFonts w:ascii="Arial" w:cs="Arial" w:eastAsia="Arial" w:hAnsi="Arial"/>
          <w:sz w:val="18"/>
          <w:szCs w:val="18"/>
          <w:color w:val="auto"/>
        </w:rPr>
      </w:pPr>
    </w:p>
    <w:p>
      <w:pPr>
        <w:ind w:left="880" w:hanging="436"/>
        <w:spacing w:after="0"/>
        <w:tabs>
          <w:tab w:leader="none" w:pos="8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“Performance Criteria” means performance goals relating to certain criteria as further described in Section 9 hereof.</w:t>
      </w:r>
    </w:p>
    <w:p>
      <w:pPr>
        <w:spacing w:after="0" w:line="225" w:lineRule="exact"/>
        <w:rPr>
          <w:rFonts w:ascii="Arial" w:cs="Arial" w:eastAsia="Arial" w:hAnsi="Arial"/>
          <w:sz w:val="18"/>
          <w:szCs w:val="18"/>
          <w:color w:val="auto"/>
        </w:rPr>
      </w:pPr>
    </w:p>
    <w:p>
      <w:pPr>
        <w:ind w:right="380" w:firstLine="444"/>
        <w:spacing w:after="0" w:line="342" w:lineRule="auto"/>
        <w:tabs>
          <w:tab w:leader="none" w:pos="831" w:val="left"/>
        </w:tabs>
        <w:numPr>
          <w:ilvl w:val="0"/>
          <w:numId w:val="231"/>
        </w:numPr>
        <w:rPr>
          <w:rFonts w:ascii="Arial" w:cs="Arial" w:eastAsia="Arial" w:hAnsi="Arial"/>
          <w:sz w:val="16"/>
          <w:szCs w:val="16"/>
          <w:color w:val="auto"/>
        </w:rPr>
      </w:pPr>
      <w:r>
        <w:rPr>
          <w:rFonts w:ascii="Arial" w:cs="Arial" w:eastAsia="Arial" w:hAnsi="Arial"/>
          <w:sz w:val="16"/>
          <w:szCs w:val="16"/>
          <w:color w:val="auto"/>
        </w:rPr>
        <w:t>“Performance Period” means one or more periods of time, as the Committee may select, over which the attainment of one or more performance goals (including Performance Criteria) will be measured for the purpose of determining which Awards, if any, are to vest or be earned.</w:t>
      </w:r>
    </w:p>
    <w:p>
      <w:pPr>
        <w:spacing w:after="0" w:line="123" w:lineRule="exact"/>
        <w:rPr>
          <w:rFonts w:ascii="Arial" w:cs="Arial" w:eastAsia="Arial" w:hAnsi="Arial"/>
          <w:sz w:val="16"/>
          <w:szCs w:val="16"/>
          <w:color w:val="auto"/>
        </w:rPr>
      </w:pPr>
    </w:p>
    <w:p>
      <w:pPr>
        <w:jc w:val="both"/>
        <w:ind w:right="60" w:firstLine="444"/>
        <w:spacing w:after="0" w:line="259" w:lineRule="auto"/>
        <w:tabs>
          <w:tab w:leader="none" w:pos="83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“Performance Shares” means a contingent award of a specified number of Performance Shares or Units granted under Section 9 hereof, with each Performance Share equivalent to one or more Shares or a fractional Share or a Unit expressed in terms of one or more Shares or a fractional Share, as specified in the applicable Agreement, a variable percentage of which may vest or be earned depending upon the extent of achievement of specified performance objectives during the applicable Performance Period.</w:t>
      </w:r>
    </w:p>
    <w:p>
      <w:pPr>
        <w:spacing w:after="0" w:line="186" w:lineRule="exact"/>
        <w:rPr>
          <w:rFonts w:ascii="Arial" w:cs="Arial" w:eastAsia="Arial" w:hAnsi="Arial"/>
          <w:sz w:val="18"/>
          <w:szCs w:val="18"/>
          <w:color w:val="auto"/>
        </w:rPr>
      </w:pPr>
    </w:p>
    <w:p>
      <w:pPr>
        <w:ind w:left="820" w:hanging="376"/>
        <w:spacing w:after="0"/>
        <w:tabs>
          <w:tab w:leader="none" w:pos="8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“Plan” means this 2019 Long-Term Incentive Plan, as amended and in effect from time to time.</w:t>
      </w:r>
    </w:p>
    <w:p>
      <w:pPr>
        <w:spacing w:after="0" w:line="225" w:lineRule="exact"/>
        <w:rPr>
          <w:sz w:val="20"/>
          <w:szCs w:val="20"/>
          <w:color w:val="auto"/>
        </w:rPr>
      </w:pPr>
    </w:p>
    <w:p>
      <w:pPr>
        <w:ind w:left="900" w:hanging="456"/>
        <w:spacing w:after="0"/>
        <w:tabs>
          <w:tab w:leader="none" w:pos="90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“Restricted Stock” means Stock granted under Section 10 hereof so long as such Stock remains subject to one or more restrictions.</w:t>
      </w:r>
    </w:p>
    <w:p>
      <w:pPr>
        <w:spacing w:after="0" w:line="236" w:lineRule="exact"/>
        <w:rPr>
          <w:rFonts w:ascii="Arial" w:cs="Arial" w:eastAsia="Arial" w:hAnsi="Arial"/>
          <w:sz w:val="17"/>
          <w:szCs w:val="17"/>
          <w:color w:val="auto"/>
        </w:rPr>
      </w:pPr>
    </w:p>
    <w:p>
      <w:pPr>
        <w:ind w:left="920" w:hanging="476"/>
        <w:spacing w:after="0"/>
        <w:tabs>
          <w:tab w:leader="none" w:pos="9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“Restricted Stock Units” means Units of Stock granted under Section 10 hereof.</w:t>
      </w:r>
    </w:p>
    <w:p>
      <w:pPr>
        <w:spacing w:after="0" w:line="225" w:lineRule="exact"/>
        <w:rPr>
          <w:rFonts w:ascii="Arial" w:cs="Arial" w:eastAsia="Arial" w:hAnsi="Arial"/>
          <w:sz w:val="18"/>
          <w:szCs w:val="18"/>
          <w:color w:val="auto"/>
        </w:rPr>
      </w:pPr>
    </w:p>
    <w:p>
      <w:pPr>
        <w:ind w:left="900" w:hanging="456"/>
        <w:spacing w:after="0"/>
        <w:tabs>
          <w:tab w:leader="none" w:pos="9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“Securities Act” means the Securities Act of 1933, as amended.</w:t>
      </w:r>
    </w:p>
    <w:p>
      <w:pPr>
        <w:spacing w:after="0" w:line="225" w:lineRule="exact"/>
        <w:rPr>
          <w:rFonts w:ascii="Arial" w:cs="Arial" w:eastAsia="Arial" w:hAnsi="Arial"/>
          <w:sz w:val="18"/>
          <w:szCs w:val="18"/>
          <w:color w:val="auto"/>
        </w:rPr>
      </w:pPr>
    </w:p>
    <w:p>
      <w:pPr>
        <w:ind w:left="920" w:hanging="476"/>
        <w:spacing w:after="0"/>
        <w:tabs>
          <w:tab w:leader="none" w:pos="9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“Share” means a share of Stock.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325" w:name="page326"/>
    <w:bookmarkEnd w:id="325"/>
    <w:p>
      <w:pPr>
        <w:ind w:right="140" w:firstLine="444"/>
        <w:spacing w:after="0" w:line="342" w:lineRule="auto"/>
        <w:tabs>
          <w:tab w:leader="none" w:pos="900" w:val="left"/>
        </w:tabs>
        <w:numPr>
          <w:ilvl w:val="0"/>
          <w:numId w:val="2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means the Company’s Class A common stock, $0.01 par value per share (as such par value may be adjusted from time to time), or any securities issued in respect thereof by the Company or any successor to the Company as a result of an event described in Section 12(f).</w:t>
      </w:r>
    </w:p>
    <w:p>
      <w:pPr>
        <w:spacing w:after="0" w:line="123" w:lineRule="exact"/>
        <w:rPr>
          <w:rFonts w:ascii="Arial" w:cs="Arial" w:eastAsia="Arial" w:hAnsi="Arial"/>
          <w:sz w:val="16"/>
          <w:szCs w:val="16"/>
          <w:color w:val="auto"/>
        </w:rPr>
      </w:pPr>
    </w:p>
    <w:p>
      <w:pPr>
        <w:ind w:right="80" w:firstLine="444"/>
        <w:spacing w:after="0" w:line="277" w:lineRule="auto"/>
        <w:tabs>
          <w:tab w:leader="none" w:pos="85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“Stock Appreciation Right” means a right, the value of which is determined relative to appreciation in value of Shares pursuant to an Award granted under Section 8 hereof.</w:t>
      </w:r>
    </w:p>
    <w:p>
      <w:pPr>
        <w:spacing w:after="0" w:line="170" w:lineRule="exact"/>
        <w:rPr>
          <w:rFonts w:ascii="Arial" w:cs="Arial" w:eastAsia="Arial" w:hAnsi="Arial"/>
          <w:sz w:val="18"/>
          <w:szCs w:val="18"/>
          <w:color w:val="auto"/>
        </w:rPr>
      </w:pPr>
    </w:p>
    <w:p>
      <w:pPr>
        <w:ind w:left="920" w:hanging="476"/>
        <w:spacing w:after="0"/>
        <w:tabs>
          <w:tab w:leader="none" w:pos="9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“Subsidiary” means a “subsidiary,” within the meaning of Rule 405 under the Securities Act, or any successor provision.</w:t>
      </w:r>
    </w:p>
    <w:p>
      <w:pPr>
        <w:spacing w:after="0" w:line="225" w:lineRule="exact"/>
        <w:rPr>
          <w:rFonts w:ascii="Arial" w:cs="Arial" w:eastAsia="Arial" w:hAnsi="Arial"/>
          <w:sz w:val="18"/>
          <w:szCs w:val="18"/>
          <w:color w:val="auto"/>
        </w:rPr>
      </w:pPr>
    </w:p>
    <w:p>
      <w:pPr>
        <w:ind w:right="120" w:firstLine="444"/>
        <w:spacing w:after="0" w:line="302" w:lineRule="auto"/>
        <w:tabs>
          <w:tab w:leader="none" w:pos="921" w:val="left"/>
        </w:tabs>
        <w:numPr>
          <w:ilvl w:val="0"/>
          <w:numId w:val="233"/>
        </w:numPr>
        <w:rPr>
          <w:rFonts w:ascii="Arial" w:cs="Arial" w:eastAsia="Arial" w:hAnsi="Arial"/>
          <w:sz w:val="16"/>
          <w:szCs w:val="16"/>
          <w:color w:val="auto"/>
        </w:rPr>
      </w:pPr>
      <w:r>
        <w:rPr>
          <w:rFonts w:ascii="Arial" w:cs="Arial" w:eastAsia="Arial" w:hAnsi="Arial"/>
          <w:sz w:val="16"/>
          <w:szCs w:val="16"/>
          <w:color w:val="auto"/>
        </w:rPr>
        <w:t>“Successor” with respect to a Participant means, except as otherwise provided in an Agreement, the legal representative of an incompetent Participant and, if the Participant is deceased, the legal representative of the estate of the Participant or the person or persons who may, by bequest or inheritance, or under the terms of an Award or forms submitted by the Participant to the Committee under Section 12(h) hereof, acquire the right to exercise an Option or Stock Appreciation Right or receive cash and/or Shares issuable in satisfaction of an Award in the event of a Participant’s death.</w:t>
      </w:r>
    </w:p>
    <w:p>
      <w:pPr>
        <w:spacing w:after="0" w:line="154" w:lineRule="exact"/>
        <w:rPr>
          <w:rFonts w:ascii="Arial" w:cs="Arial" w:eastAsia="Arial" w:hAnsi="Arial"/>
          <w:sz w:val="16"/>
          <w:szCs w:val="16"/>
          <w:color w:val="auto"/>
        </w:rPr>
      </w:pPr>
    </w:p>
    <w:p>
      <w:pPr>
        <w:ind w:right="160" w:firstLine="444"/>
        <w:spacing w:after="0" w:line="277" w:lineRule="auto"/>
        <w:tabs>
          <w:tab w:leader="none" w:pos="841"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“Term” means the period during which an Option or Stock Appreciation Right may be exercised or the period during which the restrictions placed on Restricted Stock or any other Award are in effect.</w:t>
      </w:r>
    </w:p>
    <w:p>
      <w:pPr>
        <w:spacing w:after="0" w:line="170" w:lineRule="exact"/>
        <w:rPr>
          <w:rFonts w:ascii="Arial" w:cs="Arial" w:eastAsia="Arial" w:hAnsi="Arial"/>
          <w:sz w:val="18"/>
          <w:szCs w:val="18"/>
          <w:color w:val="auto"/>
        </w:rPr>
      </w:pPr>
    </w:p>
    <w:p>
      <w:pPr>
        <w:ind w:firstLine="444"/>
        <w:spacing w:after="0" w:line="312" w:lineRule="auto"/>
        <w:tabs>
          <w:tab w:leader="none" w:pos="841" w:val="left"/>
        </w:tabs>
        <w:numPr>
          <w:ilvl w:val="0"/>
          <w:numId w:val="233"/>
        </w:numPr>
        <w:rPr>
          <w:rFonts w:ascii="Arial" w:cs="Arial" w:eastAsia="Arial" w:hAnsi="Arial"/>
          <w:sz w:val="16"/>
          <w:szCs w:val="16"/>
          <w:color w:val="auto"/>
        </w:rPr>
      </w:pPr>
      <w:r>
        <w:rPr>
          <w:rFonts w:ascii="Arial" w:cs="Arial" w:eastAsia="Arial" w:hAnsi="Arial"/>
          <w:sz w:val="16"/>
          <w:szCs w:val="16"/>
          <w:color w:val="auto"/>
        </w:rPr>
        <w:t>“Unit” means a bookkeeping entry that may be used by the Company to record and account for the grant of Stock, Units of Stock, Stock Appreciation Rights and Performance Shares expressed in terms of Units of Stock until such time as the Award is paid, canceled, forfeited or terminated. No Shares will be issued at the time of grant, and the Company will not be required to set aside a fund for the payment of any such Award.</w:t>
      </w:r>
    </w:p>
    <w:p>
      <w:pPr>
        <w:spacing w:after="0" w:line="147"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Except when otherwise indicated by the context, reference to the masculine gender shall include, when used, the feminine gender and any term used in the singular shall also include the plural.</w:t>
      </w:r>
    </w:p>
    <w:p>
      <w:pPr>
        <w:spacing w:after="0" w:line="315" w:lineRule="exact"/>
        <w:rPr>
          <w:sz w:val="20"/>
          <w:szCs w:val="20"/>
          <w:color w:val="auto"/>
        </w:rPr>
      </w:pPr>
    </w:p>
    <w:p>
      <w:pPr>
        <w:ind w:left="440" w:hanging="436"/>
        <w:spacing w:after="0"/>
        <w:tabs>
          <w:tab w:leader="none" w:pos="44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121" w:lineRule="exact"/>
        <w:rPr>
          <w:rFonts w:ascii="Arial" w:cs="Arial" w:eastAsia="Arial" w:hAnsi="Arial"/>
          <w:sz w:val="18"/>
          <w:szCs w:val="18"/>
          <w:b w:val="1"/>
          <w:bCs w:val="1"/>
          <w:color w:val="auto"/>
        </w:rPr>
      </w:pPr>
    </w:p>
    <w:p>
      <w:pPr>
        <w:ind w:right="20" w:firstLine="444"/>
        <w:spacing w:after="0" w:line="286" w:lineRule="auto"/>
        <w:tabs>
          <w:tab w:leader="none" w:pos="820" w:val="left"/>
        </w:tabs>
        <w:numPr>
          <w:ilvl w:val="1"/>
          <w:numId w:val="234"/>
        </w:numPr>
        <w:rPr>
          <w:rFonts w:ascii="Arial" w:cs="Arial" w:eastAsia="Arial" w:hAnsi="Arial"/>
          <w:sz w:val="17"/>
          <w:szCs w:val="17"/>
          <w:color w:val="auto"/>
        </w:rPr>
      </w:pPr>
      <w:r>
        <w:rPr>
          <w:rFonts w:ascii="Arial" w:cs="Arial" w:eastAsia="Arial" w:hAnsi="Arial"/>
          <w:sz w:val="17"/>
          <w:szCs w:val="17"/>
          <w:u w:val="single" w:color="auto"/>
          <w:color w:val="auto"/>
        </w:rPr>
        <w:t>Authority of Committee</w:t>
      </w:r>
      <w:r>
        <w:rPr>
          <w:rFonts w:ascii="Arial" w:cs="Arial" w:eastAsia="Arial" w:hAnsi="Arial"/>
          <w:sz w:val="17"/>
          <w:szCs w:val="17"/>
          <w:color w:val="auto"/>
        </w:rPr>
        <w:t>. The Committee shall administer this Plan or delegate its authority to do so as provided herein or, in the Board’s sole discretion or in the absence of the Committee, the Board shall administer this Plan. Subject to the terms of the Plan, the Committee’s charter and applicable laws, and in addition to other express powers and authorization conferred by the Plan, the Committee shall have the authority:</w:t>
      </w:r>
    </w:p>
    <w:p>
      <w:pPr>
        <w:spacing w:after="0" w:line="165" w:lineRule="exact"/>
        <w:rPr>
          <w:rFonts w:ascii="Arial" w:cs="Arial" w:eastAsia="Arial" w:hAnsi="Arial"/>
          <w:sz w:val="17"/>
          <w:szCs w:val="17"/>
          <w:color w:val="auto"/>
        </w:rPr>
      </w:pPr>
    </w:p>
    <w:p>
      <w:pPr>
        <w:ind w:left="1340" w:hanging="344"/>
        <w:spacing w:after="0"/>
        <w:tabs>
          <w:tab w:leader="none" w:pos="1340" w:val="left"/>
        </w:tabs>
        <w:numPr>
          <w:ilvl w:val="2"/>
          <w:numId w:val="234"/>
        </w:numPr>
        <w:rPr>
          <w:rFonts w:ascii="Arial" w:cs="Arial" w:eastAsia="Arial" w:hAnsi="Arial"/>
          <w:sz w:val="18"/>
          <w:szCs w:val="18"/>
          <w:color w:val="auto"/>
        </w:rPr>
      </w:pPr>
      <w:r>
        <w:rPr>
          <w:rFonts w:ascii="Arial" w:cs="Arial" w:eastAsia="Arial" w:hAnsi="Arial"/>
          <w:sz w:val="18"/>
          <w:szCs w:val="18"/>
          <w:color w:val="auto"/>
        </w:rPr>
        <w:t>to construe and interpret the Plan and apply its provisions;</w:t>
      </w:r>
    </w:p>
    <w:p>
      <w:pPr>
        <w:spacing w:after="0" w:line="225" w:lineRule="exact"/>
        <w:rPr>
          <w:rFonts w:ascii="Arial" w:cs="Arial" w:eastAsia="Arial" w:hAnsi="Arial"/>
          <w:sz w:val="18"/>
          <w:szCs w:val="18"/>
          <w:color w:val="auto"/>
        </w:rPr>
      </w:pPr>
    </w:p>
    <w:p>
      <w:pPr>
        <w:ind w:left="1400" w:hanging="404"/>
        <w:spacing w:after="0"/>
        <w:tabs>
          <w:tab w:leader="none" w:pos="1400" w:val="left"/>
        </w:tabs>
        <w:numPr>
          <w:ilvl w:val="2"/>
          <w:numId w:val="234"/>
        </w:numPr>
        <w:rPr>
          <w:rFonts w:ascii="Arial" w:cs="Arial" w:eastAsia="Arial" w:hAnsi="Arial"/>
          <w:sz w:val="18"/>
          <w:szCs w:val="18"/>
          <w:color w:val="auto"/>
        </w:rPr>
      </w:pPr>
      <w:r>
        <w:rPr>
          <w:rFonts w:ascii="Arial" w:cs="Arial" w:eastAsia="Arial" w:hAnsi="Arial"/>
          <w:sz w:val="18"/>
          <w:szCs w:val="18"/>
          <w:color w:val="auto"/>
        </w:rPr>
        <w:t>to promulgate, amend and rescind rules and regulations relating to the administration of the Plan;</w:t>
      </w:r>
    </w:p>
    <w:p>
      <w:pPr>
        <w:spacing w:after="0" w:line="225" w:lineRule="exact"/>
        <w:rPr>
          <w:rFonts w:ascii="Arial" w:cs="Arial" w:eastAsia="Arial" w:hAnsi="Arial"/>
          <w:sz w:val="18"/>
          <w:szCs w:val="18"/>
          <w:color w:val="auto"/>
        </w:rPr>
      </w:pPr>
    </w:p>
    <w:p>
      <w:pPr>
        <w:ind w:left="1440" w:hanging="444"/>
        <w:spacing w:after="0"/>
        <w:tabs>
          <w:tab w:leader="none" w:pos="1440" w:val="left"/>
        </w:tabs>
        <w:numPr>
          <w:ilvl w:val="2"/>
          <w:numId w:val="234"/>
        </w:numPr>
        <w:rPr>
          <w:rFonts w:ascii="Arial" w:cs="Arial" w:eastAsia="Arial" w:hAnsi="Arial"/>
          <w:sz w:val="17"/>
          <w:szCs w:val="17"/>
          <w:color w:val="auto"/>
        </w:rPr>
      </w:pPr>
      <w:r>
        <w:rPr>
          <w:rFonts w:ascii="Arial" w:cs="Arial" w:eastAsia="Arial" w:hAnsi="Arial"/>
          <w:sz w:val="17"/>
          <w:szCs w:val="17"/>
          <w:color w:val="auto"/>
        </w:rPr>
        <w:t>to authorize any person to execute, on behalf of the Company, any instrument required to carry out the purposes of the Plan;</w:t>
      </w:r>
    </w:p>
    <w:p>
      <w:pPr>
        <w:spacing w:after="0" w:line="236" w:lineRule="exact"/>
        <w:rPr>
          <w:rFonts w:ascii="Arial" w:cs="Arial" w:eastAsia="Arial" w:hAnsi="Arial"/>
          <w:sz w:val="17"/>
          <w:szCs w:val="17"/>
          <w:color w:val="auto"/>
        </w:rPr>
      </w:pPr>
    </w:p>
    <w:p>
      <w:pPr>
        <w:ind w:left="1440" w:hanging="444"/>
        <w:spacing w:after="0"/>
        <w:tabs>
          <w:tab w:leader="none" w:pos="1440" w:val="left"/>
        </w:tabs>
        <w:numPr>
          <w:ilvl w:val="2"/>
          <w:numId w:val="234"/>
        </w:numPr>
        <w:rPr>
          <w:rFonts w:ascii="Arial" w:cs="Arial" w:eastAsia="Arial" w:hAnsi="Arial"/>
          <w:sz w:val="18"/>
          <w:szCs w:val="18"/>
          <w:color w:val="auto"/>
        </w:rPr>
      </w:pPr>
      <w:r>
        <w:rPr>
          <w:rFonts w:ascii="Arial" w:cs="Arial" w:eastAsia="Arial" w:hAnsi="Arial"/>
          <w:sz w:val="18"/>
          <w:szCs w:val="18"/>
          <w:color w:val="auto"/>
        </w:rPr>
        <w:t>to determine when Awards are to be granted under the Plan and the applicable grant date;</w:t>
      </w:r>
    </w:p>
    <w:p>
      <w:pPr>
        <w:spacing w:after="0" w:line="225" w:lineRule="exact"/>
        <w:rPr>
          <w:rFonts w:ascii="Arial" w:cs="Arial" w:eastAsia="Arial" w:hAnsi="Arial"/>
          <w:sz w:val="18"/>
          <w:szCs w:val="18"/>
          <w:color w:val="auto"/>
        </w:rPr>
      </w:pPr>
    </w:p>
    <w:p>
      <w:pPr>
        <w:ind w:left="1380" w:hanging="384"/>
        <w:spacing w:after="0"/>
        <w:tabs>
          <w:tab w:leader="none" w:pos="1380" w:val="left"/>
        </w:tabs>
        <w:numPr>
          <w:ilvl w:val="2"/>
          <w:numId w:val="234"/>
        </w:numPr>
        <w:rPr>
          <w:rFonts w:ascii="Arial" w:cs="Arial" w:eastAsia="Arial" w:hAnsi="Arial"/>
          <w:sz w:val="17"/>
          <w:szCs w:val="17"/>
          <w:color w:val="auto"/>
        </w:rPr>
      </w:pPr>
      <w:r>
        <w:rPr>
          <w:rFonts w:ascii="Arial" w:cs="Arial" w:eastAsia="Arial" w:hAnsi="Arial"/>
          <w:sz w:val="17"/>
          <w:szCs w:val="17"/>
          <w:color w:val="auto"/>
        </w:rPr>
        <w:t>from time to time to select, subject to the limitations set forth in this Plan, those Participants to whom Awards shall be granted;</w:t>
      </w:r>
    </w:p>
    <w:p>
      <w:pPr>
        <w:spacing w:after="0" w:line="236" w:lineRule="exact"/>
        <w:rPr>
          <w:rFonts w:ascii="Arial" w:cs="Arial" w:eastAsia="Arial" w:hAnsi="Arial"/>
          <w:sz w:val="17"/>
          <w:szCs w:val="17"/>
          <w:color w:val="auto"/>
        </w:rPr>
      </w:pPr>
    </w:p>
    <w:p>
      <w:pPr>
        <w:ind w:left="1440" w:hanging="444"/>
        <w:spacing w:after="0"/>
        <w:tabs>
          <w:tab w:leader="none" w:pos="1440" w:val="left"/>
        </w:tabs>
        <w:numPr>
          <w:ilvl w:val="2"/>
          <w:numId w:val="234"/>
        </w:numPr>
        <w:rPr>
          <w:rFonts w:ascii="Arial" w:cs="Arial" w:eastAsia="Arial" w:hAnsi="Arial"/>
          <w:sz w:val="16"/>
          <w:szCs w:val="16"/>
          <w:color w:val="auto"/>
        </w:rPr>
      </w:pPr>
      <w:r>
        <w:rPr>
          <w:rFonts w:ascii="Arial" w:cs="Arial" w:eastAsia="Arial" w:hAnsi="Arial"/>
          <w:sz w:val="16"/>
          <w:szCs w:val="16"/>
          <w:color w:val="auto"/>
        </w:rPr>
        <w:t>to determine the number of Shares or the amount of cash to be made subject to each Award, subject to the limitations set forth in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326" w:name="page327"/>
    <w:bookmarkEnd w:id="326"/>
    <w:p>
      <w:pPr>
        <w:ind w:left="1480" w:hanging="484"/>
        <w:spacing w:after="0"/>
        <w:tabs>
          <w:tab w:leader="none" w:pos="14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determine whether each Option is to be an Incentive Stock Option or a Non-Qualified Stock Option;</w:t>
      </w:r>
    </w:p>
    <w:p>
      <w:pPr>
        <w:spacing w:after="0" w:line="225" w:lineRule="exact"/>
        <w:rPr>
          <w:rFonts w:ascii="Arial" w:cs="Arial" w:eastAsia="Arial" w:hAnsi="Arial"/>
          <w:sz w:val="18"/>
          <w:szCs w:val="18"/>
          <w:color w:val="auto"/>
        </w:rPr>
      </w:pPr>
    </w:p>
    <w:p>
      <w:pPr>
        <w:ind w:right="120" w:firstLine="996"/>
        <w:spacing w:after="0" w:line="277" w:lineRule="auto"/>
        <w:tabs>
          <w:tab w:leader="none" w:pos="153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prescribe the terms and conditions of each Award, including, without limitation, the exercise price and medium of payment and vesting provisions, and to specify the provisions of the Agreement relating to such grant;</w:t>
      </w:r>
    </w:p>
    <w:p>
      <w:pPr>
        <w:spacing w:after="0" w:line="170" w:lineRule="exact"/>
        <w:rPr>
          <w:rFonts w:ascii="Arial" w:cs="Arial" w:eastAsia="Arial" w:hAnsi="Arial"/>
          <w:sz w:val="18"/>
          <w:szCs w:val="18"/>
          <w:color w:val="auto"/>
        </w:rPr>
      </w:pPr>
    </w:p>
    <w:p>
      <w:pPr>
        <w:ind w:right="140" w:firstLine="996"/>
        <w:spacing w:after="0" w:line="264" w:lineRule="auto"/>
        <w:tabs>
          <w:tab w:leader="none" w:pos="143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determine the target number of Performance Shares to be granted pursuant to an Award of Performance Shares, the performance measures that will be used to establish the performance goals (including Performance Criteria), the performance period(s) and the number of Performance Shares earned by a Participant;</w:t>
      </w:r>
    </w:p>
    <w:p>
      <w:pPr>
        <w:spacing w:after="0" w:line="181" w:lineRule="exact"/>
        <w:rPr>
          <w:rFonts w:ascii="Arial" w:cs="Arial" w:eastAsia="Arial" w:hAnsi="Arial"/>
          <w:sz w:val="18"/>
          <w:szCs w:val="18"/>
          <w:color w:val="auto"/>
        </w:rPr>
      </w:pPr>
    </w:p>
    <w:p>
      <w:pPr>
        <w:ind w:right="20" w:firstLine="996"/>
        <w:spacing w:after="0" w:line="277" w:lineRule="auto"/>
        <w:tabs>
          <w:tab w:leader="none" w:pos="138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designate an Award (including a cash bonus) as a performance compensation Award and to select the performance criteria that will be used to establish the performance goals (including Performance Criteria);</w:t>
      </w:r>
    </w:p>
    <w:p>
      <w:pPr>
        <w:spacing w:after="0" w:line="170" w:lineRule="exact"/>
        <w:rPr>
          <w:rFonts w:ascii="Arial" w:cs="Arial" w:eastAsia="Arial" w:hAnsi="Arial"/>
          <w:sz w:val="18"/>
          <w:szCs w:val="18"/>
          <w:color w:val="auto"/>
        </w:rPr>
      </w:pPr>
    </w:p>
    <w:p>
      <w:pPr>
        <w:ind w:right="40" w:firstLine="996"/>
        <w:spacing w:after="0" w:line="308" w:lineRule="auto"/>
        <w:tabs>
          <w:tab w:leader="none" w:pos="1432"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to amend any outstanding Awards; provided, however, that if the Committee deems any such amendment to be materially adverse to a Participant, such amendment shall also be subject to the Participant’s consent, unless such amendment is required by law;</w:t>
      </w:r>
    </w:p>
    <w:p>
      <w:pPr>
        <w:spacing w:after="0" w:line="146" w:lineRule="exact"/>
        <w:rPr>
          <w:rFonts w:ascii="Arial" w:cs="Arial" w:eastAsia="Arial" w:hAnsi="Arial"/>
          <w:sz w:val="17"/>
          <w:szCs w:val="17"/>
          <w:color w:val="auto"/>
        </w:rPr>
      </w:pPr>
    </w:p>
    <w:p>
      <w:pPr>
        <w:ind w:right="360" w:firstLine="996"/>
        <w:spacing w:after="0" w:line="277" w:lineRule="auto"/>
        <w:tabs>
          <w:tab w:leader="none" w:pos="148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determine whether, to what extent and under what circumstances Awards may be settled, paid or exercised in cash, Shares or other Awards or other property, or canceled, forfeited or suspended;</w:t>
      </w:r>
    </w:p>
    <w:p>
      <w:pPr>
        <w:spacing w:after="0" w:line="170" w:lineRule="exact"/>
        <w:rPr>
          <w:rFonts w:ascii="Arial" w:cs="Arial" w:eastAsia="Arial" w:hAnsi="Arial"/>
          <w:sz w:val="18"/>
          <w:szCs w:val="18"/>
          <w:color w:val="auto"/>
        </w:rPr>
      </w:pPr>
    </w:p>
    <w:p>
      <w:pPr>
        <w:ind w:right="780" w:firstLine="996"/>
        <w:spacing w:after="0" w:line="277" w:lineRule="auto"/>
        <w:tabs>
          <w:tab w:leader="none" w:pos="153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determine the duration and purpose of leaves and absences which may be granted to a Participant without constituting termination of employment for purposes of the Plan;</w:t>
      </w:r>
    </w:p>
    <w:p>
      <w:pPr>
        <w:spacing w:after="0" w:line="170" w:lineRule="exact"/>
        <w:rPr>
          <w:rFonts w:ascii="Arial" w:cs="Arial" w:eastAsia="Arial" w:hAnsi="Arial"/>
          <w:sz w:val="18"/>
          <w:szCs w:val="18"/>
          <w:color w:val="auto"/>
        </w:rPr>
      </w:pPr>
    </w:p>
    <w:p>
      <w:pPr>
        <w:ind w:right="200" w:firstLine="996"/>
        <w:spacing w:after="0" w:line="277" w:lineRule="auto"/>
        <w:tabs>
          <w:tab w:leader="none" w:pos="152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make decisions with respect to outstanding Awards that may become necessary upon a change in corporate control or an event that triggers anti-dilution adjustments;</w:t>
      </w:r>
    </w:p>
    <w:p>
      <w:pPr>
        <w:spacing w:after="0" w:line="170" w:lineRule="exact"/>
        <w:rPr>
          <w:rFonts w:ascii="Arial" w:cs="Arial" w:eastAsia="Arial" w:hAnsi="Arial"/>
          <w:sz w:val="18"/>
          <w:szCs w:val="18"/>
          <w:color w:val="auto"/>
        </w:rPr>
      </w:pPr>
    </w:p>
    <w:p>
      <w:pPr>
        <w:ind w:right="440" w:firstLine="996"/>
        <w:spacing w:after="0" w:line="277" w:lineRule="auto"/>
        <w:tabs>
          <w:tab w:leader="none" w:pos="147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interpret, administer or reconcile any inconsistency in, correct any defect in and/or supply any omission in the Plan and any instrument or agreement relating to, or Award granted under, the Plan; and</w:t>
      </w:r>
    </w:p>
    <w:p>
      <w:pPr>
        <w:spacing w:after="0" w:line="170" w:lineRule="exact"/>
        <w:rPr>
          <w:rFonts w:ascii="Arial" w:cs="Arial" w:eastAsia="Arial" w:hAnsi="Arial"/>
          <w:sz w:val="18"/>
          <w:szCs w:val="18"/>
          <w:color w:val="auto"/>
        </w:rPr>
      </w:pPr>
    </w:p>
    <w:p>
      <w:pPr>
        <w:ind w:right="920" w:firstLine="996"/>
        <w:spacing w:after="0" w:line="277" w:lineRule="auto"/>
        <w:tabs>
          <w:tab w:leader="none" w:pos="152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exercise discretion to make any and all other determinations which it determines to be necessary or advisable for the administration of the Plan.</w:t>
      </w:r>
    </w:p>
    <w:p>
      <w:pPr>
        <w:spacing w:after="0" w:line="170" w:lineRule="exact"/>
        <w:rPr>
          <w:sz w:val="20"/>
          <w:szCs w:val="20"/>
          <w:color w:val="auto"/>
        </w:rPr>
      </w:pPr>
    </w:p>
    <w:p>
      <w:pPr>
        <w:ind w:right="220" w:firstLine="441"/>
        <w:spacing w:after="0" w:line="302" w:lineRule="auto"/>
        <w:rPr>
          <w:sz w:val="20"/>
          <w:szCs w:val="20"/>
          <w:color w:val="auto"/>
        </w:rPr>
      </w:pPr>
      <w:r>
        <w:rPr>
          <w:rFonts w:ascii="Arial" w:cs="Arial" w:eastAsia="Arial" w:hAnsi="Arial"/>
          <w:sz w:val="16"/>
          <w:szCs w:val="16"/>
          <w:color w:val="auto"/>
        </w:rPr>
        <w:t>Notwithstanding the foregoing, in administering this Plan with respect to Awards for Non-Employee Directors, the Board shall exercise the powers of the Committee. To the extent the Committee determines that the restrictions imposed by this Plan preclude the achievement of material purposes of the Awards in jurisdictions outside of the United States, the Committee has the authority and discretion to modify those restrictions as the Committee determines to be necessary or appropriate to conform to applicable requirements or practices of jurisdictions outside of the United States.</w:t>
      </w:r>
    </w:p>
    <w:p>
      <w:pPr>
        <w:spacing w:after="0" w:line="154" w:lineRule="exact"/>
        <w:rPr>
          <w:sz w:val="20"/>
          <w:szCs w:val="20"/>
          <w:color w:val="auto"/>
        </w:rPr>
      </w:pPr>
    </w:p>
    <w:p>
      <w:pPr>
        <w:ind w:right="120" w:firstLine="441"/>
        <w:spacing w:after="0" w:line="276" w:lineRule="auto"/>
        <w:rPr>
          <w:sz w:val="20"/>
          <w:szCs w:val="20"/>
          <w:color w:val="auto"/>
        </w:rPr>
      </w:pPr>
      <w:r>
        <w:rPr>
          <w:rFonts w:ascii="Arial" w:cs="Arial" w:eastAsia="Arial" w:hAnsi="Arial"/>
          <w:sz w:val="17"/>
          <w:szCs w:val="17"/>
          <w:color w:val="auto"/>
        </w:rPr>
        <w:t>The Committee shall not have the right, without stockholder approval, to (i) reduce or decrease the purchase price for an outstanding Option or Stock Appreciation Right, (ii) cancel an outstanding Option or Stock Appreciation Right for the purpose of replacing or re-granting such Option or Stock Appreciation Right with a purchase price that is less than the original purchase price, (iii) extend the Term of an Option or Stock Appreciation Right or (iv) deliver stock, cash or other consideration in exchange for the cancellation of an Option or Stock Appreciation Right, the purchase price of which exceeds the Fair Market Value of the Shares underlying such Option or Stock Appreciation Right.</w:t>
      </w:r>
    </w:p>
    <w:p>
      <w:pPr>
        <w:spacing w:after="0" w:line="173"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All decisions made by the Committee pursuant to the provisions of the Plan shall be final and binding on the Company and the Participants, unless such decisions are determined by a court having jurisdiction to be arbitrary and capricious.</w:t>
      </w:r>
    </w:p>
    <w:p>
      <w:pPr>
        <w:spacing w:after="0" w:line="170" w:lineRule="exact"/>
        <w:rPr>
          <w:sz w:val="20"/>
          <w:szCs w:val="20"/>
          <w:color w:val="auto"/>
        </w:rPr>
      </w:pPr>
    </w:p>
    <w:p>
      <w:pPr>
        <w:ind w:right="20" w:firstLine="444"/>
        <w:spacing w:after="0" w:line="277" w:lineRule="auto"/>
        <w:tabs>
          <w:tab w:leader="none" w:pos="830"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Delegation</w:t>
      </w:r>
      <w:r>
        <w:rPr>
          <w:rFonts w:ascii="Arial" w:cs="Arial" w:eastAsia="Arial" w:hAnsi="Arial"/>
          <w:sz w:val="18"/>
          <w:szCs w:val="18"/>
          <w:color w:val="auto"/>
        </w:rPr>
        <w:t>. The Committee, or if no Committee has been appointed, the Board, may delegate all or any part of the administration of the Plan to one or more committees of one or more members of the Board, or to senior officers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27" w:name="page328"/>
    <w:bookmarkEnd w:id="32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Company, and may authorize further delegation by such committees to senior officers of the Company, in each case, to the extent permitted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Delaware law and subject to the Committee’s charter; provided that, determinations regarding the timing, pricing, amount and terms of any Award to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“reporting person” for purposes of Section 16 of the Exchange Act shall be made only by the Committee; and provided further that subject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3(e) no such delegation may be made that would cause Awards or other transactions under this Plan to cease to be exempt from Section 16(b)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Exchange Act or cause an Award intended to qualify for favorable treatment under the Code or any other applicable law not to qualify for, or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cease to qualify for, such favorable treatment. Any such delegation may be revoked by the Committee at any time. The term “Committee” shall apply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person or persons to whom such authority has been delegated. The Board may abolish, suspend or supersede the Committee at any time and revest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Board the administration of the Plan. The members of the Committee shall be appointed by and serve at the pleasure of the Board. From time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the Board may increase or decrease the size of the Committee, add additional members to, remove members (with or without cause) from, appoint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members in substitution therefor and fill vacancies, however caused, in the Committee. The Committee shall act pursuant to a vote of the majority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its members or, in the case of a Committee comprised of only two members, the unanimous consent of its members, whether present or not, or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written consent of the majority of its members, and minutes shall be kept of all of its meetings and copies thereof shall be provided to the Board. Subject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the limitations prescribed by the Plan and the Board, the Committee may establish and follow such rules and regulations for the conduct of 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business as it may determine to be advisable.</w:t>
      </w:r>
    </w:p>
    <w:p>
      <w:pPr>
        <w:spacing w:after="0" w:line="211" w:lineRule="exact"/>
        <w:rPr>
          <w:sz w:val="20"/>
          <w:szCs w:val="20"/>
          <w:color w:val="auto"/>
        </w:rPr>
      </w:pPr>
    </w:p>
    <w:p>
      <w:pPr>
        <w:ind w:right="140" w:firstLine="444"/>
        <w:spacing w:after="0" w:line="255" w:lineRule="auto"/>
        <w:tabs>
          <w:tab w:leader="none" w:pos="820" w:val="left"/>
        </w:tabs>
        <w:numPr>
          <w:ilvl w:val="1"/>
          <w:numId w:val="237"/>
        </w:numPr>
        <w:rPr>
          <w:rFonts w:ascii="Arial" w:cs="Arial" w:eastAsia="Arial" w:hAnsi="Arial"/>
          <w:sz w:val="18"/>
          <w:szCs w:val="18"/>
          <w:color w:val="auto"/>
        </w:rPr>
      </w:pPr>
      <w:r>
        <w:rPr>
          <w:rFonts w:ascii="Arial" w:cs="Arial" w:eastAsia="Arial" w:hAnsi="Arial"/>
          <w:sz w:val="18"/>
          <w:szCs w:val="18"/>
          <w:u w:val="single" w:color="auto"/>
          <w:color w:val="auto"/>
        </w:rPr>
        <w:t>Board Authority</w:t>
      </w:r>
      <w:r>
        <w:rPr>
          <w:rFonts w:ascii="Arial" w:cs="Arial" w:eastAsia="Arial" w:hAnsi="Arial"/>
          <w:sz w:val="18"/>
          <w:szCs w:val="18"/>
          <w:color w:val="auto"/>
        </w:rPr>
        <w:t>. Any authority granted to the Committee may also be exercised by the Board or another committee of the Board, except to the extent that the grant or exercise of such authority would cause any Award intended to qualify for favorable treatment under the Code or other applicable law to not qualify for, or cease to qualify for, such favorable treatment. To the extent that any permitted action taken by the Board conflicts with action taken by the Committee, the Board action shall control. Without limiting the generality of the foregoing, to the extent the Board has delegated any authority under this Plan to another committee of the Board, such authority shall not be exercised by the Committee unless expressly permitted by the Board in connection with such delegation.</w:t>
      </w:r>
    </w:p>
    <w:p>
      <w:pPr>
        <w:spacing w:after="0" w:line="193" w:lineRule="exact"/>
        <w:rPr>
          <w:rFonts w:ascii="Arial" w:cs="Arial" w:eastAsia="Arial" w:hAnsi="Arial"/>
          <w:sz w:val="18"/>
          <w:szCs w:val="18"/>
          <w:color w:val="auto"/>
        </w:rPr>
      </w:pPr>
    </w:p>
    <w:p>
      <w:pPr>
        <w:ind w:right="20" w:firstLine="444"/>
        <w:spacing w:after="0" w:line="276" w:lineRule="auto"/>
        <w:tabs>
          <w:tab w:leader="none" w:pos="830" w:val="left"/>
        </w:tabs>
        <w:numPr>
          <w:ilvl w:val="1"/>
          <w:numId w:val="237"/>
        </w:numPr>
        <w:rPr>
          <w:rFonts w:ascii="Arial" w:cs="Arial" w:eastAsia="Arial" w:hAnsi="Arial"/>
          <w:sz w:val="17"/>
          <w:szCs w:val="17"/>
          <w:color w:val="auto"/>
        </w:rPr>
      </w:pPr>
      <w:r>
        <w:rPr>
          <w:rFonts w:ascii="Arial" w:cs="Arial" w:eastAsia="Arial" w:hAnsi="Arial"/>
          <w:sz w:val="17"/>
          <w:szCs w:val="17"/>
          <w:u w:val="single" w:color="auto"/>
          <w:color w:val="auto"/>
        </w:rPr>
        <w:t>Awards for Non-Employee Directors</w:t>
      </w:r>
      <w:r>
        <w:rPr>
          <w:rFonts w:ascii="Arial" w:cs="Arial" w:eastAsia="Arial" w:hAnsi="Arial"/>
          <w:sz w:val="17"/>
          <w:szCs w:val="17"/>
          <w:color w:val="auto"/>
        </w:rPr>
        <w:t>. The Board (which may delegate the determination to a committee of the Board) may from time to time determine that each individual who is elected or appointed to the office of director as a Non-Employee Director receive an Award (other than Incentive Stock Options) as compensation, in whole or in part, for such individual’s services as a director. In determining the level and terms of such Awards for Non-Employee Directors, the Board may consider such factors as compensation practices of comparable companies with respect to directors, consultants’ recommendations and such other information as the Board may deem appropriate.</w:t>
      </w:r>
    </w:p>
    <w:p>
      <w:pPr>
        <w:spacing w:after="0" w:line="172" w:lineRule="exact"/>
        <w:rPr>
          <w:rFonts w:ascii="Arial" w:cs="Arial" w:eastAsia="Arial" w:hAnsi="Arial"/>
          <w:sz w:val="17"/>
          <w:szCs w:val="17"/>
          <w:color w:val="auto"/>
        </w:rPr>
      </w:pPr>
    </w:p>
    <w:p>
      <w:pPr>
        <w:ind w:right="80" w:firstLine="444"/>
        <w:spacing w:after="0" w:line="259" w:lineRule="auto"/>
        <w:tabs>
          <w:tab w:leader="none" w:pos="820" w:val="left"/>
        </w:tabs>
        <w:numPr>
          <w:ilvl w:val="1"/>
          <w:numId w:val="237"/>
        </w:numPr>
        <w:rPr>
          <w:rFonts w:ascii="Arial" w:cs="Arial" w:eastAsia="Arial" w:hAnsi="Arial"/>
          <w:sz w:val="18"/>
          <w:szCs w:val="18"/>
          <w:color w:val="auto"/>
        </w:rPr>
      </w:pPr>
      <w:r>
        <w:rPr>
          <w:rFonts w:ascii="Arial" w:cs="Arial" w:eastAsia="Arial" w:hAnsi="Arial"/>
          <w:sz w:val="18"/>
          <w:szCs w:val="18"/>
          <w:u w:val="single" w:color="auto"/>
          <w:color w:val="auto"/>
        </w:rPr>
        <w:t>Committee Composition</w:t>
      </w:r>
      <w:r>
        <w:rPr>
          <w:rFonts w:ascii="Arial" w:cs="Arial" w:eastAsia="Arial" w:hAnsi="Arial"/>
          <w:sz w:val="18"/>
          <w:szCs w:val="18"/>
          <w:color w:val="auto"/>
        </w:rPr>
        <w:t>. The Board shall have discretion to determine whether or not it intends to comply with the exemption requirements of Exchange Act Rule 16b-3, the Code or other applicable law. Nothing herein shall create an inference that an Award is not validly granted under the Plan in the event Awards are granted under the Plan by a committee of the Board that does not at all times consist solely of two or more Non-Employee Directors.</w:t>
      </w:r>
    </w:p>
    <w:p>
      <w:pPr>
        <w:spacing w:after="0" w:line="331" w:lineRule="exact"/>
        <w:rPr>
          <w:rFonts w:ascii="Arial" w:cs="Arial" w:eastAsia="Arial" w:hAnsi="Arial"/>
          <w:sz w:val="18"/>
          <w:szCs w:val="18"/>
          <w:color w:val="auto"/>
        </w:rPr>
      </w:pPr>
    </w:p>
    <w:p>
      <w:pPr>
        <w:ind w:left="440" w:hanging="436"/>
        <w:spacing w:after="0"/>
        <w:tabs>
          <w:tab w:leader="none" w:pos="44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Shares Available; Maximum Payouts.</w:t>
      </w:r>
    </w:p>
    <w:p>
      <w:pPr>
        <w:spacing w:after="0" w:line="121" w:lineRule="exact"/>
        <w:rPr>
          <w:rFonts w:ascii="Arial" w:cs="Arial" w:eastAsia="Arial" w:hAnsi="Arial"/>
          <w:sz w:val="18"/>
          <w:szCs w:val="18"/>
          <w:b w:val="1"/>
          <w:bCs w:val="1"/>
          <w:color w:val="auto"/>
        </w:rPr>
      </w:pPr>
    </w:p>
    <w:p>
      <w:pPr>
        <w:ind w:firstLine="444"/>
        <w:spacing w:after="0" w:line="270" w:lineRule="auto"/>
        <w:tabs>
          <w:tab w:leader="none" w:pos="820" w:val="left"/>
        </w:tabs>
        <w:numPr>
          <w:ilvl w:val="1"/>
          <w:numId w:val="238"/>
        </w:numPr>
        <w:rPr>
          <w:rFonts w:ascii="Arial" w:cs="Arial" w:eastAsia="Arial" w:hAnsi="Arial"/>
          <w:sz w:val="17"/>
          <w:szCs w:val="17"/>
          <w:color w:val="auto"/>
        </w:rPr>
      </w:pPr>
      <w:r>
        <w:rPr>
          <w:rFonts w:ascii="Arial" w:cs="Arial" w:eastAsia="Arial" w:hAnsi="Arial"/>
          <w:sz w:val="17"/>
          <w:szCs w:val="17"/>
          <w:u w:val="single" w:color="auto"/>
          <w:color w:val="auto"/>
        </w:rPr>
        <w:t>Shares Available</w:t>
      </w:r>
      <w:r>
        <w:rPr>
          <w:rFonts w:ascii="Arial" w:cs="Arial" w:eastAsia="Arial" w:hAnsi="Arial"/>
          <w:sz w:val="17"/>
          <w:szCs w:val="17"/>
          <w:color w:val="auto"/>
        </w:rPr>
        <w:t>. Subject to adjustment in accordance with Section 12(f) and subject to Section 4(b), the total number of Shares available for the grant of Awards under the Plan shall be 2,000,000 Shares. No more than a maximum aggregate of 2,000,000 Shares may be granted as Incentive Stock Options. Stock Options, Stock Appreciation Rights and Restricted Stock awarded, and Awards of Restricted Stock Units, Performance Shares and Other Awards settled in Shares awarded, shall reduce the number of Shares available for Awards by one Share for every one Share subject to such Award. Shares issued under this Plan may be authorized and unissued shares or issued shares held as treasury shares. Any Shares that again become available for future grants pursuant to Section 4 shall be added back as one Share. The following Shares may not again be made available for issuance as Awards: (i) Shares not issued or delivered as a result of the net settlement of an outstanding Stock Appreciation Right or Stock Option; (ii) Shares used to pay the exercise price or withholding taxes related to an outstanding Award; or (iii) Shares repurchased on the open market with the proceeds of a Stock Option exercise price.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3" w:right="459" w:bottom="1440" w:gutter="0" w:footer="0" w:header="0"/>
        </w:sectPr>
      </w:pPr>
    </w:p>
    <w:bookmarkStart w:id="328" w:name="page329"/>
    <w:bookmarkEnd w:id="328"/>
    <w:p>
      <w:pPr>
        <w:ind w:right="20" w:firstLine="444"/>
        <w:spacing w:after="0" w:line="255" w:lineRule="auto"/>
        <w:tabs>
          <w:tab w:leader="none" w:pos="830" w:val="left"/>
        </w:tabs>
        <w:numPr>
          <w:ilvl w:val="1"/>
          <w:numId w:val="2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Not Applied to Limitations</w:t>
      </w:r>
      <w:r>
        <w:rPr>
          <w:rFonts w:ascii="Arial" w:cs="Arial" w:eastAsia="Arial" w:hAnsi="Arial"/>
          <w:sz w:val="18"/>
          <w:szCs w:val="18"/>
          <w:color w:val="auto"/>
        </w:rPr>
        <w:t>. The following will not be applied to the Share limitations of subsection 4(a) above: (i) any Shares subject to an Award under the Plan to the extent to which such Award is forfeited, cancelled, terminated, expires or lapses for any reason; and (ii) Shares and any Awards that are granted through the settlement, assumption or substitution of outstanding awards previously granted (subject to applicable repricing restrictions herein), or through obligations to grant future awards, as a result of a merger, consolidation or acquisition of the employing company with or by the Company. If an Award is settled in cash, the number of Shares on which the Award is based shall not be applied to the Share limitations of subsection 4(a).</w:t>
      </w:r>
    </w:p>
    <w:p>
      <w:pPr>
        <w:spacing w:after="0" w:line="301" w:lineRule="exact"/>
        <w:rPr>
          <w:rFonts w:ascii="Arial" w:cs="Arial" w:eastAsia="Arial" w:hAnsi="Arial"/>
          <w:sz w:val="18"/>
          <w:szCs w:val="18"/>
          <w:color w:val="auto"/>
        </w:rPr>
      </w:pPr>
    </w:p>
    <w:p>
      <w:pPr>
        <w:ind w:left="820" w:hanging="376"/>
        <w:spacing w:after="0"/>
        <w:tabs>
          <w:tab w:leader="none" w:pos="820" w:val="left"/>
        </w:tabs>
        <w:numPr>
          <w:ilvl w:val="1"/>
          <w:numId w:val="239"/>
        </w:numPr>
        <w:rPr>
          <w:rFonts w:ascii="Arial" w:cs="Arial" w:eastAsia="Arial" w:hAnsi="Arial"/>
          <w:sz w:val="18"/>
          <w:szCs w:val="18"/>
          <w:color w:val="auto"/>
        </w:rPr>
      </w:pPr>
      <w:r>
        <w:rPr>
          <w:rFonts w:ascii="Arial" w:cs="Arial" w:eastAsia="Arial" w:hAnsi="Arial"/>
          <w:sz w:val="18"/>
          <w:szCs w:val="18"/>
          <w:u w:val="single" w:color="auto"/>
          <w:color w:val="auto"/>
        </w:rPr>
        <w:t>Award Limitations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996"/>
        <w:spacing w:after="0" w:line="276" w:lineRule="auto"/>
        <w:tabs>
          <w:tab w:leader="none" w:pos="1342" w:val="left"/>
        </w:tabs>
        <w:numPr>
          <w:ilvl w:val="2"/>
          <w:numId w:val="239"/>
        </w:numPr>
        <w:rPr>
          <w:rFonts w:ascii="Arial" w:cs="Arial" w:eastAsia="Arial" w:hAnsi="Arial"/>
          <w:sz w:val="17"/>
          <w:szCs w:val="17"/>
          <w:color w:val="auto"/>
        </w:rPr>
      </w:pPr>
      <w:r>
        <w:rPr>
          <w:rFonts w:ascii="Arial" w:cs="Arial" w:eastAsia="Arial" w:hAnsi="Arial"/>
          <w:sz w:val="17"/>
          <w:szCs w:val="17"/>
          <w:color w:val="auto"/>
        </w:rPr>
        <w:t>No Participant shall be granted (A) Options to purchase Shares and Stock Appreciation Rights with respect to more than 2,000,000 Shares in the aggregate, (B) any other Awards with respect to more than 2,000,000 Shares in the aggregate (or, in the event such Award denominated or expressed in terms of number of Shares or Units is paid in cash, the equivalent cash value thereof) or (C) any cash bonus Awards not denominated or expressed in terms of number of Shares or Units with a value that exceeds ten million (10,000,000) dollars in the aggregate, in each case, in any twelve-month period under this Plan (such share limits being subject to adjustment under Section 12(f) hereof).</w:t>
      </w:r>
    </w:p>
    <w:p>
      <w:pPr>
        <w:spacing w:after="0" w:line="172" w:lineRule="exact"/>
        <w:rPr>
          <w:rFonts w:ascii="Arial" w:cs="Arial" w:eastAsia="Arial" w:hAnsi="Arial"/>
          <w:sz w:val="17"/>
          <w:szCs w:val="17"/>
          <w:color w:val="auto"/>
        </w:rPr>
      </w:pPr>
    </w:p>
    <w:p>
      <w:pPr>
        <w:jc w:val="both"/>
        <w:ind w:right="180" w:firstLine="996"/>
        <w:spacing w:after="0" w:line="312" w:lineRule="auto"/>
        <w:tabs>
          <w:tab w:leader="none" w:pos="1392" w:val="left"/>
        </w:tabs>
        <w:numPr>
          <w:ilvl w:val="2"/>
          <w:numId w:val="239"/>
        </w:numPr>
        <w:rPr>
          <w:rFonts w:ascii="Arial" w:cs="Arial" w:eastAsia="Arial" w:hAnsi="Arial"/>
          <w:sz w:val="16"/>
          <w:szCs w:val="16"/>
          <w:color w:val="auto"/>
        </w:rPr>
      </w:pPr>
      <w:r>
        <w:rPr>
          <w:rFonts w:ascii="Arial" w:cs="Arial" w:eastAsia="Arial" w:hAnsi="Arial"/>
          <w:sz w:val="16"/>
          <w:szCs w:val="16"/>
          <w:color w:val="auto"/>
        </w:rPr>
        <w:t>Notwithstanding the foregoing, in no event shall the aggregate grant date fair value (computed as of the date of grant in accordance with applicable financial accounting rules) of all Awards granted to any single Non-Employee Director during any single calendar year, taken together with any retainers payable to such person during such calendar year, exceed $500,000 (or, for a non-employee Chairperson of the Board, $700,000).</w:t>
      </w:r>
    </w:p>
    <w:p>
      <w:pPr>
        <w:spacing w:after="0" w:line="146" w:lineRule="exact"/>
        <w:rPr>
          <w:rFonts w:ascii="Arial" w:cs="Arial" w:eastAsia="Arial" w:hAnsi="Arial"/>
          <w:sz w:val="16"/>
          <w:szCs w:val="16"/>
          <w:color w:val="auto"/>
        </w:rPr>
      </w:pPr>
    </w:p>
    <w:p>
      <w:pPr>
        <w:ind w:left="840" w:hanging="396"/>
        <w:spacing w:after="0"/>
        <w:tabs>
          <w:tab w:leader="none" w:pos="840" w:val="left"/>
        </w:tabs>
        <w:numPr>
          <w:ilvl w:val="1"/>
          <w:numId w:val="239"/>
        </w:numPr>
        <w:rPr>
          <w:rFonts w:ascii="Arial" w:cs="Arial" w:eastAsia="Arial" w:hAnsi="Arial"/>
          <w:sz w:val="17"/>
          <w:szCs w:val="17"/>
          <w:color w:val="auto"/>
        </w:rPr>
      </w:pPr>
      <w:r>
        <w:rPr>
          <w:rFonts w:ascii="Arial" w:cs="Arial" w:eastAsia="Arial" w:hAnsi="Arial"/>
          <w:sz w:val="17"/>
          <w:szCs w:val="17"/>
          <w:u w:val="single" w:color="auto"/>
          <w:color w:val="auto"/>
        </w:rPr>
        <w:t>No Fractional Shares</w:t>
      </w:r>
      <w:r>
        <w:rPr>
          <w:rFonts w:ascii="Arial" w:cs="Arial" w:eastAsia="Arial" w:hAnsi="Arial"/>
          <w:sz w:val="17"/>
          <w:szCs w:val="17"/>
          <w:color w:val="auto"/>
        </w:rPr>
        <w:t>. No fractional Shares may be issued under this Plan; fractional Shares will be rounded down to the nearest whole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Share.</w:t>
      </w:r>
    </w:p>
    <w:p>
      <w:pPr>
        <w:spacing w:after="0" w:line="206" w:lineRule="exact"/>
        <w:rPr>
          <w:rFonts w:ascii="Arial" w:cs="Arial" w:eastAsia="Arial" w:hAnsi="Arial"/>
          <w:sz w:val="17"/>
          <w:szCs w:val="17"/>
          <w:color w:val="auto"/>
        </w:rPr>
      </w:pPr>
    </w:p>
    <w:p>
      <w:pPr>
        <w:ind w:left="320" w:hanging="316"/>
        <w:spacing w:after="0"/>
        <w:tabs>
          <w:tab w:leader="none" w:pos="32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Awards may be granted under this Plan to any Associate at the discretion of the Committee.</w:t>
      </w:r>
    </w:p>
    <w:p>
      <w:pPr>
        <w:spacing w:after="0" w:line="373" w:lineRule="exact"/>
        <w:rPr>
          <w:rFonts w:ascii="Arial" w:cs="Arial" w:eastAsia="Arial" w:hAnsi="Arial"/>
          <w:sz w:val="18"/>
          <w:szCs w:val="18"/>
          <w:b w:val="1"/>
          <w:bCs w:val="1"/>
          <w:color w:val="auto"/>
        </w:rPr>
      </w:pPr>
    </w:p>
    <w:p>
      <w:pPr>
        <w:ind w:left="440" w:hanging="436"/>
        <w:spacing w:after="0"/>
        <w:tabs>
          <w:tab w:leader="none" w:pos="44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of Awards.</w:t>
      </w:r>
    </w:p>
    <w:p>
      <w:pPr>
        <w:spacing w:after="0" w:line="121" w:lineRule="exact"/>
        <w:rPr>
          <w:rFonts w:ascii="Arial" w:cs="Arial" w:eastAsia="Arial" w:hAnsi="Arial"/>
          <w:sz w:val="18"/>
          <w:szCs w:val="18"/>
          <w:b w:val="1"/>
          <w:bCs w:val="1"/>
          <w:color w:val="auto"/>
        </w:rPr>
      </w:pPr>
    </w:p>
    <w:p>
      <w:pPr>
        <w:ind w:right="960" w:firstLine="444"/>
        <w:spacing w:after="0" w:line="277" w:lineRule="auto"/>
        <w:tabs>
          <w:tab w:leader="none" w:pos="820" w:val="left"/>
        </w:tabs>
        <w:numPr>
          <w:ilvl w:val="1"/>
          <w:numId w:val="240"/>
        </w:numPr>
        <w:rPr>
          <w:rFonts w:ascii="Arial" w:cs="Arial" w:eastAsia="Arial" w:hAnsi="Arial"/>
          <w:sz w:val="18"/>
          <w:szCs w:val="18"/>
          <w:color w:val="auto"/>
        </w:rPr>
      </w:pPr>
      <w:r>
        <w:rPr>
          <w:rFonts w:ascii="Arial" w:cs="Arial" w:eastAsia="Arial" w:hAnsi="Arial"/>
          <w:sz w:val="18"/>
          <w:szCs w:val="18"/>
          <w:u w:val="single" w:color="auto"/>
          <w:color w:val="auto"/>
        </w:rPr>
        <w:t>Awards</w:t>
      </w:r>
      <w:r>
        <w:rPr>
          <w:rFonts w:ascii="Arial" w:cs="Arial" w:eastAsia="Arial" w:hAnsi="Arial"/>
          <w:sz w:val="18"/>
          <w:szCs w:val="18"/>
          <w:color w:val="auto"/>
        </w:rPr>
        <w:t>. Awards under this Plan may consist of Options (either Incentive Stock Options or Non-Qualified Stock Options), Stock Appreciation Rights, Performance Shares, Restricted Stock, Restricted Stock Units or Other Awards.</w:t>
      </w:r>
    </w:p>
    <w:p>
      <w:pPr>
        <w:spacing w:after="0" w:line="170" w:lineRule="exact"/>
        <w:rPr>
          <w:rFonts w:ascii="Arial" w:cs="Arial" w:eastAsia="Arial" w:hAnsi="Arial"/>
          <w:sz w:val="18"/>
          <w:szCs w:val="18"/>
          <w:color w:val="auto"/>
        </w:rPr>
      </w:pPr>
    </w:p>
    <w:p>
      <w:pPr>
        <w:ind w:right="100" w:firstLine="444"/>
        <w:spacing w:after="0" w:line="259" w:lineRule="auto"/>
        <w:tabs>
          <w:tab w:leader="none" w:pos="830" w:val="left"/>
        </w:tabs>
        <w:numPr>
          <w:ilvl w:val="1"/>
          <w:numId w:val="240"/>
        </w:numPr>
        <w:rPr>
          <w:rFonts w:ascii="Arial" w:cs="Arial" w:eastAsia="Arial" w:hAnsi="Arial"/>
          <w:sz w:val="18"/>
          <w:szCs w:val="18"/>
          <w:color w:val="auto"/>
        </w:rPr>
      </w:pPr>
      <w:r>
        <w:rPr>
          <w:rFonts w:ascii="Arial" w:cs="Arial" w:eastAsia="Arial" w:hAnsi="Arial"/>
          <w:sz w:val="18"/>
          <w:szCs w:val="18"/>
          <w:u w:val="single" w:color="auto"/>
          <w:color w:val="auto"/>
        </w:rPr>
        <w:t>Amount of Awards</w:t>
      </w:r>
      <w:r>
        <w:rPr>
          <w:rFonts w:ascii="Arial" w:cs="Arial" w:eastAsia="Arial" w:hAnsi="Arial"/>
          <w:sz w:val="18"/>
          <w:szCs w:val="18"/>
          <w:color w:val="auto"/>
        </w:rPr>
        <w:t>. Each Agreement shall set forth the number of Shares of Restricted Stock, Stock, Units of Stock or Performance Shares, or the amount of cash, subject to such Agreement, or the number of Shares to which the Option applies or with respect to which payment upon the exercise of the Stock Appreciation Right is to be determined, as the case may be, together with such other terms and conditions applicable to the Award (not inconsistent with this Plan) as determined by the Committee in its sole discretion.</w:t>
      </w:r>
    </w:p>
    <w:p>
      <w:pPr>
        <w:spacing w:after="0" w:line="186" w:lineRule="exact"/>
        <w:rPr>
          <w:rFonts w:ascii="Arial" w:cs="Arial" w:eastAsia="Arial" w:hAnsi="Arial"/>
          <w:sz w:val="18"/>
          <w:szCs w:val="18"/>
          <w:color w:val="auto"/>
        </w:rPr>
      </w:pPr>
    </w:p>
    <w:p>
      <w:pPr>
        <w:ind w:firstLine="444"/>
        <w:spacing w:after="0" w:line="291" w:lineRule="auto"/>
        <w:tabs>
          <w:tab w:leader="none" w:pos="820" w:val="left"/>
        </w:tabs>
        <w:numPr>
          <w:ilvl w:val="1"/>
          <w:numId w:val="240"/>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Each Agreement, other than those relating solely to Awards of Stock without restrictions, shall set forth the Term of the Award and any applicable Performance Period, as the case may be, but in no event shall the Term of an Award or the Performance Period be longer than ten (10) years after the date of grant; provided, however, that the Committee may, in its discretion, grant Awards with a longer term to Participants who are located outside the United States. An Agreement with a Participant may permit acceleration of vesting requirements and of the expiration of the applicable Term upon such terms and conditions as shall be set forth in the Agreement, which may, but, unless otherwise specifically provided in this Plan, need not, include, without limitation, acceleration resulting from the occurrence of the Participant’s death or Disability. Acceleration of the Performance Period of Performance Shares and other performance-based Awards shall be subject to Section 12(f) hereof, as applicable.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3" w:right="439" w:bottom="1440" w:gutter="0" w:footer="0" w:header="0"/>
        </w:sectPr>
      </w:pPr>
    </w:p>
    <w:bookmarkStart w:id="329" w:name="page330"/>
    <w:bookmarkEnd w:id="329"/>
    <w:p>
      <w:pPr>
        <w:ind w:left="-4" w:right="240" w:firstLine="444"/>
        <w:spacing w:after="0" w:line="277" w:lineRule="auto"/>
        <w:tabs>
          <w:tab w:leader="none" w:pos="827" w:val="left"/>
        </w:tabs>
        <w:numPr>
          <w:ilvl w:val="1"/>
          <w:numId w:val="2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Agreements</w:t>
      </w:r>
      <w:r>
        <w:rPr>
          <w:rFonts w:ascii="Arial" w:cs="Arial" w:eastAsia="Arial" w:hAnsi="Arial"/>
          <w:sz w:val="18"/>
          <w:szCs w:val="18"/>
          <w:color w:val="auto"/>
        </w:rPr>
        <w:t>. Each Award under this Plan shall be evidenced by an Agreement setting forth the terms and conditions, as determined by the Committee, that shall apply to such Award, in addition to the terms and conditions specified in this Plan.</w:t>
      </w:r>
    </w:p>
    <w:p>
      <w:pPr>
        <w:spacing w:after="0" w:line="170" w:lineRule="exact"/>
        <w:rPr>
          <w:rFonts w:ascii="Arial" w:cs="Arial" w:eastAsia="Arial" w:hAnsi="Arial"/>
          <w:sz w:val="18"/>
          <w:szCs w:val="18"/>
          <w:color w:val="auto"/>
        </w:rPr>
      </w:pPr>
    </w:p>
    <w:p>
      <w:pPr>
        <w:ind w:left="-4" w:firstLine="444"/>
        <w:spacing w:after="0" w:line="272" w:lineRule="auto"/>
        <w:tabs>
          <w:tab w:leader="none" w:pos="816" w:val="left"/>
        </w:tabs>
        <w:numPr>
          <w:ilvl w:val="1"/>
          <w:numId w:val="241"/>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Except as otherwise permitted by the Committee, during the lifetime of a Participant to whom an Award is granted, only such Participant (or such Participant’s legal representative) may exercise an Option or Stock Appreciation Right or receive payment with respect to any other Award. Except as may be permitted by the Company in the case of a transfer not for value, no Award of Restricted Stock (prior to the expiration of the restrictions), Restricted Stock Units, Options, Stock Appreciation Rights, Performance Shares or Other Award (other than an award of Stock without restrictions) may be sold, assigned, transferred, exchanged or otherwise encumbered, and any attempt to do so (including pursuant to a decree of divorce or any judicial declaration of property division) shall be of no effect. Notwithstanding the immediately preceding sentence, an Agreement may provide that an Award shall be transferable to a Successor in the event of a Participant’s death.</w:t>
      </w:r>
    </w:p>
    <w:p>
      <w:pPr>
        <w:spacing w:after="0" w:line="177" w:lineRule="exact"/>
        <w:rPr>
          <w:rFonts w:ascii="Arial" w:cs="Arial" w:eastAsia="Arial" w:hAnsi="Arial"/>
          <w:sz w:val="17"/>
          <w:szCs w:val="17"/>
          <w:color w:val="auto"/>
        </w:rPr>
      </w:pPr>
    </w:p>
    <w:p>
      <w:pPr>
        <w:ind w:left="-4" w:right="40" w:firstLine="444"/>
        <w:spacing w:after="0" w:line="302" w:lineRule="auto"/>
        <w:tabs>
          <w:tab w:leader="none" w:pos="797" w:val="left"/>
        </w:tabs>
        <w:numPr>
          <w:ilvl w:val="1"/>
          <w:numId w:val="241"/>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Each Agreement shall set forth the extent to which the Participant shall have the right to exercise and/or retain an Award following termination of the Participant’s service with the Company or its Affiliates, including, without limitation, upon death or Disability or other termination of employment. Such provisions shall be determined in the sole discretion of the Committee, shall be included in the Agreement, need not be uniform among Agreements issued pursuant to this Plan, and may reflect distinctions based on the reasons for termination.</w:t>
      </w:r>
    </w:p>
    <w:p>
      <w:pPr>
        <w:spacing w:after="0" w:line="154" w:lineRule="exact"/>
        <w:rPr>
          <w:rFonts w:ascii="Arial" w:cs="Arial" w:eastAsia="Arial" w:hAnsi="Arial"/>
          <w:sz w:val="16"/>
          <w:szCs w:val="16"/>
          <w:color w:val="auto"/>
        </w:rPr>
      </w:pPr>
    </w:p>
    <w:p>
      <w:pPr>
        <w:ind w:left="-4" w:right="100" w:firstLine="444"/>
        <w:spacing w:after="0" w:line="277" w:lineRule="auto"/>
        <w:tabs>
          <w:tab w:leader="none" w:pos="827" w:val="left"/>
        </w:tabs>
        <w:numPr>
          <w:ilvl w:val="1"/>
          <w:numId w:val="241"/>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the Participant ceases to be employed with the Company, either as a result of a termination by the Company without Cause or by the Participant for Good Reason, in connection with a Change in Control:</w:t>
      </w:r>
    </w:p>
    <w:p>
      <w:pPr>
        <w:spacing w:after="0" w:line="170" w:lineRule="exact"/>
        <w:rPr>
          <w:rFonts w:ascii="Arial" w:cs="Arial" w:eastAsia="Arial" w:hAnsi="Arial"/>
          <w:sz w:val="18"/>
          <w:szCs w:val="18"/>
          <w:color w:val="auto"/>
        </w:rPr>
      </w:pPr>
    </w:p>
    <w:p>
      <w:pPr>
        <w:ind w:left="-4" w:right="100" w:firstLine="996"/>
        <w:spacing w:after="0" w:line="264" w:lineRule="auto"/>
        <w:tabs>
          <w:tab w:leader="none" w:pos="1328" w:val="left"/>
        </w:tabs>
        <w:numPr>
          <w:ilvl w:val="2"/>
          <w:numId w:val="241"/>
        </w:numPr>
        <w:rPr>
          <w:rFonts w:ascii="Arial" w:cs="Arial" w:eastAsia="Arial" w:hAnsi="Arial"/>
          <w:sz w:val="18"/>
          <w:szCs w:val="18"/>
          <w:color w:val="auto"/>
        </w:rPr>
      </w:pPr>
      <w:r>
        <w:rPr>
          <w:rFonts w:ascii="Arial" w:cs="Arial" w:eastAsia="Arial" w:hAnsi="Arial"/>
          <w:sz w:val="18"/>
          <w:szCs w:val="18"/>
          <w:color w:val="auto"/>
        </w:rPr>
        <w:t>All Options and Stock Appreciation Rights shall become immediately exercisable with respect to 100% of the Shares subject to such Options or Stock Appreciation Rights, and/or the period of restriction shall expire and the Award shall vest immediately with respect to 100% of the Shares of Restricted Stock, Restricted Stock Units and any other Award;</w:t>
      </w:r>
    </w:p>
    <w:p>
      <w:pPr>
        <w:spacing w:after="0" w:line="181" w:lineRule="exact"/>
        <w:rPr>
          <w:rFonts w:ascii="Arial" w:cs="Arial" w:eastAsia="Arial" w:hAnsi="Arial"/>
          <w:sz w:val="18"/>
          <w:szCs w:val="18"/>
          <w:color w:val="auto"/>
        </w:rPr>
      </w:pPr>
    </w:p>
    <w:p>
      <w:pPr>
        <w:ind w:left="-4" w:right="100" w:firstLine="996"/>
        <w:spacing w:after="0" w:line="286" w:lineRule="auto"/>
        <w:tabs>
          <w:tab w:leader="none" w:pos="1385" w:val="left"/>
        </w:tabs>
        <w:numPr>
          <w:ilvl w:val="2"/>
          <w:numId w:val="241"/>
        </w:numPr>
        <w:rPr>
          <w:rFonts w:ascii="Arial" w:cs="Arial" w:eastAsia="Arial" w:hAnsi="Arial"/>
          <w:sz w:val="17"/>
          <w:szCs w:val="17"/>
          <w:color w:val="auto"/>
        </w:rPr>
      </w:pPr>
      <w:r>
        <w:rPr>
          <w:rFonts w:ascii="Arial" w:cs="Arial" w:eastAsia="Arial" w:hAnsi="Arial"/>
          <w:sz w:val="17"/>
          <w:szCs w:val="17"/>
          <w:color w:val="auto"/>
        </w:rPr>
        <w:t>The Agreement will specify that, with respect to performance-based awards, all performance goals (including Performance Criteria) or other vesting criteria will be either (A) deemed achieved at 100% target levels and adjusted pro-rata based on the applicable portion of the performance period which has passed, (B) vested based upon actual performance levels or (C) the greater of (A) or (B); and</w:t>
      </w:r>
    </w:p>
    <w:p>
      <w:pPr>
        <w:spacing w:after="0" w:line="165" w:lineRule="exact"/>
        <w:rPr>
          <w:rFonts w:ascii="Arial" w:cs="Arial" w:eastAsia="Arial" w:hAnsi="Arial"/>
          <w:sz w:val="17"/>
          <w:szCs w:val="17"/>
          <w:color w:val="auto"/>
        </w:rPr>
      </w:pPr>
    </w:p>
    <w:p>
      <w:pPr>
        <w:ind w:left="1436" w:hanging="444"/>
        <w:spacing w:after="0"/>
        <w:tabs>
          <w:tab w:leader="none" w:pos="1436" w:val="left"/>
        </w:tabs>
        <w:numPr>
          <w:ilvl w:val="2"/>
          <w:numId w:val="241"/>
        </w:numPr>
        <w:rPr>
          <w:rFonts w:ascii="Arial" w:cs="Arial" w:eastAsia="Arial" w:hAnsi="Arial"/>
          <w:sz w:val="18"/>
          <w:szCs w:val="18"/>
          <w:color w:val="auto"/>
        </w:rPr>
      </w:pPr>
      <w:r>
        <w:rPr>
          <w:rFonts w:ascii="Arial" w:cs="Arial" w:eastAsia="Arial" w:hAnsi="Arial"/>
          <w:sz w:val="18"/>
          <w:szCs w:val="18"/>
          <w:color w:val="auto"/>
        </w:rPr>
        <w:t>all other terms and conditions will be deemed met.</w:t>
      </w:r>
    </w:p>
    <w:p>
      <w:pPr>
        <w:spacing w:after="0" w:line="225" w:lineRule="exact"/>
        <w:rPr>
          <w:rFonts w:ascii="Arial" w:cs="Arial" w:eastAsia="Arial" w:hAnsi="Arial"/>
          <w:sz w:val="18"/>
          <w:szCs w:val="18"/>
          <w:color w:val="auto"/>
        </w:rPr>
      </w:pPr>
    </w:p>
    <w:p>
      <w:pPr>
        <w:ind w:left="-4" w:firstLine="444"/>
        <w:spacing w:after="0" w:line="277" w:lineRule="auto"/>
        <w:tabs>
          <w:tab w:leader="none" w:pos="827" w:val="left"/>
        </w:tabs>
        <w:numPr>
          <w:ilvl w:val="1"/>
          <w:numId w:val="241"/>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A Participant shall have no right as a stockholder with respect to any securities covered by an Award until the date the Participant becomes the holder of record.</w:t>
      </w:r>
    </w:p>
    <w:p>
      <w:pPr>
        <w:spacing w:after="0" w:line="170" w:lineRule="exact"/>
        <w:rPr>
          <w:rFonts w:ascii="Arial" w:cs="Arial" w:eastAsia="Arial" w:hAnsi="Arial"/>
          <w:sz w:val="18"/>
          <w:szCs w:val="18"/>
          <w:color w:val="auto"/>
        </w:rPr>
      </w:pPr>
    </w:p>
    <w:p>
      <w:pPr>
        <w:ind w:left="-4" w:firstLine="444"/>
        <w:spacing w:after="0" w:line="277" w:lineRule="auto"/>
        <w:tabs>
          <w:tab w:leader="none" w:pos="787" w:val="left"/>
        </w:tabs>
        <w:numPr>
          <w:ilvl w:val="1"/>
          <w:numId w:val="241"/>
        </w:numPr>
        <w:rPr>
          <w:rFonts w:ascii="Arial" w:cs="Arial" w:eastAsia="Arial" w:hAnsi="Arial"/>
          <w:sz w:val="18"/>
          <w:szCs w:val="18"/>
          <w:color w:val="auto"/>
        </w:rPr>
      </w:pPr>
      <w:r>
        <w:rPr>
          <w:rFonts w:ascii="Arial" w:cs="Arial" w:eastAsia="Arial" w:hAnsi="Arial"/>
          <w:sz w:val="18"/>
          <w:szCs w:val="18"/>
          <w:u w:val="single" w:color="auto"/>
          <w:color w:val="auto"/>
        </w:rPr>
        <w:t>Performance Goals</w:t>
      </w:r>
      <w:r>
        <w:rPr>
          <w:rFonts w:ascii="Arial" w:cs="Arial" w:eastAsia="Arial" w:hAnsi="Arial"/>
          <w:sz w:val="18"/>
          <w:szCs w:val="18"/>
          <w:color w:val="auto"/>
        </w:rPr>
        <w:t>. The Committee may require the satisfaction of certain performance goals (including Performance Criteria) as a condition to the grant, vesting or payment of any Award provided under the Plan.</w:t>
      </w:r>
    </w:p>
    <w:p>
      <w:pPr>
        <w:spacing w:after="0" w:line="315" w:lineRule="exact"/>
        <w:rPr>
          <w:rFonts w:ascii="Arial" w:cs="Arial" w:eastAsia="Arial" w:hAnsi="Arial"/>
          <w:sz w:val="18"/>
          <w:szCs w:val="18"/>
          <w:color w:val="auto"/>
        </w:rPr>
      </w:pPr>
    </w:p>
    <w:p>
      <w:pPr>
        <w:ind w:left="436" w:hanging="436"/>
        <w:spacing w:after="0"/>
        <w:tabs>
          <w:tab w:leader="none" w:pos="436"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121" w:lineRule="exact"/>
        <w:rPr>
          <w:rFonts w:ascii="Arial" w:cs="Arial" w:eastAsia="Arial" w:hAnsi="Arial"/>
          <w:sz w:val="18"/>
          <w:szCs w:val="18"/>
          <w:b w:val="1"/>
          <w:bCs w:val="1"/>
          <w:color w:val="auto"/>
        </w:rPr>
      </w:pPr>
    </w:p>
    <w:p>
      <w:pPr>
        <w:ind w:left="816" w:hanging="376"/>
        <w:spacing w:after="0"/>
        <w:tabs>
          <w:tab w:leader="none" w:pos="816" w:val="left"/>
        </w:tabs>
        <w:numPr>
          <w:ilvl w:val="1"/>
          <w:numId w:val="242"/>
        </w:numPr>
        <w:rPr>
          <w:rFonts w:ascii="Arial" w:cs="Arial" w:eastAsia="Arial" w:hAnsi="Arial"/>
          <w:sz w:val="18"/>
          <w:szCs w:val="18"/>
          <w:color w:val="auto"/>
        </w:rPr>
      </w:pPr>
      <w:r>
        <w:rPr>
          <w:rFonts w:ascii="Arial" w:cs="Arial" w:eastAsia="Arial" w:hAnsi="Arial"/>
          <w:sz w:val="18"/>
          <w:szCs w:val="18"/>
          <w:u w:val="single" w:color="auto"/>
          <w:color w:val="auto"/>
        </w:rPr>
        <w:t>Terms of All Options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 w:right="40" w:firstLine="996"/>
        <w:spacing w:after="0" w:line="302" w:lineRule="auto"/>
        <w:tabs>
          <w:tab w:leader="none" w:pos="1203" w:val="left"/>
        </w:tabs>
        <w:numPr>
          <w:ilvl w:val="2"/>
          <w:numId w:val="242"/>
        </w:numPr>
        <w:rPr>
          <w:rFonts w:ascii="Arial" w:cs="Arial" w:eastAsia="Arial" w:hAnsi="Arial"/>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 Each Option shall be granted pursuant to an Agreement as either an Incentive Stock Option or a Non-Qualified Stock Option. Incentive Stock Options may only be granted to Associates who are employees of the Company or an Affiliate in accordance with the requirements of Section 422 of the Code. Only Non-Qualified Stock Options may be granted to Associates who are not employees of the Company or an Affiliate. In no event may Options known as reload options be granted hereunder. The provisions of separate Options need not be identical. Except as</w:t>
      </w:r>
    </w:p>
    <w:p>
      <w:pPr>
        <w:spacing w:after="0" w:line="87"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96"/>
          </w:cols>
          <w:pgMar w:left="444" w:top="274" w:right="459" w:bottom="1440" w:gutter="0" w:footer="0" w:header="0"/>
        </w:sectPr>
      </w:pPr>
    </w:p>
    <w:bookmarkStart w:id="330" w:name="page331"/>
    <w:bookmarkEnd w:id="330"/>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by Section 12(f), Participants holding Options shall have no dividend rights with respect to Shares subject to such Options. The Company shall have no liability to any Participant or any other person if an Option designated as an Incentive Stock Option fails to qualify as such at any time.</w:t>
      </w:r>
    </w:p>
    <w:p>
      <w:pPr>
        <w:spacing w:after="0" w:line="124" w:lineRule="exact"/>
        <w:rPr>
          <w:sz w:val="20"/>
          <w:szCs w:val="20"/>
          <w:color w:val="auto"/>
        </w:rPr>
      </w:pPr>
    </w:p>
    <w:p>
      <w:pPr>
        <w:ind w:firstLine="996"/>
        <w:spacing w:after="0" w:line="271" w:lineRule="auto"/>
        <w:tabs>
          <w:tab w:leader="none" w:pos="1392" w:val="left"/>
        </w:tabs>
        <w:numPr>
          <w:ilvl w:val="2"/>
          <w:numId w:val="243"/>
        </w:numPr>
        <w:rPr>
          <w:rFonts w:ascii="Arial" w:cs="Arial" w:eastAsia="Arial" w:hAnsi="Arial"/>
          <w:sz w:val="17"/>
          <w:szCs w:val="17"/>
          <w:color w:val="auto"/>
        </w:rPr>
      </w:pPr>
      <w:r>
        <w:rPr>
          <w:rFonts w:ascii="Arial" w:cs="Arial" w:eastAsia="Arial" w:hAnsi="Arial"/>
          <w:sz w:val="17"/>
          <w:szCs w:val="17"/>
          <w:u w:val="single" w:color="auto"/>
          <w:color w:val="auto"/>
        </w:rPr>
        <w:t>Purchase Price</w:t>
      </w:r>
      <w:r>
        <w:rPr>
          <w:rFonts w:ascii="Arial" w:cs="Arial" w:eastAsia="Arial" w:hAnsi="Arial"/>
          <w:sz w:val="17"/>
          <w:szCs w:val="17"/>
          <w:color w:val="auto"/>
        </w:rPr>
        <w:t>. The purchase price of each Share subject to an Option shall be determined by the Committee and set forth in the applicable Agreement, but shall not be less than 100% of the Fair Market Value of a Share as of the date the Option is granted. The purchase price of the Shares with respect to which an Option is exercised shall be payable in full at the time of exercise. The purchase price may be paid in cash or, if the Committee so permits and upon such terms as the Committee shall approve, through delivery or tender to the Company of Shares held, either actually or by attestation, by such Participant (in each case, such Shares having a Fair Market Value as of the date the Option is exercised equal to the purchase price of the Shares being purchased pursuant to the Option) or through a net or cashless form of exercise as permitted by the Committee, or, if the Committee so permits, a combination thereof, unless otherwise provided in the Agreement. Further, the Committee, in its discretion, may approve other methods or forms of payment of the purchase price, and establish rules and procedures therefor.</w:t>
      </w:r>
    </w:p>
    <w:p>
      <w:pPr>
        <w:spacing w:after="0" w:line="178" w:lineRule="exact"/>
        <w:rPr>
          <w:rFonts w:ascii="Arial" w:cs="Arial" w:eastAsia="Arial" w:hAnsi="Arial"/>
          <w:sz w:val="17"/>
          <w:szCs w:val="17"/>
          <w:color w:val="auto"/>
        </w:rPr>
      </w:pPr>
    </w:p>
    <w:p>
      <w:pPr>
        <w:ind w:right="140" w:firstLine="996"/>
        <w:spacing w:after="0" w:line="264" w:lineRule="auto"/>
        <w:tabs>
          <w:tab w:leader="none" w:pos="1442" w:val="left"/>
        </w:tabs>
        <w:numPr>
          <w:ilvl w:val="2"/>
          <w:numId w:val="243"/>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Each Option shall vest and be exercisable in whole or in part on the terms and for the duration provided in the Agreement. In no event shall any Option be exercisable at any time after its Term. When an Option is no longer exercisable, it shall be deemed to have lapsed or terminated. No Option may be exercised for a fraction of a Share.</w:t>
      </w:r>
    </w:p>
    <w:p>
      <w:pPr>
        <w:spacing w:after="0" w:line="181" w:lineRule="exact"/>
        <w:rPr>
          <w:rFonts w:ascii="Arial" w:cs="Arial" w:eastAsia="Arial" w:hAnsi="Arial"/>
          <w:sz w:val="18"/>
          <w:szCs w:val="18"/>
          <w:color w:val="auto"/>
        </w:rPr>
      </w:pPr>
    </w:p>
    <w:p>
      <w:pPr>
        <w:ind w:left="840" w:hanging="396"/>
        <w:spacing w:after="0"/>
        <w:tabs>
          <w:tab w:leader="none" w:pos="840" w:val="left"/>
        </w:tabs>
        <w:numPr>
          <w:ilvl w:val="1"/>
          <w:numId w:val="244"/>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 In addition to the other terms and conditions applicable to all Options:</w:t>
      </w:r>
    </w:p>
    <w:p>
      <w:pPr>
        <w:spacing w:after="0" w:line="225" w:lineRule="exact"/>
        <w:rPr>
          <w:rFonts w:ascii="Arial" w:cs="Arial" w:eastAsia="Arial" w:hAnsi="Arial"/>
          <w:sz w:val="18"/>
          <w:szCs w:val="18"/>
          <w:color w:val="auto"/>
        </w:rPr>
      </w:pPr>
    </w:p>
    <w:p>
      <w:pPr>
        <w:ind w:firstLine="996"/>
        <w:spacing w:after="0" w:line="257" w:lineRule="auto"/>
        <w:tabs>
          <w:tab w:leader="none" w:pos="1342" w:val="left"/>
        </w:tabs>
        <w:numPr>
          <w:ilvl w:val="2"/>
          <w:numId w:val="244"/>
        </w:numPr>
        <w:rPr>
          <w:rFonts w:ascii="Arial" w:cs="Arial" w:eastAsia="Arial" w:hAnsi="Arial"/>
          <w:sz w:val="18"/>
          <w:szCs w:val="18"/>
          <w:color w:val="auto"/>
        </w:rPr>
      </w:pPr>
      <w:r>
        <w:rPr>
          <w:rFonts w:ascii="Arial" w:cs="Arial" w:eastAsia="Arial" w:hAnsi="Arial"/>
          <w:sz w:val="18"/>
          <w:szCs w:val="18"/>
          <w:color w:val="auto"/>
        </w:rPr>
        <w:t>the aggregate Fair Market Value (determined as of the date the Option is granted) of the Shares with respect to which Incentive Stock Options held by an individual first become exercisable in any calendar year (under this Plan and all other incentive stock option plans of the Company and its Affiliates) shall not exceed $100,000 (or such other limit as may be required by the Code), if such limitation is necessary to qualify the Option as an Incentive Stock Option, and to the extent an Option granted to a Participant exceeds such limit, such Option shall be treated as a Non-Qualified Stock Option;</w:t>
      </w:r>
    </w:p>
    <w:p>
      <w:pPr>
        <w:spacing w:after="0" w:line="188" w:lineRule="exact"/>
        <w:rPr>
          <w:rFonts w:ascii="Arial" w:cs="Arial" w:eastAsia="Arial" w:hAnsi="Arial"/>
          <w:sz w:val="18"/>
          <w:szCs w:val="18"/>
          <w:color w:val="auto"/>
        </w:rPr>
      </w:pPr>
    </w:p>
    <w:p>
      <w:pPr>
        <w:ind w:right="160" w:firstLine="996"/>
        <w:spacing w:after="0" w:line="342" w:lineRule="auto"/>
        <w:tabs>
          <w:tab w:leader="none" w:pos="1392" w:val="left"/>
        </w:tabs>
        <w:numPr>
          <w:ilvl w:val="2"/>
          <w:numId w:val="244"/>
        </w:numPr>
        <w:rPr>
          <w:rFonts w:ascii="Arial" w:cs="Arial" w:eastAsia="Arial" w:hAnsi="Arial"/>
          <w:sz w:val="16"/>
          <w:szCs w:val="16"/>
          <w:color w:val="auto"/>
        </w:rPr>
      </w:pPr>
      <w:r>
        <w:rPr>
          <w:rFonts w:ascii="Arial" w:cs="Arial" w:eastAsia="Arial" w:hAnsi="Arial"/>
          <w:sz w:val="16"/>
          <w:szCs w:val="16"/>
          <w:color w:val="auto"/>
        </w:rPr>
        <w:t>an Incentive Stock Option shall not be exercisable and the Term of the Award shall not be more than ten (10) years after the date of grant (or such other limit as may be required by the Code) if such limitation is necessary to qualify the Option as an Incentive Stock Option;</w:t>
      </w:r>
    </w:p>
    <w:p>
      <w:pPr>
        <w:spacing w:after="0" w:line="123" w:lineRule="exact"/>
        <w:rPr>
          <w:rFonts w:ascii="Arial" w:cs="Arial" w:eastAsia="Arial" w:hAnsi="Arial"/>
          <w:sz w:val="16"/>
          <w:szCs w:val="16"/>
          <w:color w:val="auto"/>
        </w:rPr>
      </w:pPr>
    </w:p>
    <w:p>
      <w:pPr>
        <w:ind w:right="160" w:firstLine="996"/>
        <w:spacing w:after="0" w:line="277" w:lineRule="auto"/>
        <w:tabs>
          <w:tab w:leader="none" w:pos="1442" w:val="left"/>
        </w:tabs>
        <w:numPr>
          <w:ilvl w:val="2"/>
          <w:numId w:val="244"/>
        </w:numPr>
        <w:rPr>
          <w:rFonts w:ascii="Arial" w:cs="Arial" w:eastAsia="Arial" w:hAnsi="Arial"/>
          <w:sz w:val="18"/>
          <w:szCs w:val="18"/>
          <w:color w:val="auto"/>
        </w:rPr>
      </w:pPr>
      <w:r>
        <w:rPr>
          <w:rFonts w:ascii="Arial" w:cs="Arial" w:eastAsia="Arial" w:hAnsi="Arial"/>
          <w:sz w:val="18"/>
          <w:szCs w:val="18"/>
          <w:color w:val="auto"/>
        </w:rPr>
        <w:t>the Agreement covering an Incentive Stock Option shall contain such other terms and provisions which the Committee determines necessary to qualify such Option as an Incentive Stock Option; and</w:t>
      </w:r>
    </w:p>
    <w:p>
      <w:pPr>
        <w:spacing w:after="0" w:line="170" w:lineRule="exact"/>
        <w:rPr>
          <w:rFonts w:ascii="Arial" w:cs="Arial" w:eastAsia="Arial" w:hAnsi="Arial"/>
          <w:sz w:val="18"/>
          <w:szCs w:val="18"/>
          <w:color w:val="auto"/>
        </w:rPr>
      </w:pPr>
    </w:p>
    <w:p>
      <w:pPr>
        <w:ind w:right="180" w:firstLine="996"/>
        <w:spacing w:after="0" w:line="257" w:lineRule="auto"/>
        <w:tabs>
          <w:tab w:leader="none" w:pos="1432" w:val="left"/>
        </w:tabs>
        <w:numPr>
          <w:ilvl w:val="2"/>
          <w:numId w:val="244"/>
        </w:numPr>
        <w:rPr>
          <w:rFonts w:ascii="Arial" w:cs="Arial" w:eastAsia="Arial" w:hAnsi="Arial"/>
          <w:sz w:val="18"/>
          <w:szCs w:val="18"/>
          <w:color w:val="auto"/>
        </w:rPr>
      </w:pPr>
      <w:r>
        <w:rPr>
          <w:rFonts w:ascii="Arial" w:cs="Arial" w:eastAsia="Arial" w:hAnsi="Arial"/>
          <w:sz w:val="18"/>
          <w:szCs w:val="18"/>
          <w:color w:val="auto"/>
        </w:rPr>
        <w:t>notwithstanding any other provision of this Plan, if, at the time an Incentive Stock Option is granted, the Participant owns (after application of the rules contained in Section 424(d) of the Code, or its successor provision) Shares possessing more than ten percent of the total combined voting power of all classes of stock of the Company or its subsidiaries, (A) the option price for such Incentive Stock Option shall be at least 110% of the Fair Market Value of the Shares subject to such Incentive Stock Option on the date of grant, and (B) such Option shall not be exercisable after the date five (5) years from the date such Incentive Stock Option is granted.</w:t>
      </w:r>
    </w:p>
    <w:p>
      <w:pPr>
        <w:spacing w:after="0" w:line="332" w:lineRule="exact"/>
        <w:rPr>
          <w:rFonts w:ascii="Arial" w:cs="Arial" w:eastAsia="Arial" w:hAnsi="Arial"/>
          <w:sz w:val="18"/>
          <w:szCs w:val="18"/>
          <w:color w:val="auto"/>
        </w:rPr>
      </w:pPr>
    </w:p>
    <w:p>
      <w:pPr>
        <w:ind w:left="440" w:hanging="436"/>
        <w:spacing w:after="0"/>
        <w:tabs>
          <w:tab w:leader="none" w:pos="44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Stock Appreciation Rights.</w:t>
      </w:r>
    </w:p>
    <w:p>
      <w:pPr>
        <w:spacing w:after="0" w:line="121" w:lineRule="exact"/>
        <w:rPr>
          <w:rFonts w:ascii="Arial" w:cs="Arial" w:eastAsia="Arial" w:hAnsi="Arial"/>
          <w:sz w:val="18"/>
          <w:szCs w:val="18"/>
          <w:b w:val="1"/>
          <w:bCs w:val="1"/>
          <w:color w:val="auto"/>
        </w:rPr>
      </w:pPr>
    </w:p>
    <w:p>
      <w:pPr>
        <w:jc w:val="both"/>
        <w:ind w:firstLine="444"/>
        <w:spacing w:after="0" w:line="302" w:lineRule="auto"/>
        <w:tabs>
          <w:tab w:leader="none" w:pos="820" w:val="left"/>
        </w:tabs>
        <w:numPr>
          <w:ilvl w:val="1"/>
          <w:numId w:val="245"/>
        </w:numPr>
        <w:rPr>
          <w:rFonts w:ascii="Arial" w:cs="Arial" w:eastAsia="Arial" w:hAnsi="Arial"/>
          <w:sz w:val="16"/>
          <w:szCs w:val="16"/>
          <w:color w:val="auto"/>
        </w:rPr>
      </w:pPr>
      <w:r>
        <w:rPr>
          <w:rFonts w:ascii="Arial" w:cs="Arial" w:eastAsia="Arial" w:hAnsi="Arial"/>
          <w:sz w:val="16"/>
          <w:szCs w:val="16"/>
          <w:u w:val="single" w:color="auto"/>
          <w:color w:val="auto"/>
        </w:rPr>
        <w:t>Grant</w:t>
      </w:r>
      <w:r>
        <w:rPr>
          <w:rFonts w:ascii="Arial" w:cs="Arial" w:eastAsia="Arial" w:hAnsi="Arial"/>
          <w:sz w:val="16"/>
          <w:szCs w:val="16"/>
          <w:color w:val="auto"/>
        </w:rPr>
        <w:t>. An Award of a Stock Appreciation Right shall entitle the Participant, subject to terms and conditions determined by the Committee, to receive upon exercise of the Stock Appreciation Right all or a portion of the excess of (i) the Fair Market Value of a specified number of Shares as of the date of exercise of the Stock Appreciation Right over (ii) a specified price which shall not be less than 100% of the Fair Market Value of such Shares as of the date of grant of the Stock Appreciation Right (“purchase price”). Each Stock Appreciation Right may be exercisable in whole or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31" w:name="page332"/>
    <w:bookmarkEnd w:id="33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part on and otherwise subject to the terms provided in the applicable Agreement. No Stock Appreciation Right shall be exercisable at any time after its Term. When a Stock Appreciation Right is no longer exercisable, it shall be deemed to have lapsed or terminated. Except as otherwise provided in the applicable Agreement, upon exercise of a Stock Appreciation Right, payment to the Participant (or to his or her Successor) shall be made in the form of cash, Stock or a combination of cash and Stock (as determined by the Committee if not otherwise specified in the Award) as promptly as practicable after such exercise. The Agreement may provide for a limitation upon the amount or percentage of the total appreciation on which payment (whether in cash and/or Stock) may be made in the event of the exercise of a Stock Appreciation Right. Except as provided by Section 12(f), Participants holding Stock Appreciation Rights shall have no dividend rights with respect to Shares subject to such Stock Appreciation Rights.</w:t>
      </w:r>
    </w:p>
    <w:p>
      <w:pPr>
        <w:spacing w:after="0" w:line="167" w:lineRule="exact"/>
        <w:rPr>
          <w:sz w:val="20"/>
          <w:szCs w:val="20"/>
          <w:color w:val="auto"/>
        </w:rPr>
      </w:pPr>
    </w:p>
    <w:p>
      <w:pPr>
        <w:jc w:val="both"/>
        <w:ind w:firstLine="444"/>
        <w:spacing w:after="0" w:line="286" w:lineRule="auto"/>
        <w:tabs>
          <w:tab w:leader="none" w:pos="830" w:val="left"/>
        </w:tabs>
        <w:numPr>
          <w:ilvl w:val="1"/>
          <w:numId w:val="246"/>
        </w:numPr>
        <w:rPr>
          <w:rFonts w:ascii="Arial" w:cs="Arial" w:eastAsia="Arial" w:hAnsi="Arial"/>
          <w:sz w:val="17"/>
          <w:szCs w:val="17"/>
          <w:color w:val="auto"/>
        </w:rPr>
      </w:pPr>
      <w:r>
        <w:rPr>
          <w:rFonts w:ascii="Arial" w:cs="Arial" w:eastAsia="Arial" w:hAnsi="Arial"/>
          <w:sz w:val="17"/>
          <w:szCs w:val="17"/>
          <w:u w:val="single" w:color="auto"/>
          <w:color w:val="auto"/>
        </w:rPr>
        <w:t>Exercisability</w:t>
      </w:r>
      <w:r>
        <w:rPr>
          <w:rFonts w:ascii="Arial" w:cs="Arial" w:eastAsia="Arial" w:hAnsi="Arial"/>
          <w:sz w:val="17"/>
          <w:szCs w:val="17"/>
          <w:color w:val="auto"/>
        </w:rPr>
        <w:t>. Each Stock Appreciation Right shall vest and be exercisable in whole or in part on the terms provided in the Agreement. In no event shall any Stock Appreciation Right be exercisable at any time after its Term. When a Stock Appreciation Right is no longer exercisable, it shall be deemed to have lapsed or terminated. No Stock Appreciation Right may be exercised for a fraction of a Share.</w:t>
      </w:r>
    </w:p>
    <w:p>
      <w:pPr>
        <w:spacing w:after="0" w:line="310" w:lineRule="exact"/>
        <w:rPr>
          <w:rFonts w:ascii="Arial" w:cs="Arial" w:eastAsia="Arial" w:hAnsi="Arial"/>
          <w:sz w:val="17"/>
          <w:szCs w:val="17"/>
          <w:color w:val="auto"/>
        </w:rPr>
      </w:pPr>
    </w:p>
    <w:p>
      <w:pPr>
        <w:ind w:left="440" w:hanging="436"/>
        <w:spacing w:after="0"/>
        <w:tabs>
          <w:tab w:leader="none" w:pos="44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Shares and other Awards Subject to Performance Criteria.</w:t>
      </w:r>
    </w:p>
    <w:p>
      <w:pPr>
        <w:spacing w:after="0" w:line="121" w:lineRule="exact"/>
        <w:rPr>
          <w:rFonts w:ascii="Arial" w:cs="Arial" w:eastAsia="Arial" w:hAnsi="Arial"/>
          <w:sz w:val="18"/>
          <w:szCs w:val="18"/>
          <w:b w:val="1"/>
          <w:bCs w:val="1"/>
          <w:color w:val="auto"/>
        </w:rPr>
      </w:pPr>
    </w:p>
    <w:p>
      <w:pPr>
        <w:ind w:right="20" w:firstLine="444"/>
        <w:spacing w:after="0" w:line="255" w:lineRule="auto"/>
        <w:tabs>
          <w:tab w:leader="none" w:pos="820" w:val="left"/>
        </w:tabs>
        <w:numPr>
          <w:ilvl w:val="1"/>
          <w:numId w:val="247"/>
        </w:numPr>
        <w:rPr>
          <w:rFonts w:ascii="Arial" w:cs="Arial" w:eastAsia="Arial" w:hAnsi="Arial"/>
          <w:sz w:val="18"/>
          <w:szCs w:val="18"/>
          <w:color w:val="auto"/>
        </w:rPr>
      </w:pPr>
      <w:r>
        <w:rPr>
          <w:rFonts w:ascii="Arial" w:cs="Arial" w:eastAsia="Arial" w:hAnsi="Arial"/>
          <w:sz w:val="18"/>
          <w:szCs w:val="18"/>
          <w:u w:val="single" w:color="auto"/>
          <w:color w:val="auto"/>
        </w:rPr>
        <w:t>Initial Award</w:t>
      </w:r>
      <w:r>
        <w:rPr>
          <w:rFonts w:ascii="Arial" w:cs="Arial" w:eastAsia="Arial" w:hAnsi="Arial"/>
          <w:sz w:val="18"/>
          <w:szCs w:val="18"/>
          <w:color w:val="auto"/>
        </w:rPr>
        <w:t>. An Award of Performance Shares shall entitle a Participant to future payments based upon the achievement of performance goals (including Performance Criteria) established in writing by the Committee and denominated in Stock. Payment shall be made in cash or Stock, or a combination of cash and Stock, as determined by the Committee. Such performance goals and other terms and conditions shall be determined by the Committee in its sole discretion. The Agreement may establish that a portion of the maximum amount of a Participant’s Award will be paid for performance which exceeds the minimum target but falls below the maximum target applicable to such Award. The Agreement shall also provide for the timing of such payment.</w:t>
      </w:r>
    </w:p>
    <w:p>
      <w:pPr>
        <w:spacing w:after="0" w:line="193" w:lineRule="exact"/>
        <w:rPr>
          <w:rFonts w:ascii="Arial" w:cs="Arial" w:eastAsia="Arial" w:hAnsi="Arial"/>
          <w:sz w:val="18"/>
          <w:szCs w:val="18"/>
          <w:color w:val="auto"/>
        </w:rPr>
      </w:pPr>
    </w:p>
    <w:p>
      <w:pPr>
        <w:ind w:left="840" w:hanging="396"/>
        <w:spacing w:after="0"/>
        <w:tabs>
          <w:tab w:leader="none" w:pos="840" w:val="left"/>
        </w:tabs>
        <w:numPr>
          <w:ilvl w:val="1"/>
          <w:numId w:val="247"/>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An Award subject to this Section 9 shall vest or be earned on the terms provided in the Agreement.</w:t>
      </w:r>
    </w:p>
    <w:p>
      <w:pPr>
        <w:spacing w:after="0" w:line="225" w:lineRule="exact"/>
        <w:rPr>
          <w:rFonts w:ascii="Arial" w:cs="Arial" w:eastAsia="Arial" w:hAnsi="Arial"/>
          <w:sz w:val="18"/>
          <w:szCs w:val="18"/>
          <w:color w:val="auto"/>
        </w:rPr>
      </w:pPr>
    </w:p>
    <w:p>
      <w:pPr>
        <w:ind w:right="20" w:firstLine="444"/>
        <w:spacing w:after="0" w:line="277" w:lineRule="auto"/>
        <w:tabs>
          <w:tab w:leader="none" w:pos="820" w:val="left"/>
        </w:tabs>
        <w:numPr>
          <w:ilvl w:val="1"/>
          <w:numId w:val="247"/>
        </w:numPr>
        <w:rPr>
          <w:rFonts w:ascii="Arial" w:cs="Arial" w:eastAsia="Arial" w:hAnsi="Arial"/>
          <w:sz w:val="18"/>
          <w:szCs w:val="18"/>
          <w:color w:val="auto"/>
        </w:rPr>
      </w:pPr>
      <w:r>
        <w:rPr>
          <w:rFonts w:ascii="Arial" w:cs="Arial" w:eastAsia="Arial" w:hAnsi="Arial"/>
          <w:sz w:val="18"/>
          <w:szCs w:val="18"/>
          <w:u w:val="single" w:color="auto"/>
          <w:color w:val="auto"/>
        </w:rPr>
        <w:t>Valuation</w:t>
      </w:r>
      <w:r>
        <w:rPr>
          <w:rFonts w:ascii="Arial" w:cs="Arial" w:eastAsia="Arial" w:hAnsi="Arial"/>
          <w:sz w:val="18"/>
          <w:szCs w:val="18"/>
          <w:color w:val="auto"/>
        </w:rPr>
        <w:t>. To the extent that payment of a Performance Share is made in cash, a Performance Share earned after conclusion of a Performance Period shall have a value equal to the Fair Market Value of a Share on the last day of such Performance Period.</w:t>
      </w:r>
    </w:p>
    <w:p>
      <w:pPr>
        <w:spacing w:after="0" w:line="170" w:lineRule="exact"/>
        <w:rPr>
          <w:rFonts w:ascii="Arial" w:cs="Arial" w:eastAsia="Arial" w:hAnsi="Arial"/>
          <w:sz w:val="18"/>
          <w:szCs w:val="18"/>
          <w:color w:val="auto"/>
        </w:rPr>
      </w:pPr>
    </w:p>
    <w:p>
      <w:pPr>
        <w:ind w:right="140" w:firstLine="444"/>
        <w:spacing w:after="0" w:line="302" w:lineRule="auto"/>
        <w:tabs>
          <w:tab w:leader="none" w:pos="830" w:val="left"/>
        </w:tabs>
        <w:numPr>
          <w:ilvl w:val="1"/>
          <w:numId w:val="247"/>
        </w:numPr>
        <w:rPr>
          <w:rFonts w:ascii="Arial" w:cs="Arial" w:eastAsia="Arial" w:hAnsi="Arial"/>
          <w:sz w:val="16"/>
          <w:szCs w:val="16"/>
          <w:color w:val="auto"/>
        </w:rPr>
      </w:pPr>
      <w:r>
        <w:rPr>
          <w:rFonts w:ascii="Arial" w:cs="Arial" w:eastAsia="Arial" w:hAnsi="Arial"/>
          <w:sz w:val="16"/>
          <w:szCs w:val="16"/>
          <w:u w:val="single" w:color="auto"/>
          <w:color w:val="auto"/>
        </w:rPr>
        <w:t>Voting; Dividends</w:t>
      </w:r>
      <w:r>
        <w:rPr>
          <w:rFonts w:ascii="Arial" w:cs="Arial" w:eastAsia="Arial" w:hAnsi="Arial"/>
          <w:sz w:val="16"/>
          <w:szCs w:val="16"/>
          <w:color w:val="auto"/>
        </w:rPr>
        <w:t>. Participants holding Performance Shares shall have no voting rights with respect to such Awards and shall have no dividend rights with respect to Shares subject to such Performances Shares other than as the Committee so provides, in its discretion, in an Agreement, or as provided by Section 12(f); provided, that, any such dividends shall be subject to the same restrictions and conditions as the Performance Shares underlying such dividends and shall be payable only if, and no earlier than at the same time as, the underlying Performance Shares become vested.</w:t>
      </w:r>
    </w:p>
    <w:p>
      <w:pPr>
        <w:spacing w:after="0" w:line="154" w:lineRule="exact"/>
        <w:rPr>
          <w:rFonts w:ascii="Arial" w:cs="Arial" w:eastAsia="Arial" w:hAnsi="Arial"/>
          <w:sz w:val="16"/>
          <w:szCs w:val="16"/>
          <w:color w:val="auto"/>
        </w:rPr>
      </w:pPr>
    </w:p>
    <w:p>
      <w:pPr>
        <w:ind w:firstLine="444"/>
        <w:spacing w:after="0" w:line="270" w:lineRule="auto"/>
        <w:tabs>
          <w:tab w:leader="none" w:pos="820" w:val="left"/>
        </w:tabs>
        <w:numPr>
          <w:ilvl w:val="1"/>
          <w:numId w:val="247"/>
        </w:numPr>
        <w:rPr>
          <w:rFonts w:ascii="Arial" w:cs="Arial" w:eastAsia="Arial" w:hAnsi="Arial"/>
          <w:sz w:val="17"/>
          <w:szCs w:val="17"/>
          <w:color w:val="auto"/>
        </w:rPr>
      </w:pPr>
      <w:r>
        <w:rPr>
          <w:rFonts w:ascii="Arial" w:cs="Arial" w:eastAsia="Arial" w:hAnsi="Arial"/>
          <w:sz w:val="17"/>
          <w:szCs w:val="17"/>
          <w:u w:val="single" w:color="auto"/>
          <w:color w:val="auto"/>
        </w:rPr>
        <w:t>Performance Criteria</w:t>
      </w:r>
      <w:r>
        <w:rPr>
          <w:rFonts w:ascii="Arial" w:cs="Arial" w:eastAsia="Arial" w:hAnsi="Arial"/>
          <w:sz w:val="17"/>
          <w:szCs w:val="17"/>
          <w:color w:val="auto"/>
        </w:rPr>
        <w:t>. Performance Shares and other Awards under the Plan may be made subject to the achievement of Performance Criteria, which shall be performance goals established by the Committee relating to one or more business criteria as set forth herein. Performance Criteria may be applied to the Company, an Affiliate, a Parent, a Subsidiary, a division, a business unit, a corporate group or an individual or any combination thereof and may be measured in absolute levels or relative to another company or companies, a peer group, an index or indices or Company performance in a previous period. Performance may be measured over such period of time as determined by the Committee. Performance goals that may be used to establish Performance Criteria are: free cash flow, adjusted free cash flow, base-business net sales, total segment profit, adjusted EBIT/EBITDA, adjusted diluted earnings per share, adjusted gross profit, adjusted operating profit, earnings or earnings per share before income tax (profit before taxes), net earnings or net earnings per share (profit after tax), compound annual growth in earnings per share, operating income, total stockholder return, compound stockholder return, market share, return on equity, average return on invested capital, pre-tax and pre-interest expense return on average invested capital, which may be expressed on a current value basis, or sales growth,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332" w:name="page333"/>
    <w:bookmarkEnd w:id="332"/>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marketing, operating or workplan goals. Such Performance Criteria and the amount payable for each performance period if the Performance Criteria are achieved shall be set forth in the applicable Agreement and shall be established pursuant to such procedures and on such terms and conditions as are necessary to satisfy the requirements of the Code or other applicable law.</w:t>
      </w:r>
    </w:p>
    <w:p>
      <w:pPr>
        <w:spacing w:after="0" w:line="326" w:lineRule="exact"/>
        <w:rPr>
          <w:sz w:val="20"/>
          <w:szCs w:val="20"/>
          <w:color w:val="auto"/>
        </w:rPr>
      </w:pPr>
    </w:p>
    <w:p>
      <w:pPr>
        <w:ind w:left="440" w:hanging="436"/>
        <w:spacing w:after="0"/>
        <w:tabs>
          <w:tab w:leader="none" w:pos="44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and Restricted Stock Unit Awards.</w:t>
      </w:r>
    </w:p>
    <w:p>
      <w:pPr>
        <w:spacing w:after="0" w:line="121" w:lineRule="exact"/>
        <w:rPr>
          <w:rFonts w:ascii="Arial" w:cs="Arial" w:eastAsia="Arial" w:hAnsi="Arial"/>
          <w:sz w:val="18"/>
          <w:szCs w:val="18"/>
          <w:b w:val="1"/>
          <w:bCs w:val="1"/>
          <w:color w:val="auto"/>
        </w:rPr>
      </w:pPr>
    </w:p>
    <w:p>
      <w:pPr>
        <w:ind w:firstLine="444"/>
        <w:spacing w:after="0" w:line="269" w:lineRule="auto"/>
        <w:tabs>
          <w:tab w:leader="none" w:pos="820" w:val="left"/>
        </w:tabs>
        <w:numPr>
          <w:ilvl w:val="1"/>
          <w:numId w:val="248"/>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All or any part of any Restricted Stock or Restricted Stock Unit Award may be subject to such conditions and restrictions as may be established by the Committee, and set forth in the applicable Agreement, which may include, but are not limited to, continuous employment with the Company, a requirement that a Participant pay a purchase price for such Award, the achievement of specific performance goals (including Performance Criteria) and/or applicable securities laws restrictions. During any period in which an Award of Restricted Stock or Restricted Stock Units is restricted and subject to a substantial risk of forfeiture, (i) Participants holding Restricted Stock Awards may exercise full voting rights with respect to such Shares and (ii) Participants holding Restricted Stock Units shall have no voting rights with respect to such Awards. Except as provided by Section 12(f), dividends or dividend equivalents shall be subject to the same restrictions and conditions as the Restricted Stock Awards underlying such dividends or the Restricted Stock Units underlying the dividend equivalents and shall be payable only if, and no earlier than at the same time as, the underlying Restricted Stock Award or Restricted Stock Unit become vested. If the Committee determines that Restricted Stock shall be held by the Company or in escrow rather than delivered to the Participant pending the release of the applicable restrictions, the Committee may require the Participant to execute and deliver to the Company an escrow agreement satisfactory to the Committee, if applicable, and an appropriate blank stock power with respect to the Restricted Stock covered by such agreement.</w:t>
      </w:r>
    </w:p>
    <w:p>
      <w:pPr>
        <w:spacing w:after="0" w:line="288" w:lineRule="exact"/>
        <w:rPr>
          <w:rFonts w:ascii="Arial" w:cs="Arial" w:eastAsia="Arial" w:hAnsi="Arial"/>
          <w:sz w:val="17"/>
          <w:szCs w:val="17"/>
          <w:color w:val="auto"/>
        </w:rPr>
      </w:pPr>
    </w:p>
    <w:p>
      <w:pPr>
        <w:ind w:left="840" w:hanging="396"/>
        <w:spacing w:after="0"/>
        <w:tabs>
          <w:tab w:leader="none" w:pos="840" w:val="left"/>
        </w:tabs>
        <w:numPr>
          <w:ilvl w:val="1"/>
          <w:numId w:val="248"/>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428"/>
        <w:spacing w:after="0" w:line="272" w:lineRule="auto"/>
        <w:tabs>
          <w:tab w:leader="none" w:pos="1213" w:val="left"/>
        </w:tabs>
        <w:numPr>
          <w:ilvl w:val="2"/>
          <w:numId w:val="248"/>
        </w:numPr>
        <w:rPr>
          <w:rFonts w:ascii="Arial" w:cs="Arial" w:eastAsia="Arial" w:hAnsi="Arial"/>
          <w:sz w:val="17"/>
          <w:szCs w:val="17"/>
          <w:color w:val="auto"/>
        </w:rPr>
      </w:pPr>
      <w:r>
        <w:rPr>
          <w:rFonts w:ascii="Arial" w:cs="Arial" w:eastAsia="Arial" w:hAnsi="Arial"/>
          <w:sz w:val="17"/>
          <w:szCs w:val="17"/>
          <w:color w:val="auto"/>
        </w:rPr>
        <w:t>Restricted Stock awarded to a Participant shall be subject to the following restrictions until the expiration of the period during which the Award is restricted, and to such other terms and conditions as may be set forth in the applicable Agreement: (A) if an escrow arrangement is used, the Participant shall not be entitled to delivery of the stock certificate; (B) the Shares shall be subject to the restrictions on transferability set forth in the Agreement; (C) the Shares shall be subject to forfeiture for such period and subject to satisfaction of any applicable performance goals (including Performance Criteria) during such period, to the extent provided in the applicable Agreement; and (D) to the extent such Shares are forfeited, the stock certificates, if any, shall be returned to the Company, and all rights of the Participant to such Shares and, as a stockholder, with respect to such Shares shall terminate without further obligation on the part of the Company.</w:t>
      </w:r>
    </w:p>
    <w:p>
      <w:pPr>
        <w:spacing w:after="0" w:line="69" w:lineRule="exact"/>
        <w:rPr>
          <w:rFonts w:ascii="Arial" w:cs="Arial" w:eastAsia="Arial" w:hAnsi="Arial"/>
          <w:sz w:val="17"/>
          <w:szCs w:val="17"/>
          <w:color w:val="auto"/>
        </w:rPr>
      </w:pPr>
    </w:p>
    <w:p>
      <w:pPr>
        <w:ind w:left="440" w:right="140" w:firstLine="428"/>
        <w:spacing w:after="0" w:line="257" w:lineRule="auto"/>
        <w:tabs>
          <w:tab w:leader="none" w:pos="1263" w:val="left"/>
        </w:tabs>
        <w:numPr>
          <w:ilvl w:val="2"/>
          <w:numId w:val="248"/>
        </w:numPr>
        <w:rPr>
          <w:rFonts w:ascii="Arial" w:cs="Arial" w:eastAsia="Arial" w:hAnsi="Arial"/>
          <w:sz w:val="18"/>
          <w:szCs w:val="18"/>
          <w:color w:val="auto"/>
        </w:rPr>
      </w:pPr>
      <w:r>
        <w:rPr>
          <w:rFonts w:ascii="Arial" w:cs="Arial" w:eastAsia="Arial" w:hAnsi="Arial"/>
          <w:sz w:val="18"/>
          <w:szCs w:val="18"/>
          <w:color w:val="auto"/>
        </w:rPr>
        <w:t>Restricted Stock Units awarded to any Participant shall be subject to (A) forfeiture until the expiration of the period during which the Award is restricted, and the satisfaction of any applicable performance goals (including Performance Criteria) during such period, to the extent provided in the applicable Agreement, and to the extent such Restricted Stock Units are forfeited, all rights of the Participant to such Restricted Stock Units shall terminate without further obligation on the part of the Company and (B) such other terms and conditions as may be set forth in the applicable Agreement.</w:t>
      </w:r>
    </w:p>
    <w:p>
      <w:pPr>
        <w:spacing w:after="0" w:line="80" w:lineRule="exact"/>
        <w:rPr>
          <w:rFonts w:ascii="Arial" w:cs="Arial" w:eastAsia="Arial" w:hAnsi="Arial"/>
          <w:sz w:val="18"/>
          <w:szCs w:val="18"/>
          <w:color w:val="auto"/>
        </w:rPr>
      </w:pPr>
    </w:p>
    <w:p>
      <w:pPr>
        <w:jc w:val="both"/>
        <w:ind w:left="440" w:right="280" w:firstLine="428"/>
        <w:spacing w:after="0" w:line="264" w:lineRule="auto"/>
        <w:tabs>
          <w:tab w:leader="none" w:pos="1310" w:val="left"/>
        </w:tabs>
        <w:numPr>
          <w:ilvl w:val="2"/>
          <w:numId w:val="248"/>
        </w:numPr>
        <w:rPr>
          <w:rFonts w:ascii="Arial" w:cs="Arial" w:eastAsia="Arial" w:hAnsi="Arial"/>
          <w:sz w:val="18"/>
          <w:szCs w:val="18"/>
          <w:color w:val="auto"/>
        </w:rPr>
      </w:pPr>
      <w:r>
        <w:rPr>
          <w:rFonts w:ascii="Arial" w:cs="Arial" w:eastAsia="Arial" w:hAnsi="Arial"/>
          <w:sz w:val="18"/>
          <w:szCs w:val="18"/>
          <w:color w:val="auto"/>
        </w:rPr>
        <w:t>The Committee shall have the authority to remove any or all of the restrictions on the Restricted Stock and Restricted Stock Units whenever it may determine that, by reason of changes in applicable laws or other changes in circumstances arising after the date the Restricted Stock or Restricted Stock Units are granted, such action is appropriate.</w:t>
      </w:r>
    </w:p>
    <w:p>
      <w:pPr>
        <w:spacing w:after="0" w:line="181" w:lineRule="exact"/>
        <w:rPr>
          <w:rFonts w:ascii="Arial" w:cs="Arial" w:eastAsia="Arial" w:hAnsi="Arial"/>
          <w:sz w:val="18"/>
          <w:szCs w:val="18"/>
          <w:color w:val="auto"/>
        </w:rPr>
      </w:pPr>
    </w:p>
    <w:p>
      <w:pPr>
        <w:ind w:right="740" w:firstLine="444"/>
        <w:spacing w:after="0" w:line="342" w:lineRule="auto"/>
        <w:tabs>
          <w:tab w:leader="none" w:pos="820" w:val="left"/>
        </w:tabs>
        <w:numPr>
          <w:ilvl w:val="1"/>
          <w:numId w:val="248"/>
        </w:numPr>
        <w:rPr>
          <w:rFonts w:ascii="Arial" w:cs="Arial" w:eastAsia="Arial" w:hAnsi="Arial"/>
          <w:sz w:val="16"/>
          <w:szCs w:val="16"/>
          <w:color w:val="auto"/>
        </w:rPr>
      </w:pPr>
      <w:r>
        <w:rPr>
          <w:rFonts w:ascii="Arial" w:cs="Arial" w:eastAsia="Arial" w:hAnsi="Arial"/>
          <w:sz w:val="16"/>
          <w:szCs w:val="16"/>
          <w:u w:val="single" w:color="auto"/>
          <w:color w:val="auto"/>
        </w:rPr>
        <w:t>Restricted Period</w:t>
      </w:r>
      <w:r>
        <w:rPr>
          <w:rFonts w:ascii="Arial" w:cs="Arial" w:eastAsia="Arial" w:hAnsi="Arial"/>
          <w:sz w:val="16"/>
          <w:szCs w:val="16"/>
          <w:color w:val="auto"/>
        </w:rPr>
        <w:t>. An Award of Restricted Stock or Restricted Stock Units shall vest on the terms provided in the Agreement. Each certificate representing Restricted Stock awarded under the Plan shall bear a legend in such form as the Company deems appropriate.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3" w:right="459" w:bottom="1440" w:gutter="0" w:footer="0" w:header="0"/>
        </w:sectPr>
      </w:pPr>
    </w:p>
    <w:bookmarkStart w:id="333" w:name="page334"/>
    <w:bookmarkEnd w:id="333"/>
    <w:p>
      <w:pPr>
        <w:ind w:right="100" w:firstLine="4"/>
        <w:spacing w:after="0" w:line="274" w:lineRule="auto"/>
        <w:tabs>
          <w:tab w:leader="none" w:pos="395" w:val="left"/>
        </w:tabs>
        <w:numPr>
          <w:ilvl w:val="0"/>
          <w:numId w:val="24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Other Awards. </w:t>
      </w:r>
      <w:r>
        <w:rPr>
          <w:rFonts w:ascii="Arial" w:cs="Arial" w:eastAsia="Arial" w:hAnsi="Arial"/>
          <w:sz w:val="17"/>
          <w:szCs w:val="17"/>
          <w:color w:val="auto"/>
        </w:rPr>
        <w:t>The Committee may from time to time grant Other Awards under this Plan, including without limitation those Awards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which a cash bonus award may be made or pursuant to which Shares may be acquired in the future, such as Awards denominated in Stock, Units of Stock, securities convertible into Stock and phantom securities. The Committee, in its sole discretion, shall determine, and provide in the applicable Agreement for, the terms and conditions of such Awards provided that such Awards shall not be inconsistent with the terms and purposes of this Plan. The Committee may, in its sole discretion, direct the Company to issue Shares subject to restrictive legends and/or stop transfer instructions which are consistent with the terms and conditions of the Award to which such Shares relate.</w:t>
      </w:r>
    </w:p>
    <w:p>
      <w:pPr>
        <w:spacing w:after="0" w:line="322" w:lineRule="exact"/>
        <w:rPr>
          <w:rFonts w:ascii="Arial" w:cs="Arial" w:eastAsia="Arial" w:hAnsi="Arial"/>
          <w:sz w:val="17"/>
          <w:szCs w:val="17"/>
          <w:b w:val="1"/>
          <w:bCs w:val="1"/>
          <w:color w:val="auto"/>
        </w:rPr>
      </w:pPr>
    </w:p>
    <w:p>
      <w:pPr>
        <w:ind w:left="440" w:hanging="436"/>
        <w:spacing w:after="0"/>
        <w:tabs>
          <w:tab w:leader="none" w:pos="44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121" w:lineRule="exact"/>
        <w:rPr>
          <w:rFonts w:ascii="Arial" w:cs="Arial" w:eastAsia="Arial" w:hAnsi="Arial"/>
          <w:sz w:val="18"/>
          <w:szCs w:val="18"/>
          <w:b w:val="1"/>
          <w:bCs w:val="1"/>
          <w:color w:val="auto"/>
        </w:rPr>
      </w:pPr>
    </w:p>
    <w:p>
      <w:pPr>
        <w:ind w:left="820" w:hanging="376"/>
        <w:spacing w:after="0"/>
        <w:tabs>
          <w:tab w:leader="none" w:pos="820" w:val="left"/>
        </w:tabs>
        <w:numPr>
          <w:ilvl w:val="1"/>
          <w:numId w:val="249"/>
        </w:numPr>
        <w:rPr>
          <w:rFonts w:ascii="Arial" w:cs="Arial" w:eastAsia="Arial" w:hAnsi="Arial"/>
          <w:sz w:val="18"/>
          <w:szCs w:val="18"/>
          <w:color w:val="auto"/>
        </w:rPr>
      </w:pPr>
      <w:r>
        <w:rPr>
          <w:rFonts w:ascii="Arial" w:cs="Arial" w:eastAsia="Arial" w:hAnsi="Arial"/>
          <w:sz w:val="18"/>
          <w:szCs w:val="18"/>
          <w:u w:val="single" w:color="auto"/>
          <w:color w:val="auto"/>
        </w:rPr>
        <w:t>Effective Date of this Plan</w:t>
      </w:r>
      <w:r>
        <w:rPr>
          <w:rFonts w:ascii="Arial" w:cs="Arial" w:eastAsia="Arial" w:hAnsi="Arial"/>
          <w:sz w:val="18"/>
          <w:szCs w:val="18"/>
          <w:color w:val="auto"/>
        </w:rPr>
        <w:t>. This Plan shall become effective as of September 30, 2019.</w:t>
      </w:r>
    </w:p>
    <w:p>
      <w:pPr>
        <w:spacing w:after="0" w:line="225" w:lineRule="exact"/>
        <w:rPr>
          <w:rFonts w:ascii="Arial" w:cs="Arial" w:eastAsia="Arial" w:hAnsi="Arial"/>
          <w:sz w:val="18"/>
          <w:szCs w:val="18"/>
          <w:color w:val="auto"/>
        </w:rPr>
      </w:pPr>
    </w:p>
    <w:p>
      <w:pPr>
        <w:ind w:right="20" w:firstLine="444"/>
        <w:spacing w:after="0" w:line="270" w:lineRule="auto"/>
        <w:tabs>
          <w:tab w:leader="none" w:pos="830" w:val="left"/>
        </w:tabs>
        <w:numPr>
          <w:ilvl w:val="1"/>
          <w:numId w:val="249"/>
        </w:numPr>
        <w:rPr>
          <w:rFonts w:ascii="Arial" w:cs="Arial" w:eastAsia="Arial" w:hAnsi="Arial"/>
          <w:sz w:val="17"/>
          <w:szCs w:val="17"/>
          <w:color w:val="auto"/>
        </w:rPr>
      </w:pPr>
      <w:r>
        <w:rPr>
          <w:rFonts w:ascii="Arial" w:cs="Arial" w:eastAsia="Arial" w:hAnsi="Arial"/>
          <w:sz w:val="17"/>
          <w:szCs w:val="17"/>
          <w:u w:val="single" w:color="auto"/>
          <w:color w:val="auto"/>
        </w:rPr>
        <w:t>Duration of this Plan; Date of Grant</w:t>
      </w:r>
      <w:r>
        <w:rPr>
          <w:rFonts w:ascii="Arial" w:cs="Arial" w:eastAsia="Arial" w:hAnsi="Arial"/>
          <w:sz w:val="17"/>
          <w:szCs w:val="17"/>
          <w:color w:val="auto"/>
        </w:rPr>
        <w:t>. This Plan shall remain in effect for a term of ten (10) years following the date on which it is effective (i.e., until September 30, 2029) or until all Shares subject to the Plan shall have been purchased or acquired according to the Plan’s provisions, whichever occurs first, unless this Plan is sooner terminated pursuant to Section 12(e) hereof. No Awards shall be granted pursuant to the Plan after such Plan termination or expiration, but outstanding Awards may extend beyond that date. The date and time of approval by the Committee of the granting of an Award shall be considered the date and time at which such Award is made or granted, or such later effective date as determined by the Committee, notwithstanding the date of any Agreement with respect to such Award; provided, however, that the Committee may grant Awards other than Incentive Stock Options to Associates or to persons who are about to become Associates, to be effective and deemed to be granted on the occurrence of certain specified contingencies, provided that if the Award is granted to a non-Associate who is about to become an Associate, such specified contingencies shall include, without limitation, that such person becomes an Associate.</w:t>
      </w:r>
    </w:p>
    <w:p>
      <w:pPr>
        <w:spacing w:after="0" w:line="181" w:lineRule="exact"/>
        <w:rPr>
          <w:rFonts w:ascii="Arial" w:cs="Arial" w:eastAsia="Arial" w:hAnsi="Arial"/>
          <w:sz w:val="17"/>
          <w:szCs w:val="17"/>
          <w:color w:val="auto"/>
        </w:rPr>
      </w:pPr>
    </w:p>
    <w:p>
      <w:pPr>
        <w:ind w:right="160" w:firstLine="444"/>
        <w:spacing w:after="0" w:line="264" w:lineRule="auto"/>
        <w:tabs>
          <w:tab w:leader="none" w:pos="820" w:val="left"/>
        </w:tabs>
        <w:numPr>
          <w:ilvl w:val="1"/>
          <w:numId w:val="249"/>
        </w:numPr>
        <w:rPr>
          <w:rFonts w:ascii="Arial" w:cs="Arial" w:eastAsia="Arial" w:hAnsi="Arial"/>
          <w:sz w:val="18"/>
          <w:szCs w:val="18"/>
          <w:color w:val="auto"/>
        </w:rPr>
      </w:pPr>
      <w:r>
        <w:rPr>
          <w:rFonts w:ascii="Arial" w:cs="Arial" w:eastAsia="Arial" w:hAnsi="Arial"/>
          <w:sz w:val="18"/>
          <w:szCs w:val="18"/>
          <w:u w:val="single" w:color="auto"/>
          <w:color w:val="auto"/>
        </w:rPr>
        <w:t>Right to Terminate Employment</w:t>
      </w:r>
      <w:r>
        <w:rPr>
          <w:rFonts w:ascii="Arial" w:cs="Arial" w:eastAsia="Arial" w:hAnsi="Arial"/>
          <w:sz w:val="18"/>
          <w:szCs w:val="18"/>
          <w:color w:val="auto"/>
        </w:rPr>
        <w:t>. Nothing in this Plan or in any Agreement shall confer upon any Participant the right to continue in the employment of the Company or any Affiliate or affect any right which the Company or any Affiliate may have to terminate or modify the employment of the Participant with or without cause.</w:t>
      </w:r>
    </w:p>
    <w:p>
      <w:pPr>
        <w:spacing w:after="0" w:line="181" w:lineRule="exact"/>
        <w:rPr>
          <w:rFonts w:ascii="Arial" w:cs="Arial" w:eastAsia="Arial" w:hAnsi="Arial"/>
          <w:sz w:val="18"/>
          <w:szCs w:val="18"/>
          <w:color w:val="auto"/>
        </w:rPr>
      </w:pPr>
    </w:p>
    <w:p>
      <w:pPr>
        <w:ind w:right="20" w:firstLine="444"/>
        <w:spacing w:after="0" w:line="290" w:lineRule="auto"/>
        <w:tabs>
          <w:tab w:leader="none" w:pos="830" w:val="left"/>
        </w:tabs>
        <w:numPr>
          <w:ilvl w:val="1"/>
          <w:numId w:val="249"/>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shall withhold from any payment of cash or Stock to a Participant or other person under this Plan an amount sufficient to cover any required withholding taxes, including the Participant’s social security and Medicare taxes (FICA) and federal, state and local income tax with respect to income arising from payment of the Award. The Company shall have the right to require the payment of any such taxes before issuing any Stock pursuant to the Award. In lieu of all or any part of a cash payment from a person receiving Stock under this Plan, the Committee may, in the applicable Agreement or otherwise, permit a person to cover all or any part of the required withholdings, and to cover any additional withholdings up to the amount needed to cover the person’s full FICA and federal, state and local income tax with respect to income arising from payment of the Award, through a reduction of the numbers of Shares delivered to such person or a delivery or tender to the Company of Shares held by such person, in each case valued in the same manner as used in computing the withholding taxes under applicable laws.</w:t>
      </w:r>
    </w:p>
    <w:p>
      <w:pPr>
        <w:spacing w:after="0" w:line="166" w:lineRule="exact"/>
        <w:rPr>
          <w:rFonts w:ascii="Arial" w:cs="Arial" w:eastAsia="Arial" w:hAnsi="Arial"/>
          <w:sz w:val="16"/>
          <w:szCs w:val="16"/>
          <w:color w:val="auto"/>
        </w:rPr>
      </w:pPr>
    </w:p>
    <w:p>
      <w:pPr>
        <w:ind w:firstLine="444"/>
        <w:spacing w:after="0" w:line="289" w:lineRule="auto"/>
        <w:tabs>
          <w:tab w:leader="none" w:pos="820" w:val="left"/>
        </w:tabs>
        <w:numPr>
          <w:ilvl w:val="1"/>
          <w:numId w:val="249"/>
        </w:numPr>
        <w:rPr>
          <w:rFonts w:ascii="Arial" w:cs="Arial" w:eastAsia="Arial" w:hAnsi="Arial"/>
          <w:sz w:val="16"/>
          <w:szCs w:val="16"/>
          <w:color w:val="auto"/>
        </w:rPr>
      </w:pPr>
      <w:r>
        <w:rPr>
          <w:rFonts w:ascii="Arial" w:cs="Arial" w:eastAsia="Arial" w:hAnsi="Arial"/>
          <w:sz w:val="16"/>
          <w:szCs w:val="16"/>
          <w:u w:val="single" w:color="auto"/>
          <w:color w:val="auto"/>
        </w:rPr>
        <w:t>Amendment, Modification and Termination of this Plan</w:t>
      </w:r>
      <w:r>
        <w:rPr>
          <w:rFonts w:ascii="Arial" w:cs="Arial" w:eastAsia="Arial" w:hAnsi="Arial"/>
          <w:sz w:val="16"/>
          <w:szCs w:val="16"/>
          <w:color w:val="auto"/>
        </w:rPr>
        <w:t>. Except as provided in this Section 12(e), the Board may at any time amend, modify, terminate or suspend this Plan. Except as provided in this Section 12(e), the Committee may at any time alter or amend any or all Agreements under this Plan to the extent permitted by law and subject to the requirements of Section 2(b), in which event, as provided in Section 2(b), the term “Agreement” shall mean the Agreement as so amended. Amendments are subject to approval of the stockholders of the Company only as required by applicable law or regulation, or if the amendment increases the total number of shares available under this Plan, except as provided in Section 12(f). No termination, suspension or modification of this Plan may materially and adversely affect any right acquired by any Participant (or a Participant’s legal representative) or any Successor or permitted transferee under an Award granted before the date of termination, suspension or modification, unless otherwise provided in an Agreement or otherwise or required as a matter of law. It is conclusively presumed that any adjustment for changes in capitalization provided for in Section 12(f) hereof does not adversely affect any right of a Participant or other person under an Award. It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69" w:right="439" w:bottom="1440" w:gutter="0" w:footer="0" w:header="0"/>
        </w:sectPr>
      </w:pPr>
    </w:p>
    <w:bookmarkStart w:id="334" w:name="page335"/>
    <w:bookmarkEnd w:id="334"/>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expressly contemplated that the Board may amend the Plan in any respect the Board deems necessary or advisable to provide eligible Associates with the maximum benefits provided or to be provided under the provisions of the Code relating to Incentive Stock Options or to the provisions of Section 409A of the Code and/or to bring the Plan and/or Awards granted under it into compliance therewith.</w:t>
      </w:r>
    </w:p>
    <w:p>
      <w:pPr>
        <w:spacing w:after="0" w:line="289" w:lineRule="exact"/>
        <w:rPr>
          <w:sz w:val="20"/>
          <w:szCs w:val="20"/>
          <w:color w:val="auto"/>
        </w:rPr>
      </w:pPr>
    </w:p>
    <w:p>
      <w:pPr>
        <w:ind w:left="800" w:hanging="356"/>
        <w:spacing w:after="0"/>
        <w:tabs>
          <w:tab w:leader="none" w:pos="800"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Adjustment Upon Certain Changes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996"/>
        <w:spacing w:after="0" w:line="279" w:lineRule="auto"/>
        <w:tabs>
          <w:tab w:leader="none" w:pos="1342" w:val="left"/>
        </w:tabs>
        <w:numPr>
          <w:ilvl w:val="1"/>
          <w:numId w:val="250"/>
        </w:numPr>
        <w:rPr>
          <w:rFonts w:ascii="Arial" w:cs="Arial" w:eastAsia="Arial" w:hAnsi="Arial"/>
          <w:sz w:val="17"/>
          <w:szCs w:val="17"/>
          <w:color w:val="auto"/>
        </w:rPr>
      </w:pPr>
      <w:r>
        <w:rPr>
          <w:rFonts w:ascii="Arial" w:cs="Arial" w:eastAsia="Arial" w:hAnsi="Arial"/>
          <w:sz w:val="17"/>
          <w:szCs w:val="17"/>
          <w:u w:val="single" w:color="auto"/>
          <w:color w:val="auto"/>
        </w:rPr>
        <w:t>Shares Available for Grants</w:t>
      </w:r>
      <w:r>
        <w:rPr>
          <w:rFonts w:ascii="Arial" w:cs="Arial" w:eastAsia="Arial" w:hAnsi="Arial"/>
          <w:sz w:val="17"/>
          <w:szCs w:val="17"/>
          <w:color w:val="auto"/>
        </w:rPr>
        <w:t>. In the event of any change in the number of Shares outstanding by reason of any stock dividend or split, recapitalization, merger, consolidation, combination or exchange of shares or similar corporate change or transaction, the maximum aggregate number of Shares with respect to which the Committee may grant Awards and the maximum aggregate number of Shares with respect to which the Committee may grant Awards to any individual Participant in any year shall be appropriately adjusted by the Committee.</w:t>
      </w:r>
    </w:p>
    <w:p>
      <w:pPr>
        <w:spacing w:after="0" w:line="171" w:lineRule="exact"/>
        <w:rPr>
          <w:rFonts w:ascii="Arial" w:cs="Arial" w:eastAsia="Arial" w:hAnsi="Arial"/>
          <w:sz w:val="17"/>
          <w:szCs w:val="17"/>
          <w:color w:val="auto"/>
        </w:rPr>
      </w:pPr>
    </w:p>
    <w:p>
      <w:pPr>
        <w:ind w:right="120" w:firstLine="996"/>
        <w:spacing w:after="0" w:line="276" w:lineRule="auto"/>
        <w:tabs>
          <w:tab w:leader="none" w:pos="1392" w:val="left"/>
        </w:tabs>
        <w:numPr>
          <w:ilvl w:val="1"/>
          <w:numId w:val="250"/>
        </w:numPr>
        <w:rPr>
          <w:rFonts w:ascii="Arial" w:cs="Arial" w:eastAsia="Arial" w:hAnsi="Arial"/>
          <w:sz w:val="17"/>
          <w:szCs w:val="17"/>
          <w:color w:val="auto"/>
        </w:rPr>
      </w:pPr>
      <w:r>
        <w:rPr>
          <w:rFonts w:ascii="Arial" w:cs="Arial" w:eastAsia="Arial" w:hAnsi="Arial"/>
          <w:sz w:val="17"/>
          <w:szCs w:val="17"/>
          <w:u w:val="single" w:color="auto"/>
          <w:color w:val="auto"/>
        </w:rPr>
        <w:t>Increase or Decrease in Issued Shares Without Consideration</w:t>
      </w:r>
      <w:r>
        <w:rPr>
          <w:rFonts w:ascii="Arial" w:cs="Arial" w:eastAsia="Arial" w:hAnsi="Arial"/>
          <w:sz w:val="17"/>
          <w:szCs w:val="17"/>
          <w:color w:val="auto"/>
        </w:rPr>
        <w:t>. Subject to any required action by the stockholders of the Company, in the event of any increase or decrease in the number of issued Shares resulting from a subdivision or consolidation of Shares, the payment of a stock dividend (but only on the Shares), or any other increase or decrease in the number of such Shares effected without receipt or payment of consideration by the Company, the Committee shall appropriately adjust the number of Shares subject to each outstanding Award and the exercise price per Share, or similar reference price, to the extent applicable, of each such Award.</w:t>
      </w:r>
    </w:p>
    <w:p>
      <w:pPr>
        <w:spacing w:after="0" w:line="172" w:lineRule="exact"/>
        <w:rPr>
          <w:rFonts w:ascii="Arial" w:cs="Arial" w:eastAsia="Arial" w:hAnsi="Arial"/>
          <w:sz w:val="17"/>
          <w:szCs w:val="17"/>
          <w:color w:val="auto"/>
        </w:rPr>
      </w:pPr>
    </w:p>
    <w:p>
      <w:pPr>
        <w:ind w:right="20" w:firstLine="996"/>
        <w:spacing w:after="0" w:line="257" w:lineRule="auto"/>
        <w:tabs>
          <w:tab w:leader="none" w:pos="1442" w:val="left"/>
        </w:tabs>
        <w:numPr>
          <w:ilvl w:val="1"/>
          <w:numId w:val="250"/>
        </w:numPr>
        <w:rPr>
          <w:rFonts w:ascii="Arial" w:cs="Arial" w:eastAsia="Arial" w:hAnsi="Arial"/>
          <w:sz w:val="18"/>
          <w:szCs w:val="18"/>
          <w:color w:val="auto"/>
        </w:rPr>
      </w:pPr>
      <w:r>
        <w:rPr>
          <w:rFonts w:ascii="Arial" w:cs="Arial" w:eastAsia="Arial" w:hAnsi="Arial"/>
          <w:sz w:val="18"/>
          <w:szCs w:val="18"/>
          <w:u w:val="single" w:color="auto"/>
          <w:color w:val="auto"/>
        </w:rPr>
        <w:t>Certain Mergers</w:t>
      </w:r>
      <w:r>
        <w:rPr>
          <w:rFonts w:ascii="Arial" w:cs="Arial" w:eastAsia="Arial" w:hAnsi="Arial"/>
          <w:sz w:val="18"/>
          <w:szCs w:val="18"/>
          <w:color w:val="auto"/>
        </w:rPr>
        <w:t>. Subject to any required action by the stockholders of the Company, in the event that the Company shall be the surviving corporation in any merger, consolidation or similar transaction as a result of which the holders of Shares receive consideration consisting exclusively of securities of such surviving corporation, the Committee shall have the power to adjust each Award outstanding on the date of such merger or consolidation so that it pertains and applies to the securities which a holder of the number of Shares subject to such Award would have received in such merger or consolidation.</w:t>
      </w:r>
    </w:p>
    <w:p>
      <w:pPr>
        <w:spacing w:after="0" w:line="188" w:lineRule="exact"/>
        <w:rPr>
          <w:rFonts w:ascii="Arial" w:cs="Arial" w:eastAsia="Arial" w:hAnsi="Arial"/>
          <w:sz w:val="18"/>
          <w:szCs w:val="18"/>
          <w:color w:val="auto"/>
        </w:rPr>
      </w:pPr>
    </w:p>
    <w:p>
      <w:pPr>
        <w:ind w:firstLine="996"/>
        <w:spacing w:after="0" w:line="257" w:lineRule="auto"/>
        <w:tabs>
          <w:tab w:leader="none" w:pos="1432" w:val="left"/>
        </w:tabs>
        <w:numPr>
          <w:ilvl w:val="1"/>
          <w:numId w:val="250"/>
        </w:numPr>
        <w:rPr>
          <w:rFonts w:ascii="Arial" w:cs="Arial" w:eastAsia="Arial" w:hAnsi="Arial"/>
          <w:sz w:val="18"/>
          <w:szCs w:val="18"/>
          <w:color w:val="auto"/>
        </w:rPr>
      </w:pPr>
      <w:r>
        <w:rPr>
          <w:rFonts w:ascii="Arial" w:cs="Arial" w:eastAsia="Arial" w:hAnsi="Arial"/>
          <w:sz w:val="18"/>
          <w:szCs w:val="18"/>
          <w:u w:val="single" w:color="auto"/>
          <w:color w:val="auto"/>
        </w:rPr>
        <w:t>Certain Other Transactions</w:t>
      </w:r>
      <w:r>
        <w:rPr>
          <w:rFonts w:ascii="Arial" w:cs="Arial" w:eastAsia="Arial" w:hAnsi="Arial"/>
          <w:sz w:val="18"/>
          <w:szCs w:val="18"/>
          <w:color w:val="auto"/>
        </w:rPr>
        <w:t>. In the event of (A) a dissolution or liquidation of the Company, (B) a sale of all or substantially all of the Company’s assets (on a consolidated basis), (C) a merger, consolidation or similar transaction involving the Company in which the Company is not the surviving corporation or (D) a merger, consolidation or similar transaction involving the Company in which the Company is the surviving corporation but the holders of Shares receive securities of another corporation and/or other property, including cash, the Committee shall, in its sole discretion, have the power to:</w:t>
      </w:r>
    </w:p>
    <w:p>
      <w:pPr>
        <w:spacing w:after="0" w:line="80" w:lineRule="exact"/>
        <w:rPr>
          <w:rFonts w:ascii="Arial" w:cs="Arial" w:eastAsia="Arial" w:hAnsi="Arial"/>
          <w:sz w:val="18"/>
          <w:szCs w:val="18"/>
          <w:color w:val="auto"/>
        </w:rPr>
      </w:pPr>
    </w:p>
    <w:p>
      <w:pPr>
        <w:ind w:left="1440" w:right="260" w:hanging="4"/>
        <w:spacing w:after="0" w:line="286" w:lineRule="auto"/>
        <w:tabs>
          <w:tab w:leader="none" w:pos="1695" w:val="left"/>
        </w:tabs>
        <w:numPr>
          <w:ilvl w:val="2"/>
          <w:numId w:val="250"/>
        </w:numPr>
        <w:rPr>
          <w:rFonts w:ascii="Arial" w:cs="Arial" w:eastAsia="Arial" w:hAnsi="Arial"/>
          <w:sz w:val="16"/>
          <w:szCs w:val="16"/>
          <w:color w:val="auto"/>
        </w:rPr>
      </w:pPr>
      <w:r>
        <w:rPr>
          <w:rFonts w:ascii="Arial" w:cs="Arial" w:eastAsia="Arial" w:hAnsi="Arial"/>
          <w:sz w:val="16"/>
          <w:szCs w:val="16"/>
          <w:color w:val="auto"/>
        </w:rPr>
        <w:t>cancel, effective immediately prior to the occurrence of such event, each Award (whether or not then exercisable), and, in full consideration of such cancellation, pay to the Participant to whom such Award was granted an amount in cash for each share of Stock subject to such Award equal to the value, as determined by the Committee in its reasonable discretion, of such Award, provided that with respect to any outstanding Stock Option or Stock Appreciation Right such value shall be equal to the excess of</w:t>
      </w:r>
    </w:p>
    <w:p>
      <w:pPr>
        <w:spacing w:after="0" w:line="1" w:lineRule="exact"/>
        <w:rPr>
          <w:rFonts w:ascii="Arial" w:cs="Arial" w:eastAsia="Arial" w:hAnsi="Arial"/>
          <w:sz w:val="16"/>
          <w:szCs w:val="16"/>
          <w:color w:val="auto"/>
        </w:rPr>
      </w:pPr>
    </w:p>
    <w:p>
      <w:pPr>
        <w:ind w:left="1440" w:right="100"/>
        <w:spacing w:after="0" w:line="273" w:lineRule="auto"/>
        <w:rPr>
          <w:rFonts w:ascii="Arial" w:cs="Arial" w:eastAsia="Arial" w:hAnsi="Arial"/>
          <w:sz w:val="16"/>
          <w:szCs w:val="16"/>
          <w:color w:val="auto"/>
        </w:rPr>
      </w:pPr>
      <w:r>
        <w:rPr>
          <w:rFonts w:ascii="Arial" w:cs="Arial" w:eastAsia="Arial" w:hAnsi="Arial"/>
          <w:sz w:val="17"/>
          <w:szCs w:val="17"/>
          <w:color w:val="auto"/>
        </w:rPr>
        <w:t>(I) the value, as determined by the Committee in its reasonable discretion, of the property (including cash) received by the holder of a Share as a result of such event over (II) the exercise price per Share of such Stock Option or Stock Appreciation Right, and provided, further, that the Committee shall not accelerate the vesting of an Award in a manner that is inconsistent with Section 6(g) hereof, unless the Committee determines that such acceleration is in the best interests of the Company; or</w:t>
      </w:r>
    </w:p>
    <w:p>
      <w:pPr>
        <w:spacing w:after="0" w:line="68" w:lineRule="exact"/>
        <w:rPr>
          <w:rFonts w:ascii="Arial" w:cs="Arial" w:eastAsia="Arial" w:hAnsi="Arial"/>
          <w:sz w:val="16"/>
          <w:szCs w:val="16"/>
          <w:color w:val="auto"/>
        </w:rPr>
      </w:pPr>
    </w:p>
    <w:p>
      <w:pPr>
        <w:ind w:left="1440" w:right="80" w:hanging="4"/>
        <w:spacing w:after="0" w:line="312" w:lineRule="auto"/>
        <w:tabs>
          <w:tab w:leader="none" w:pos="1695" w:val="left"/>
        </w:tabs>
        <w:numPr>
          <w:ilvl w:val="2"/>
          <w:numId w:val="250"/>
        </w:numPr>
        <w:rPr>
          <w:rFonts w:ascii="Arial" w:cs="Arial" w:eastAsia="Arial" w:hAnsi="Arial"/>
          <w:sz w:val="16"/>
          <w:szCs w:val="16"/>
          <w:color w:val="auto"/>
        </w:rPr>
      </w:pPr>
      <w:r>
        <w:rPr>
          <w:rFonts w:ascii="Arial" w:cs="Arial" w:eastAsia="Arial" w:hAnsi="Arial"/>
          <w:sz w:val="16"/>
          <w:szCs w:val="16"/>
          <w:color w:val="auto"/>
        </w:rPr>
        <w:t>provide for the exchange of each Award (whether or not then exercisable or vested) for an Award with respect to, as appropriate, some or all of the property which a holder of the number of Shares subject to such Award would have received in such transaction and, incident thereto, make an equitable adjustment as determined by the Committee in its reasonable discretion in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335" w:name="page336"/>
    <w:bookmarkEnd w:id="335"/>
    <w:p>
      <w:pPr>
        <w:ind w:left="1440" w:right="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price of the Award, or the number of shares or amount of property subject to the Award or, if appropriate, provide for a cash payment to the Participant to whom such Award was granted in partial consideration for the exchange of the Award.</w:t>
      </w:r>
    </w:p>
    <w:p>
      <w:pPr>
        <w:spacing w:after="0" w:line="147" w:lineRule="exact"/>
        <w:rPr>
          <w:sz w:val="20"/>
          <w:szCs w:val="20"/>
          <w:color w:val="auto"/>
        </w:rPr>
      </w:pPr>
    </w:p>
    <w:p>
      <w:pPr>
        <w:ind w:right="40" w:firstLine="996"/>
        <w:spacing w:after="0" w:line="286" w:lineRule="auto"/>
        <w:tabs>
          <w:tab w:leader="none" w:pos="1382" w:val="left"/>
        </w:tabs>
        <w:numPr>
          <w:ilvl w:val="2"/>
          <w:numId w:val="251"/>
        </w:numPr>
        <w:rPr>
          <w:rFonts w:ascii="Arial" w:cs="Arial" w:eastAsia="Arial" w:hAnsi="Arial"/>
          <w:sz w:val="17"/>
          <w:szCs w:val="17"/>
          <w:color w:val="auto"/>
        </w:rPr>
      </w:pPr>
      <w:r>
        <w:rPr>
          <w:rFonts w:ascii="Arial" w:cs="Arial" w:eastAsia="Arial" w:hAnsi="Arial"/>
          <w:sz w:val="17"/>
          <w:szCs w:val="17"/>
          <w:u w:val="single" w:color="auto"/>
          <w:color w:val="auto"/>
        </w:rPr>
        <w:t>Other Changes</w:t>
      </w:r>
      <w:r>
        <w:rPr>
          <w:rFonts w:ascii="Arial" w:cs="Arial" w:eastAsia="Arial" w:hAnsi="Arial"/>
          <w:sz w:val="17"/>
          <w:szCs w:val="17"/>
          <w:color w:val="auto"/>
        </w:rPr>
        <w:t>. In the event of any change in the capitalization of the Company or any corporate change other than those specifically referred to in subsections (ii), (iii) or (iv), the Committee shall have the power to make equitable adjustments in the number and class of shares subject to Awards outstanding on the date on which such change occurs and in such other terms of such Awards.</w:t>
      </w:r>
    </w:p>
    <w:p>
      <w:pPr>
        <w:spacing w:after="0" w:line="165" w:lineRule="exact"/>
        <w:rPr>
          <w:rFonts w:ascii="Arial" w:cs="Arial" w:eastAsia="Arial" w:hAnsi="Arial"/>
          <w:sz w:val="17"/>
          <w:szCs w:val="17"/>
          <w:color w:val="auto"/>
        </w:rPr>
      </w:pPr>
    </w:p>
    <w:p>
      <w:pPr>
        <w:ind w:right="100" w:firstLine="996"/>
        <w:spacing w:after="0" w:line="259" w:lineRule="auto"/>
        <w:tabs>
          <w:tab w:leader="none" w:pos="1432" w:val="left"/>
        </w:tabs>
        <w:numPr>
          <w:ilvl w:val="2"/>
          <w:numId w:val="251"/>
        </w:numPr>
        <w:rPr>
          <w:rFonts w:ascii="Arial" w:cs="Arial" w:eastAsia="Arial" w:hAnsi="Arial"/>
          <w:sz w:val="18"/>
          <w:szCs w:val="18"/>
          <w:color w:val="auto"/>
        </w:rPr>
      </w:pPr>
      <w:r>
        <w:rPr>
          <w:rFonts w:ascii="Arial" w:cs="Arial" w:eastAsia="Arial" w:hAnsi="Arial"/>
          <w:sz w:val="18"/>
          <w:szCs w:val="18"/>
          <w:u w:val="single" w:color="auto"/>
          <w:color w:val="auto"/>
        </w:rPr>
        <w:t>Performance Awards</w:t>
      </w:r>
      <w:r>
        <w:rPr>
          <w:rFonts w:ascii="Arial" w:cs="Arial" w:eastAsia="Arial" w:hAnsi="Arial"/>
          <w:sz w:val="18"/>
          <w:szCs w:val="18"/>
          <w:color w:val="auto"/>
        </w:rPr>
        <w:t>. In the event of any transaction or event described in this Section 12(f), including without limitation any corporate change referred to in subsection (v) hereof, and in the event of any changes in accounting treatment, practices, standards or principles, the Committee shall have the power to make equitable adjustments in any Performance Criteria and in other terms and the performance goals of any Award made pursuant to Section 9 hereof.</w:t>
      </w:r>
    </w:p>
    <w:p>
      <w:pPr>
        <w:spacing w:after="0" w:line="186" w:lineRule="exact"/>
        <w:rPr>
          <w:rFonts w:ascii="Arial" w:cs="Arial" w:eastAsia="Arial" w:hAnsi="Arial"/>
          <w:sz w:val="18"/>
          <w:szCs w:val="18"/>
          <w:color w:val="auto"/>
        </w:rPr>
      </w:pPr>
    </w:p>
    <w:p>
      <w:pPr>
        <w:ind w:right="100" w:firstLine="996"/>
        <w:spacing w:after="0" w:line="297" w:lineRule="auto"/>
        <w:tabs>
          <w:tab w:leader="none" w:pos="1482" w:val="left"/>
        </w:tabs>
        <w:numPr>
          <w:ilvl w:val="2"/>
          <w:numId w:val="251"/>
        </w:numPr>
        <w:rPr>
          <w:rFonts w:ascii="Arial" w:cs="Arial" w:eastAsia="Arial" w:hAnsi="Arial"/>
          <w:sz w:val="16"/>
          <w:szCs w:val="16"/>
          <w:color w:val="auto"/>
        </w:rPr>
      </w:pPr>
      <w:r>
        <w:rPr>
          <w:rFonts w:ascii="Arial" w:cs="Arial" w:eastAsia="Arial" w:hAnsi="Arial"/>
          <w:sz w:val="16"/>
          <w:szCs w:val="16"/>
          <w:u w:val="single" w:color="auto"/>
          <w:color w:val="auto"/>
        </w:rPr>
        <w:t>No Other Rights</w:t>
      </w:r>
      <w:r>
        <w:rPr>
          <w:rFonts w:ascii="Arial" w:cs="Arial" w:eastAsia="Arial" w:hAnsi="Arial"/>
          <w:sz w:val="16"/>
          <w:szCs w:val="16"/>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no issuance by the Company of shares of stock of any class, or securities convertible into shares of stock of any class, shall affect, and no adjustment by reason thereof shall be made with respect to, the number of Shares or amount of other property subject to, or the terms related to, any Award.</w:t>
      </w:r>
    </w:p>
    <w:p>
      <w:pPr>
        <w:spacing w:after="0" w:line="158" w:lineRule="exact"/>
        <w:rPr>
          <w:rFonts w:ascii="Arial" w:cs="Arial" w:eastAsia="Arial" w:hAnsi="Arial"/>
          <w:sz w:val="16"/>
          <w:szCs w:val="16"/>
          <w:color w:val="auto"/>
        </w:rPr>
      </w:pPr>
    </w:p>
    <w:p>
      <w:pPr>
        <w:ind w:right="20" w:firstLine="444"/>
        <w:spacing w:after="0" w:line="255" w:lineRule="auto"/>
        <w:tabs>
          <w:tab w:leader="none" w:pos="830"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Other Benefit and Compensation Programs</w:t>
      </w:r>
      <w:r>
        <w:rPr>
          <w:rFonts w:ascii="Arial" w:cs="Arial" w:eastAsia="Arial" w:hAnsi="Arial"/>
          <w:sz w:val="18"/>
          <w:szCs w:val="18"/>
          <w:color w:val="auto"/>
        </w:rPr>
        <w:t>. Payments and other benefits received by a Participant under an Award shall not be deemed a part of a Participant’s regular, recurring compensation for purposes of any termination, indemnity or severance pay laws and shall not be included in, nor have any effect on, the determination of benefits under any other employee benefit plan, contract or similar arrangement provided by the Company or an Affiliate, unless expressly so provided by such other plan, contract or arrangement or the Committee determines that an Award or portion of an Award should be included to reflect competitive compensation practices or to recognize that an Award has been made in lieu of a portion of competitive cash compensation.</w:t>
      </w:r>
    </w:p>
    <w:p>
      <w:pPr>
        <w:spacing w:after="0" w:line="193" w:lineRule="exact"/>
        <w:rPr>
          <w:rFonts w:ascii="Arial" w:cs="Arial" w:eastAsia="Arial" w:hAnsi="Arial"/>
          <w:sz w:val="18"/>
          <w:szCs w:val="18"/>
          <w:color w:val="auto"/>
        </w:rPr>
      </w:pPr>
    </w:p>
    <w:p>
      <w:pPr>
        <w:ind w:right="60" w:firstLine="444"/>
        <w:spacing w:after="0" w:line="291" w:lineRule="auto"/>
        <w:tabs>
          <w:tab w:leader="none" w:pos="830" w:val="left"/>
        </w:tabs>
        <w:numPr>
          <w:ilvl w:val="1"/>
          <w:numId w:val="252"/>
        </w:numPr>
        <w:rPr>
          <w:rFonts w:ascii="Arial" w:cs="Arial" w:eastAsia="Arial" w:hAnsi="Arial"/>
          <w:sz w:val="16"/>
          <w:szCs w:val="16"/>
          <w:color w:val="auto"/>
        </w:rPr>
      </w:pPr>
      <w:r>
        <w:rPr>
          <w:rFonts w:ascii="Arial" w:cs="Arial" w:eastAsia="Arial" w:hAnsi="Arial"/>
          <w:sz w:val="16"/>
          <w:szCs w:val="16"/>
          <w:u w:val="single" w:color="auto"/>
          <w:color w:val="auto"/>
        </w:rPr>
        <w:t>Beneficiary Upon Participant’s Death</w:t>
      </w:r>
      <w:r>
        <w:rPr>
          <w:rFonts w:ascii="Arial" w:cs="Arial" w:eastAsia="Arial" w:hAnsi="Arial"/>
          <w:sz w:val="16"/>
          <w:szCs w:val="16"/>
          <w:color w:val="auto"/>
        </w:rPr>
        <w:t>. To the extent that the transfer of a Participant’s Award at death is permitted by this Plan or under an Agreement, (i) a Participant’s Award shall be transferable to the beneficiary, if any, designated on forms prescribed by and filed with the Committee and</w:t>
      </w:r>
    </w:p>
    <w:p>
      <w:pPr>
        <w:ind w:right="340" w:firstLine="4"/>
        <w:spacing w:after="0" w:line="253" w:lineRule="auto"/>
        <w:tabs>
          <w:tab w:leader="none" w:pos="26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upon the death of the Participant, such beneficiary shall succeed to the rights of the Participant to the extent permitted by law and this Plan. If no such designation of a beneficiary has been made, or if the Committee shall be in doubt as to the rights of any beneficiary, as determined in the Committee’s discretion, the Participant’s legal representative shall succeed to the Awards, which shall be transferable by will or pursuant to laws of descent and distribution to the extent permitted by this Plan or under an Agreement, and the Company and the Committee and Board and members thereof, shall not be under any further liability to anyone.</w:t>
      </w:r>
    </w:p>
    <w:p>
      <w:pPr>
        <w:spacing w:after="0" w:line="191" w:lineRule="exact"/>
        <w:rPr>
          <w:rFonts w:ascii="Arial" w:cs="Arial" w:eastAsia="Arial" w:hAnsi="Arial"/>
          <w:sz w:val="18"/>
          <w:szCs w:val="18"/>
          <w:color w:val="auto"/>
        </w:rPr>
      </w:pPr>
    </w:p>
    <w:p>
      <w:pPr>
        <w:ind w:left="800" w:hanging="356"/>
        <w:spacing w:after="0"/>
        <w:tabs>
          <w:tab w:leader="none" w:pos="800" w:val="left"/>
        </w:tabs>
        <w:numPr>
          <w:ilvl w:val="1"/>
          <w:numId w:val="253"/>
        </w:numPr>
        <w:rPr>
          <w:rFonts w:ascii="Arial" w:cs="Arial" w:eastAsia="Arial" w:hAnsi="Arial"/>
          <w:sz w:val="17"/>
          <w:szCs w:val="17"/>
          <w:color w:val="auto"/>
        </w:rPr>
      </w:pPr>
      <w:r>
        <w:rPr>
          <w:rFonts w:ascii="Arial" w:cs="Arial" w:eastAsia="Arial" w:hAnsi="Arial"/>
          <w:sz w:val="17"/>
          <w:szCs w:val="17"/>
          <w:u w:val="single" w:color="auto"/>
          <w:color w:val="auto"/>
        </w:rPr>
        <w:t>Unfunded Plan</w:t>
      </w:r>
      <w:r>
        <w:rPr>
          <w:rFonts w:ascii="Arial" w:cs="Arial" w:eastAsia="Arial" w:hAnsi="Arial"/>
          <w:sz w:val="17"/>
          <w:szCs w:val="17"/>
          <w:color w:val="auto"/>
        </w:rPr>
        <w:t>. This Plan shall be unfunded and the Company shall not be required to segregate any assets that may at any time be</w:t>
      </w:r>
    </w:p>
    <w:p>
      <w:pPr>
        <w:spacing w:after="0" w:line="34" w:lineRule="exact"/>
        <w:rPr>
          <w:rFonts w:ascii="Arial" w:cs="Arial" w:eastAsia="Arial" w:hAnsi="Arial"/>
          <w:sz w:val="17"/>
          <w:szCs w:val="17"/>
          <w:color w:val="auto"/>
        </w:rPr>
      </w:pPr>
    </w:p>
    <w:p>
      <w:pPr>
        <w:spacing w:after="0" w:line="273" w:lineRule="auto"/>
        <w:rPr>
          <w:rFonts w:ascii="Arial" w:cs="Arial" w:eastAsia="Arial" w:hAnsi="Arial"/>
          <w:sz w:val="17"/>
          <w:szCs w:val="17"/>
          <w:color w:val="auto"/>
        </w:rPr>
      </w:pPr>
      <w:r>
        <w:rPr>
          <w:rFonts w:ascii="Arial" w:cs="Arial" w:eastAsia="Arial" w:hAnsi="Arial"/>
          <w:sz w:val="17"/>
          <w:szCs w:val="17"/>
          <w:color w:val="auto"/>
        </w:rPr>
        <w:t>represented by Awards under this Plan. Neither the Company, its Affiliates, the Committee, nor the Board shall be deemed to be a trustee of any amounts to be paid under this Plan nor shall anything contained in this Plan or any action taken pursuant to its provisions create or be construed to create a fiduciary relationship between the Company and/or its Affiliates and a Participant or Successor. To the extent any person acquires a right to receive an Award under this Plan, such right shall be no greater than the right of an unsecured general creditor of the Company.</w:t>
      </w:r>
    </w:p>
    <w:p>
      <w:pPr>
        <w:spacing w:after="0" w:line="284" w:lineRule="exact"/>
        <w:rPr>
          <w:rFonts w:ascii="Arial" w:cs="Arial" w:eastAsia="Arial" w:hAnsi="Arial"/>
          <w:sz w:val="17"/>
          <w:szCs w:val="17"/>
          <w:color w:val="auto"/>
        </w:rPr>
      </w:pPr>
    </w:p>
    <w:p>
      <w:pPr>
        <w:ind w:left="800" w:hanging="356"/>
        <w:spacing w:after="0"/>
        <w:tabs>
          <w:tab w:leader="none" w:pos="800" w:val="left"/>
        </w:tabs>
        <w:numPr>
          <w:ilvl w:val="1"/>
          <w:numId w:val="253"/>
        </w:numPr>
        <w:rPr>
          <w:rFonts w:ascii="Arial" w:cs="Arial" w:eastAsia="Arial" w:hAnsi="Arial"/>
          <w:sz w:val="18"/>
          <w:szCs w:val="18"/>
          <w:color w:val="auto"/>
        </w:rPr>
      </w:pPr>
      <w:r>
        <w:rPr>
          <w:rFonts w:ascii="Arial" w:cs="Arial" w:eastAsia="Arial" w:hAnsi="Arial"/>
          <w:sz w:val="18"/>
          <w:szCs w:val="18"/>
          <w:u w:val="single" w:color="auto"/>
          <w:color w:val="auto"/>
        </w:rPr>
        <w:t>Limits of Liability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96"/>
        <w:spacing w:after="0" w:line="277" w:lineRule="auto"/>
        <w:tabs>
          <w:tab w:leader="none" w:pos="1332" w:val="left"/>
        </w:tabs>
        <w:numPr>
          <w:ilvl w:val="2"/>
          <w:numId w:val="253"/>
        </w:numPr>
        <w:rPr>
          <w:rFonts w:ascii="Arial" w:cs="Arial" w:eastAsia="Arial" w:hAnsi="Arial"/>
          <w:sz w:val="18"/>
          <w:szCs w:val="18"/>
          <w:color w:val="auto"/>
        </w:rPr>
      </w:pPr>
      <w:r>
        <w:rPr>
          <w:rFonts w:ascii="Arial" w:cs="Arial" w:eastAsia="Arial" w:hAnsi="Arial"/>
          <w:sz w:val="18"/>
          <w:szCs w:val="18"/>
          <w:color w:val="auto"/>
        </w:rPr>
        <w:t>Any liability of the Company to any Participant with respect to an Award shall be based solely upon contractual obligations created by this Plan and the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336" w:name="page337"/>
    <w:bookmarkEnd w:id="336"/>
    <w:p>
      <w:pPr>
        <w:ind w:left="-40" w:right="60" w:firstLine="996"/>
        <w:spacing w:after="0" w:line="259" w:lineRule="auto"/>
        <w:tabs>
          <w:tab w:leader="none" w:pos="1352" w:val="left"/>
        </w:tabs>
        <w:numPr>
          <w:ilvl w:val="1"/>
          <w:numId w:val="2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may be required by law, neither the Company nor any member or former member of the Board or the Committee, nor any other person participating (including participation pursuant to a delegation of authority under Section 3 hereof) in any determination of any question under this Plan, or in the interpretation, administration or application of this Plan, shall have any liability to any party for any action taken, or not taken, in good faith under this Plan.</w:t>
      </w:r>
    </w:p>
    <w:p>
      <w:pPr>
        <w:spacing w:after="0" w:line="186" w:lineRule="exact"/>
        <w:rPr>
          <w:rFonts w:ascii="Arial" w:cs="Arial" w:eastAsia="Arial" w:hAnsi="Arial"/>
          <w:sz w:val="18"/>
          <w:szCs w:val="18"/>
          <w:color w:val="auto"/>
        </w:rPr>
      </w:pPr>
    </w:p>
    <w:p>
      <w:pPr>
        <w:jc w:val="both"/>
        <w:ind w:left="-40" w:firstLine="996"/>
        <w:spacing w:after="0" w:line="259" w:lineRule="auto"/>
        <w:tabs>
          <w:tab w:leader="none" w:pos="1399"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To the full extent permitted by law, each member and former member of the Board and the Committee and each person to whom the Committee delegates or has delegated authority under this Plan shall be entitled to indemnification by the Company against any loss, liability, judgment, damage, cost and reasonable expense incurred by such member, former member or other person by reason of any action taken, failure to act or determination made in good faith under or with respect to this Plan.</w:t>
      </w:r>
    </w:p>
    <w:p>
      <w:pPr>
        <w:spacing w:after="0" w:line="186" w:lineRule="exact"/>
        <w:rPr>
          <w:rFonts w:ascii="Arial" w:cs="Arial" w:eastAsia="Arial" w:hAnsi="Arial"/>
          <w:sz w:val="18"/>
          <w:szCs w:val="18"/>
          <w:color w:val="auto"/>
        </w:rPr>
      </w:pPr>
    </w:p>
    <w:p>
      <w:pPr>
        <w:ind w:left="-40" w:firstLine="444"/>
        <w:spacing w:after="0" w:line="259" w:lineRule="auto"/>
        <w:tabs>
          <w:tab w:leader="none" w:pos="79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Legal Requirements</w:t>
      </w:r>
      <w:r>
        <w:rPr>
          <w:rFonts w:ascii="Arial" w:cs="Arial" w:eastAsia="Arial" w:hAnsi="Arial"/>
          <w:sz w:val="18"/>
          <w:szCs w:val="18"/>
          <w:color w:val="auto"/>
        </w:rPr>
        <w:t>. The Company shall not be required to issue or deliver a certificate for Shares distributable pursuant to this Plan unless the issuance of such certificate complies with all applicable legal requirements including, without limitation, compliance with the provisions of applicable state securities laws, the Securities Act, the Exchange Act and the requirements of the exchanges, if any, on which the Company’s Shares may, at the time, be listed.</w:t>
      </w:r>
    </w:p>
    <w:p>
      <w:pPr>
        <w:spacing w:after="0" w:line="186" w:lineRule="exact"/>
        <w:rPr>
          <w:rFonts w:ascii="Arial" w:cs="Arial" w:eastAsia="Arial" w:hAnsi="Arial"/>
          <w:sz w:val="18"/>
          <w:szCs w:val="18"/>
          <w:color w:val="auto"/>
        </w:rPr>
      </w:pPr>
    </w:p>
    <w:p>
      <w:pPr>
        <w:ind w:left="-40" w:right="20" w:firstLine="444"/>
        <w:spacing w:after="0" w:line="264" w:lineRule="auto"/>
        <w:tabs>
          <w:tab w:leader="none" w:pos="751"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Deferrals and Settlements</w:t>
      </w:r>
      <w:r>
        <w:rPr>
          <w:rFonts w:ascii="Arial" w:cs="Arial" w:eastAsia="Arial" w:hAnsi="Arial"/>
          <w:sz w:val="18"/>
          <w:szCs w:val="18"/>
          <w:color w:val="auto"/>
        </w:rPr>
        <w:t>. The Committee may require or permit Participants to elect to defer the issuance of Shares or the settlement of Awards in cash under such rules and procedures as it may establish under this Plan. It may also provide that deferred settlements include the payment or crediting of interest on the deferral amounts.</w:t>
      </w:r>
    </w:p>
    <w:p>
      <w:pPr>
        <w:spacing w:after="0" w:line="181" w:lineRule="exact"/>
        <w:rPr>
          <w:rFonts w:ascii="Arial" w:cs="Arial" w:eastAsia="Arial" w:hAnsi="Arial"/>
          <w:sz w:val="18"/>
          <w:szCs w:val="18"/>
          <w:color w:val="auto"/>
        </w:rPr>
      </w:pPr>
    </w:p>
    <w:p>
      <w:pPr>
        <w:ind w:left="-40" w:right="100" w:firstLine="444"/>
        <w:spacing w:after="0" w:line="276" w:lineRule="auto"/>
        <w:tabs>
          <w:tab w:leader="none" w:pos="840"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Forfeiture</w:t>
      </w:r>
      <w:r>
        <w:rPr>
          <w:rFonts w:ascii="Arial" w:cs="Arial" w:eastAsia="Arial" w:hAnsi="Arial"/>
          <w:sz w:val="17"/>
          <w:szCs w:val="17"/>
          <w:color w:val="auto"/>
        </w:rPr>
        <w:t>. The Committee may specify in an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Agreement or otherwise applicable to the Participant, a termination of the Participant’s employment for Cause or other conduct by the Participant that is detrimental to the business or reputation of the Company and/or its Affiliates.</w:t>
      </w:r>
    </w:p>
    <w:p>
      <w:pPr>
        <w:spacing w:after="0" w:line="172" w:lineRule="exact"/>
        <w:rPr>
          <w:rFonts w:ascii="Arial" w:cs="Arial" w:eastAsia="Arial" w:hAnsi="Arial"/>
          <w:sz w:val="17"/>
          <w:szCs w:val="17"/>
          <w:color w:val="auto"/>
        </w:rPr>
      </w:pPr>
    </w:p>
    <w:p>
      <w:pPr>
        <w:ind w:left="-40" w:right="160" w:firstLine="444"/>
        <w:spacing w:after="0" w:line="291" w:lineRule="auto"/>
        <w:tabs>
          <w:tab w:leader="none" w:pos="790"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Clawback and Noncompete</w:t>
      </w:r>
      <w:r>
        <w:rPr>
          <w:rFonts w:ascii="Arial" w:cs="Arial" w:eastAsia="Arial" w:hAnsi="Arial"/>
          <w:sz w:val="16"/>
          <w:szCs w:val="16"/>
          <w:color w:val="auto"/>
        </w:rPr>
        <w:t>. Notwithstanding any other provisions of this Plan, any Award which is subject to recovery under any law, government regulation, stock exchange listing requirement or Company policy, will be subject to such deductions and clawback as may be required to be made pursuant to such law, government regulation, stock exchange listing requirement or any policy adopted by the Company whether pursuant to any such law, government regulation or stock exchange listing requirement or otherwise. In addition and notwithstanding any other provisions of this Plan, any Award shall be subject to such noncompete provisions under the terms of the Agreement or any other agreement or policy adopted by the Company, including, without limitation, any such terms providing for immediate termination and forfeiture of an Award if and when a Participant becomes an employee, agent or principal of a competitor without the express written consent of the Company.</w:t>
      </w:r>
    </w:p>
    <w:p>
      <w:pPr>
        <w:spacing w:after="0" w:line="167" w:lineRule="exact"/>
        <w:rPr>
          <w:rFonts w:ascii="Arial" w:cs="Arial" w:eastAsia="Arial" w:hAnsi="Arial"/>
          <w:sz w:val="16"/>
          <w:szCs w:val="16"/>
          <w:color w:val="auto"/>
        </w:rPr>
      </w:pPr>
    </w:p>
    <w:p>
      <w:pPr>
        <w:ind w:left="-40" w:right="100" w:firstLine="444"/>
        <w:spacing w:after="0" w:line="259" w:lineRule="auto"/>
        <w:tabs>
          <w:tab w:leader="none" w:pos="79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Sub-plans</w:t>
      </w:r>
      <w:r>
        <w:rPr>
          <w:rFonts w:ascii="Arial" w:cs="Arial" w:eastAsia="Arial" w:hAnsi="Arial"/>
          <w:sz w:val="18"/>
          <w:szCs w:val="18"/>
          <w:color w:val="auto"/>
        </w:rPr>
        <w:t>. The Committee may from time to time establish sub-plans under the Plan for purposes of satisfying blue sky,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spacing w:after="0" w:line="186" w:lineRule="exact"/>
        <w:rPr>
          <w:rFonts w:ascii="Arial" w:cs="Arial" w:eastAsia="Arial" w:hAnsi="Arial"/>
          <w:sz w:val="18"/>
          <w:szCs w:val="18"/>
          <w:color w:val="auto"/>
        </w:rPr>
      </w:pPr>
    </w:p>
    <w:p>
      <w:pPr>
        <w:ind w:left="-40" w:right="100" w:firstLine="444"/>
        <w:spacing w:after="0" w:line="277" w:lineRule="auto"/>
        <w:tabs>
          <w:tab w:leader="none" w:pos="79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Plan Headings</w:t>
      </w:r>
      <w:r>
        <w:rPr>
          <w:rFonts w:ascii="Arial" w:cs="Arial" w:eastAsia="Arial" w:hAnsi="Arial"/>
          <w:sz w:val="18"/>
          <w:szCs w:val="18"/>
          <w:color w:val="auto"/>
        </w:rPr>
        <w:t>. The headings in the Plan are for purposes of convenience only and are not intended to define or limit the construction of the provisions hereof.</w:t>
      </w:r>
    </w:p>
    <w:p>
      <w:pPr>
        <w:spacing w:after="0" w:line="170" w:lineRule="exact"/>
        <w:rPr>
          <w:rFonts w:ascii="Arial" w:cs="Arial" w:eastAsia="Arial" w:hAnsi="Arial"/>
          <w:sz w:val="18"/>
          <w:szCs w:val="18"/>
          <w:color w:val="auto"/>
        </w:rPr>
      </w:pPr>
    </w:p>
    <w:p>
      <w:pPr>
        <w:jc w:val="both"/>
        <w:ind w:left="-40" w:right="320" w:firstLine="444"/>
        <w:spacing w:after="0" w:line="312" w:lineRule="auto"/>
        <w:tabs>
          <w:tab w:leader="none" w:pos="790"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Non-Uniform Treatment</w:t>
      </w:r>
      <w:r>
        <w:rPr>
          <w:rFonts w:ascii="Arial" w:cs="Arial" w:eastAsia="Arial" w:hAnsi="Arial"/>
          <w:sz w:val="16"/>
          <w:szCs w:val="16"/>
          <w:color w:val="auto"/>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Agreements.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80" w:top="274" w:right="479" w:bottom="1440" w:gutter="0" w:footer="0" w:header="0"/>
        </w:sectPr>
      </w:pPr>
    </w:p>
    <w:bookmarkStart w:id="337" w:name="page338"/>
    <w:bookmarkEnd w:id="337"/>
    <w:p>
      <w:pPr>
        <w:ind w:right="40" w:firstLine="4"/>
        <w:spacing w:after="0" w:line="291" w:lineRule="auto"/>
        <w:tabs>
          <w:tab w:leader="none" w:pos="495" w:val="left"/>
        </w:tabs>
        <w:numPr>
          <w:ilvl w:val="0"/>
          <w:numId w:val="25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Substitute Awards. </w:t>
      </w:r>
      <w:r>
        <w:rPr>
          <w:rFonts w:ascii="Arial" w:cs="Arial" w:eastAsia="Arial" w:hAnsi="Arial"/>
          <w:sz w:val="16"/>
          <w:szCs w:val="16"/>
          <w:color w:val="auto"/>
        </w:rPr>
        <w:t>Awards may be granted under this Plan from time to time in substitution for Awards held by employees or other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providers of other entities who are about to become Associates, or whose employer (or entity with respect to which such individual provides services) is about to become a Subsidiary of the Company, as the result of a merger or consolidation of the Company or a Subsidiary of the Company with another entity, the acquisition by the Company or a Subsidiary of the Company of all or substantially all the assets of another entity or the acquisition by the Company or a Subsidiary of the Company of at least 50% of the issued and outstanding stock of another entity. The terms and conditions of the substitute Awards so granted may vary from the terms and conditions set forth in this Plan to such extent as the Board at the time of the grant may deem appropriate to conform, in whole or in part, to the provisions of the Awards in substitution for which they are granted, but with respect to Awards which are Incentive Stock Options, no such variation shall be permitted which affects the status of any such substitute option as an Incentive Stock Option.</w:t>
      </w:r>
    </w:p>
    <w:p>
      <w:pPr>
        <w:spacing w:after="0" w:line="160" w:lineRule="exact"/>
        <w:rPr>
          <w:rFonts w:ascii="Arial" w:cs="Arial" w:eastAsia="Arial" w:hAnsi="Arial"/>
          <w:sz w:val="16"/>
          <w:szCs w:val="16"/>
          <w:b w:val="1"/>
          <w:bCs w:val="1"/>
          <w:color w:val="auto"/>
        </w:rPr>
      </w:pPr>
    </w:p>
    <w:p>
      <w:pPr>
        <w:ind w:firstLine="4"/>
        <w:spacing w:after="0" w:line="313" w:lineRule="auto"/>
        <w:tabs>
          <w:tab w:leader="none" w:pos="495" w:val="left"/>
        </w:tabs>
        <w:numPr>
          <w:ilvl w:val="0"/>
          <w:numId w:val="25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To the extent that federal laws do not otherwise control, this Plan and all determinations made and actions taken pursuant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Plan shall be governed by the laws of Delaware, without giving effect to principles of conflicts of laws, and construed accordingly.</w:t>
      </w:r>
    </w:p>
    <w:p>
      <w:pPr>
        <w:spacing w:after="0" w:line="138" w:lineRule="exact"/>
        <w:rPr>
          <w:rFonts w:ascii="Arial" w:cs="Arial" w:eastAsia="Arial" w:hAnsi="Arial"/>
          <w:sz w:val="17"/>
          <w:szCs w:val="17"/>
          <w:b w:val="1"/>
          <w:bCs w:val="1"/>
          <w:color w:val="auto"/>
        </w:rPr>
      </w:pPr>
    </w:p>
    <w:p>
      <w:pPr>
        <w:ind w:right="200" w:firstLine="4"/>
        <w:spacing w:after="0" w:line="313" w:lineRule="auto"/>
        <w:tabs>
          <w:tab w:leader="none" w:pos="495" w:val="left"/>
        </w:tabs>
        <w:numPr>
          <w:ilvl w:val="0"/>
          <w:numId w:val="25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In the event any provision of this Plan shall be held illegal or invalid for any reason, the illegality or invalidity shall not affect the</w:t>
      </w:r>
      <w:r>
        <w:rPr>
          <w:rFonts w:ascii="Arial" w:cs="Arial" w:eastAsia="Arial" w:hAnsi="Arial"/>
          <w:sz w:val="17"/>
          <w:szCs w:val="17"/>
          <w:b w:val="1"/>
          <w:bCs w:val="1"/>
          <w:color w:val="auto"/>
        </w:rPr>
        <w:t xml:space="preserve"> </w:t>
      </w:r>
      <w:r>
        <w:rPr>
          <w:rFonts w:ascii="Arial" w:cs="Arial" w:eastAsia="Arial" w:hAnsi="Arial"/>
          <w:sz w:val="17"/>
          <w:szCs w:val="17"/>
          <w:color w:val="auto"/>
        </w:rPr>
        <w:t>remaining parts of this Plan, and this Plan shall be construed and enforced as if the illegal or invalid provision had not been included.</w:t>
      </w:r>
    </w:p>
    <w:p>
      <w:pPr>
        <w:spacing w:after="0" w:line="138" w:lineRule="exact"/>
        <w:rPr>
          <w:rFonts w:ascii="Arial" w:cs="Arial" w:eastAsia="Arial" w:hAnsi="Arial"/>
          <w:sz w:val="17"/>
          <w:szCs w:val="17"/>
          <w:b w:val="1"/>
          <w:bCs w:val="1"/>
          <w:color w:val="auto"/>
        </w:rPr>
      </w:pPr>
    </w:p>
    <w:p>
      <w:pPr>
        <w:ind w:right="220" w:firstLine="4"/>
        <w:spacing w:after="0" w:line="287" w:lineRule="auto"/>
        <w:tabs>
          <w:tab w:leader="none" w:pos="495" w:val="left"/>
        </w:tabs>
        <w:numPr>
          <w:ilvl w:val="0"/>
          <w:numId w:val="2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Deferred Compensation. </w:t>
      </w:r>
      <w:r>
        <w:rPr>
          <w:rFonts w:ascii="Arial" w:cs="Arial" w:eastAsia="Arial" w:hAnsi="Arial"/>
          <w:sz w:val="16"/>
          <w:szCs w:val="16"/>
          <w:color w:val="auto"/>
        </w:rPr>
        <w:t>The Plan is intended to comply with Section 409A of the Code to the extent subject thereto, and, accordingly,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maximum extent permitted, the Plan shall be interpreted and administered to be in compliance therewith. Each installment in any series of payments under any Award shall be considered a “separate payment” for all purposes of Section 409A of the Code. Any payments that are due within the short-term deferral period as defined in Section 409A of the Code shall not be treated as deferred compensation unless applicable laws require otherwise.</w:t>
      </w:r>
    </w:p>
    <w:p>
      <w:pPr>
        <w:spacing w:after="0" w:line="2" w:lineRule="exact"/>
        <w:rPr>
          <w:rFonts w:ascii="Arial" w:cs="Arial" w:eastAsia="Arial" w:hAnsi="Arial"/>
          <w:sz w:val="16"/>
          <w:szCs w:val="16"/>
          <w:b w:val="1"/>
          <w:bCs w:val="1"/>
          <w:color w:val="auto"/>
        </w:rPr>
      </w:pPr>
    </w:p>
    <w:p>
      <w:pPr>
        <w:spacing w:after="0" w:line="251" w:lineRule="auto"/>
        <w:rPr>
          <w:rFonts w:ascii="Arial" w:cs="Arial" w:eastAsia="Arial" w:hAnsi="Arial"/>
          <w:sz w:val="16"/>
          <w:szCs w:val="16"/>
          <w:b w:val="1"/>
          <w:bCs w:val="1"/>
          <w:color w:val="auto"/>
        </w:rPr>
      </w:pPr>
      <w:r>
        <w:rPr>
          <w:rFonts w:ascii="Arial" w:cs="Arial" w:eastAsia="Arial" w:hAnsi="Arial"/>
          <w:sz w:val="18"/>
          <w:szCs w:val="18"/>
          <w:color w:val="auto"/>
        </w:rPr>
        <w:t>References to termination or cessation of employment, separation from service, or similar or correlative terms shall be construed to require a “separation from service” (as that term is defined in Section 1.409A-1(h) of the Code), to the extent necessary to comply with Section 409A of the Code. Notwithstanding anything to the contrary in the Plan, to the extent required to avoid adverse tax consequences under Section 409A of the Code, amounts that would otherwise be payable and benefits that would otherwise be provided pursuant to the Plan during the six (6)-month period immediately following the Participant’s termination of employment shall instead be paid on the first payroll date after the six (6)-month anniversary of the Participant’s separation from service (or the Participant’s death, if earlier). Notwithstanding the foregoing, neither the Company nor the Committee shall have any obligation to take any action to prevent the assessment of any tax or penalty under Section 409A of the Code and neither the Company, the Board nor the Committee will have any liability to any Participant or otherwise for such tax or penalty. If any Award would be considered deferred compensation as defined under Code Section 409A and would fail to meet the requirements of Code Section 409A, then such Award shall be null and void.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69" w:right="459" w:bottom="1440" w:gutter="0" w:footer="0" w:header="0"/>
        </w:sectPr>
      </w:pPr>
    </w:p>
    <w:bookmarkStart w:id="338" w:name="page339"/>
    <w:bookmarkEnd w:id="338"/>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hereby consent to the use in this Registration Statement on Form S-1 of BellRing Brands, Inc. of our report dated August 8, 2019 relating to the financial statement of BellRing Brands, Inc., which appears in this Registration Statement. We also consent to the reference to us under the heading “Experts” in such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7, 2019</w:t>
      </w:r>
    </w:p>
    <w:p>
      <w:pPr>
        <w:sectPr>
          <w:pgSz w:w="11900" w:h="16838" w:orient="portrait"/>
          <w:cols w:equalWidth="0" w:num="1">
            <w:col w:w="11020"/>
          </w:cols>
          <w:pgMar w:left="440" w:top="121" w:right="439" w:bottom="1440" w:gutter="0" w:footer="0" w:header="0"/>
        </w:sectPr>
      </w:pPr>
    </w:p>
    <w:bookmarkStart w:id="339" w:name="page340"/>
    <w:bookmarkEnd w:id="339"/>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We hereby consent to the use in this Registration Statement on Form S-1 of BellRing Brands, Inc. of our report dated April 5, 2019 relating to the financial statements of Active Nutrition (the combination of Premier Nutrition Corporation, Dymatize Enterprises, LLC and Active Nutrition International GmbH of Post Holdings, Inc.), which appears in this Registration Statement.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7, 2019</w:t>
      </w:r>
    </w:p>
    <w:sectPr>
      <w:pgSz w:w="11900" w:h="16838" w:orient="portrait"/>
      <w:cols w:equalWidth="0" w:num="1">
        <w:col w:w="11020"/>
      </w:cols>
      <w:pgMar w:left="440" w:top="12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888A08"/>
    <w:multiLevelType w:val="hybridMultilevel"/>
    <w:lvl w:ilvl="0">
      <w:lvlJc w:val="left"/>
      <w:lvlText w:val="(%1)"/>
      <w:numFmt w:val="decimal"/>
      <w:start w:val="1"/>
    </w:lvl>
  </w:abstractNum>
  <w:abstractNum w:abstractNumId="1">
    <w:nsid w:val="2A082C70"/>
    <w:multiLevelType w:val="hybridMultilevel"/>
    <w:lvl w:ilvl="0">
      <w:lvlJc w:val="left"/>
      <w:lvlText w:val="(%1)"/>
      <w:numFmt w:val="decimal"/>
      <w:start w:val="1"/>
    </w:lvl>
  </w:abstractNum>
  <w:abstractNum w:abstractNumId="2">
    <w:nsid w:val="5EC6AFD4"/>
    <w:multiLevelType w:val="hybridMultilevel"/>
    <w:lvl w:ilvl="0">
      <w:lvlJc w:val="left"/>
      <w:lvlText w:val="•"/>
      <w:numFmt w:val="bullet"/>
      <w:start w:val="1"/>
    </w:lvl>
  </w:abstractNum>
  <w:abstractNum w:abstractNumId="3">
    <w:nsid w:val="19E21BB2"/>
    <w:multiLevelType w:val="hybridMultilevel"/>
    <w:lvl w:ilvl="0">
      <w:lvlJc w:val="left"/>
      <w:lvlText w:val="•"/>
      <w:numFmt w:val="bullet"/>
      <w:start w:val="1"/>
    </w:lvl>
  </w:abstractNum>
  <w:abstractNum w:abstractNumId="4">
    <w:nsid w:val="75E0858A"/>
    <w:multiLevelType w:val="hybridMultilevel"/>
    <w:lvl w:ilvl="0">
      <w:lvlJc w:val="left"/>
      <w:lvlText w:val="•"/>
      <w:numFmt w:val="bullet"/>
      <w:start w:val="1"/>
    </w:lvl>
  </w:abstractNum>
  <w:abstractNum w:abstractNumId="5">
    <w:nsid w:val="57A61A29"/>
    <w:multiLevelType w:val="hybridMultilevel"/>
    <w:lvl w:ilvl="0">
      <w:lvlJc w:val="left"/>
      <w:lvlText w:val="•"/>
      <w:numFmt w:val="bullet"/>
      <w:start w:val="1"/>
    </w:lvl>
  </w:abstractNum>
  <w:abstractNum w:abstractNumId="6">
    <w:nsid w:val="5399C654"/>
    <w:multiLevelType w:val="hybridMultilevel"/>
    <w:lvl w:ilvl="0">
      <w:lvlJc w:val="left"/>
      <w:lvlText w:val="•"/>
      <w:numFmt w:val="bullet"/>
      <w:start w:val="1"/>
    </w:lvl>
  </w:abstractNum>
  <w:abstractNum w:abstractNumId="7">
    <w:nsid w:val="20EE1348"/>
    <w:multiLevelType w:val="hybridMultilevel"/>
    <w:lvl w:ilvl="0">
      <w:lvlJc w:val="left"/>
      <w:lvlText w:val="•"/>
      <w:numFmt w:val="bullet"/>
      <w:start w:val="1"/>
    </w:lvl>
  </w:abstractNum>
  <w:abstractNum w:abstractNumId="8">
    <w:nsid w:val="4427069A"/>
    <w:multiLevelType w:val="hybridMultilevel"/>
    <w:lvl w:ilvl="0">
      <w:lvlJc w:val="left"/>
      <w:lvlText w:val="•"/>
      <w:numFmt w:val="bullet"/>
      <w:start w:val="1"/>
    </w:lvl>
  </w:abstractNum>
  <w:abstractNum w:abstractNumId="9">
    <w:nsid w:val="B37E80A"/>
    <w:multiLevelType w:val="hybridMultilevel"/>
    <w:lvl w:ilvl="0">
      <w:lvlJc w:val="left"/>
      <w:lvlText w:val="•"/>
      <w:numFmt w:val="bullet"/>
      <w:start w:val="1"/>
    </w:lvl>
  </w:abstractNum>
  <w:abstractNum w:abstractNumId="10">
    <w:nsid w:val="2157F6B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
    <w:nsid w:val="704E1DD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
    <w:nsid w:val="57D2F10E"/>
    <w:multiLevelType w:val="hybridMultilevel"/>
    <w:lvl w:ilvl="0">
      <w:lvlJc w:val="left"/>
      <w:lvlText w:val="•"/>
      <w:numFmt w:val="bullet"/>
      <w:start w:val="1"/>
    </w:lvl>
  </w:abstractNum>
  <w:abstractNum w:abstractNumId="13">
    <w:nsid w:val="BFFAE18"/>
    <w:multiLevelType w:val="hybridMultilevel"/>
    <w:lvl w:ilvl="0">
      <w:lvlJc w:val="left"/>
      <w:lvlText w:val="•"/>
      <w:numFmt w:val="bullet"/>
      <w:start w:val="1"/>
    </w:lvl>
  </w:abstractNum>
  <w:abstractNum w:abstractNumId="14">
    <w:nsid w:val="E3E47A8"/>
    <w:multiLevelType w:val="hybridMultilevel"/>
    <w:lvl w:ilvl="0">
      <w:lvlJc w:val="left"/>
      <w:lvlText w:val="(%1)"/>
      <w:numFmt w:val="lowerRoman"/>
      <w:start w:val="5"/>
    </w:lvl>
  </w:abstractNum>
  <w:abstractNum w:abstractNumId="15">
    <w:nsid w:val="2E48F044"/>
    <w:multiLevelType w:val="hybridMultilevel"/>
    <w:lvl w:ilvl="0">
      <w:lvlJc w:val="left"/>
      <w:lvlText w:val="•"/>
      <w:numFmt w:val="bullet"/>
      <w:start w:val="1"/>
    </w:lvl>
  </w:abstractNum>
  <w:abstractNum w:abstractNumId="16">
    <w:nsid w:val="49D0FEAC"/>
    <w:multiLevelType w:val="hybridMultilevel"/>
    <w:lvl w:ilvl="0">
      <w:lvlJc w:val="left"/>
      <w:lvlText w:val="•"/>
      <w:numFmt w:val="bullet"/>
      <w:start w:val="1"/>
    </w:lvl>
  </w:abstractNum>
  <w:abstractNum w:abstractNumId="17">
    <w:nsid w:val="4BEE5A5B"/>
    <w:multiLevelType w:val="hybridMultilevel"/>
    <w:lvl w:ilvl="0">
      <w:lvlJc w:val="left"/>
      <w:lvlText w:val="•"/>
      <w:numFmt w:val="bullet"/>
      <w:start w:val="1"/>
    </w:lvl>
  </w:abstractNum>
  <w:abstractNum w:abstractNumId="18">
    <w:nsid w:val="5551B9F3"/>
    <w:multiLevelType w:val="hybridMultilevel"/>
    <w:lvl w:ilvl="0">
      <w:lvlJc w:val="left"/>
      <w:lvlText w:val="•"/>
      <w:numFmt w:val="bullet"/>
      <w:start w:val="1"/>
    </w:lvl>
  </w:abstractNum>
  <w:abstractNum w:abstractNumId="19">
    <w:nsid w:val="24F6AB8E"/>
    <w:multiLevelType w:val="hybridMultilevel"/>
    <w:lvl w:ilvl="0">
      <w:lvlJc w:val="left"/>
      <w:lvlText w:val="•"/>
      <w:numFmt w:val="bullet"/>
      <w:start w:val="1"/>
    </w:lvl>
  </w:abstractNum>
  <w:abstractNum w:abstractNumId="20">
    <w:nsid w:val="634C574C"/>
    <w:multiLevelType w:val="hybridMultilevel"/>
    <w:lvl w:ilvl="0">
      <w:lvlJc w:val="left"/>
      <w:lvlText w:val="(%1)"/>
      <w:numFmt w:val="decimal"/>
      <w:start w:val="1"/>
    </w:lvl>
  </w:abstractNum>
  <w:abstractNum w:abstractNumId="21">
    <w:nsid w:val="24E99DD7"/>
    <w:multiLevelType w:val="hybridMultilevel"/>
    <w:lvl w:ilvl="0">
      <w:lvlJc w:val="left"/>
      <w:lvlText w:val="•"/>
      <w:numFmt w:val="bullet"/>
      <w:start w:val="1"/>
    </w:lvl>
  </w:abstractNum>
  <w:abstractNum w:abstractNumId="22">
    <w:nsid w:val="2A31B62D"/>
    <w:multiLevelType w:val="hybridMultilevel"/>
    <w:lvl w:ilvl="0">
      <w:lvlJc w:val="left"/>
      <w:lvlText w:val="•"/>
      <w:numFmt w:val="bullet"/>
      <w:start w:val="1"/>
    </w:lvl>
  </w:abstractNum>
  <w:abstractNum w:abstractNumId="23">
    <w:nsid w:val="1849C29B"/>
    <w:multiLevelType w:val="hybridMultilevel"/>
    <w:lvl w:ilvl="0">
      <w:lvlJc w:val="left"/>
      <w:lvlText w:val="•"/>
      <w:numFmt w:val="bullet"/>
      <w:start w:val="1"/>
    </w:lvl>
  </w:abstractNum>
  <w:abstractNum w:abstractNumId="24">
    <w:nsid w:val="7DFF9D09"/>
    <w:multiLevelType w:val="hybridMultilevel"/>
    <w:lvl w:ilvl="0">
      <w:lvlJc w:val="left"/>
      <w:lvlText w:val="•"/>
      <w:numFmt w:val="bullet"/>
      <w:start w:val="1"/>
    </w:lvl>
  </w:abstractNum>
  <w:abstractNum w:abstractNumId="25">
    <w:nsid w:val="754342"/>
    <w:multiLevelType w:val="hybridMultilevel"/>
    <w:lvl w:ilvl="0">
      <w:lvlJc w:val="left"/>
      <w:lvlText w:val="•"/>
      <w:numFmt w:val="bullet"/>
      <w:start w:val="1"/>
    </w:lvl>
  </w:abstractNum>
  <w:abstractNum w:abstractNumId="26">
    <w:nsid w:val="69E7F3E5"/>
    <w:multiLevelType w:val="hybridMultilevel"/>
    <w:lvl w:ilvl="0">
      <w:lvlJc w:val="left"/>
      <w:lvlText w:val="•"/>
      <w:numFmt w:val="bullet"/>
      <w:start w:val="1"/>
    </w:lvl>
  </w:abstractNum>
  <w:abstractNum w:abstractNumId="27">
    <w:nsid w:val="2A6DE806"/>
    <w:multiLevelType w:val="hybridMultilevel"/>
    <w:lvl w:ilvl="0">
      <w:lvlJc w:val="left"/>
      <w:lvlText w:val="•"/>
      <w:numFmt w:val="bullet"/>
      <w:start w:val="1"/>
    </w:lvl>
  </w:abstractNum>
  <w:abstractNum w:abstractNumId="28">
    <w:nsid w:val="1816F8C4"/>
    <w:multiLevelType w:val="hybridMultilevel"/>
    <w:lvl w:ilvl="0">
      <w:lvlJc w:val="left"/>
      <w:lvlText w:val="•"/>
      <w:numFmt w:val="bullet"/>
      <w:start w:val="1"/>
    </w:lvl>
  </w:abstractNum>
  <w:abstractNum w:abstractNumId="29">
    <w:nsid w:val="37DF2233"/>
    <w:multiLevelType w:val="hybridMultilevel"/>
    <w:lvl w:ilvl="0">
      <w:lvlJc w:val="left"/>
      <w:lvlText w:val="•"/>
      <w:numFmt w:val="bullet"/>
      <w:start w:val="1"/>
    </w:lvl>
  </w:abstractNum>
  <w:abstractNum w:abstractNumId="30">
    <w:nsid w:val="7AB49DAF"/>
    <w:multiLevelType w:val="hybridMultilevel"/>
    <w:lvl w:ilvl="0">
      <w:lvlJc w:val="left"/>
      <w:lvlText w:val="•"/>
      <w:numFmt w:val="bullet"/>
      <w:start w:val="1"/>
    </w:lvl>
  </w:abstractNum>
  <w:abstractNum w:abstractNumId="31">
    <w:nsid w:val="759F82CD"/>
    <w:multiLevelType w:val="hybridMultilevel"/>
    <w:lvl w:ilvl="0">
      <w:lvlJc w:val="left"/>
      <w:lvlText w:val="•"/>
      <w:numFmt w:val="bullet"/>
      <w:start w:val="1"/>
    </w:lvl>
  </w:abstractNum>
  <w:abstractNum w:abstractNumId="32">
    <w:nsid w:val="61E74EA3"/>
    <w:multiLevelType w:val="hybridMultilevel"/>
    <w:lvl w:ilvl="0">
      <w:lvlJc w:val="left"/>
      <w:lvlText w:val="•"/>
      <w:numFmt w:val="bullet"/>
      <w:start w:val="1"/>
    </w:lvl>
  </w:abstractNum>
  <w:abstractNum w:abstractNumId="33">
    <w:nsid w:val="597B4D84"/>
    <w:multiLevelType w:val="hybridMultilevel"/>
    <w:lvl w:ilvl="0">
      <w:lvlJc w:val="left"/>
      <w:lvlText w:val="•"/>
      <w:numFmt w:val="bullet"/>
      <w:start w:val="1"/>
    </w:lvl>
  </w:abstractNum>
  <w:abstractNum w:abstractNumId="34">
    <w:nsid w:val="F819E7F"/>
    <w:multiLevelType w:val="hybridMultilevel"/>
    <w:lvl w:ilvl="0">
      <w:lvlJc w:val="left"/>
      <w:lvlText w:val="•"/>
      <w:numFmt w:val="bullet"/>
      <w:start w:val="1"/>
    </w:lvl>
  </w:abstractNum>
  <w:abstractNum w:abstractNumId="35">
    <w:nsid w:val="57C7D42D"/>
    <w:multiLevelType w:val="hybridMultilevel"/>
    <w:lvl w:ilvl="0">
      <w:lvlJc w:val="left"/>
      <w:lvlText w:val="•"/>
      <w:numFmt w:val="bullet"/>
      <w:start w:val="1"/>
    </w:lvl>
  </w:abstractNum>
  <w:abstractNum w:abstractNumId="36">
    <w:nsid w:val="312167AD"/>
    <w:multiLevelType w:val="hybridMultilevel"/>
    <w:lvl w:ilvl="0">
      <w:lvlJc w:val="left"/>
      <w:lvlText w:val="(%1)"/>
      <w:numFmt w:val="lowerLetter"/>
      <w:start w:val="1"/>
    </w:lvl>
    <w:lvl w:ilvl="1">
      <w:lvlJc w:val="left"/>
      <w:lvlText w:val="•"/>
      <w:numFmt w:val="bullet"/>
      <w:start w:val="1"/>
    </w:lvl>
  </w:abstractNum>
  <w:abstractNum w:abstractNumId="37">
    <w:nsid w:val="631B64D4"/>
    <w:multiLevelType w:val="hybridMultilevel"/>
    <w:lvl w:ilvl="0">
      <w:lvlJc w:val="left"/>
      <w:lvlText w:val="(%1)"/>
      <w:numFmt w:val="lowerLetter"/>
      <w:start w:val="3"/>
    </w:lvl>
  </w:abstractNum>
  <w:abstractNum w:abstractNumId="38">
    <w:nsid w:val="78B5E776"/>
    <w:multiLevelType w:val="hybridMultilevel"/>
    <w:lvl w:ilvl="0">
      <w:lvlJc w:val="left"/>
      <w:lvlText w:val="(%1)"/>
      <w:numFmt w:val="decimal"/>
      <w:start w:val="1"/>
    </w:lvl>
  </w:abstractNum>
  <w:abstractNum w:abstractNumId="39">
    <w:nsid w:val="75486E47"/>
    <w:multiLevelType w:val="hybridMultilevel"/>
    <w:lvl w:ilvl="0">
      <w:lvlJc w:val="left"/>
      <w:lvlText w:val="(%1)"/>
      <w:numFmt w:val="decimal"/>
      <w:start w:val="1"/>
    </w:lvl>
  </w:abstractNum>
  <w:abstractNum w:abstractNumId="40">
    <w:nsid w:val="6E534CDE"/>
    <w:multiLevelType w:val="hybridMultilevel"/>
    <w:lvl w:ilvl="0">
      <w:lvlJc w:val="left"/>
      <w:lvlText w:val="%1."/>
      <w:numFmt w:val="lowerLetter"/>
      <w:start w:val="1"/>
    </w:lvl>
  </w:abstractNum>
  <w:abstractNum w:abstractNumId="41">
    <w:nsid w:val="1A0DDE32"/>
    <w:multiLevelType w:val="hybridMultilevel"/>
    <w:lvl w:ilvl="0">
      <w:lvlJc w:val="left"/>
      <w:lvlText w:val="(%1)"/>
      <w:numFmt w:val="lowerRoman"/>
      <w:start w:val="2"/>
    </w:lvl>
  </w:abstractNum>
  <w:abstractNum w:abstractNumId="42">
    <w:nsid w:val="65968C1C"/>
    <w:multiLevelType w:val="hybridMultilevel"/>
    <w:lvl w:ilvl="0">
      <w:lvlJc w:val="left"/>
      <w:lvlText w:val="%1."/>
      <w:numFmt w:val="lowerLetter"/>
      <w:start w:val="8"/>
    </w:lvl>
  </w:abstractNum>
  <w:abstractNum w:abstractNumId="43">
    <w:nsid w:val="46263DEC"/>
    <w:multiLevelType w:val="hybridMultilevel"/>
    <w:lvl w:ilvl="0">
      <w:lvlJc w:val="left"/>
      <w:lvlText w:val="(%1)"/>
      <w:numFmt w:val="decimal"/>
      <w:start w:val="1"/>
    </w:lvl>
  </w:abstractNum>
  <w:abstractNum w:abstractNumId="44">
    <w:nsid w:val="260D8C4A"/>
    <w:multiLevelType w:val="hybridMultilevel"/>
    <w:lvl w:ilvl="0">
      <w:lvlJc w:val="left"/>
      <w:lvlText w:val="(%1)"/>
      <w:numFmt w:val="lowerRoman"/>
      <w:start w:val="3"/>
    </w:lvl>
  </w:abstractNum>
  <w:abstractNum w:abstractNumId="45">
    <w:nsid w:val="73D4D3C4"/>
    <w:multiLevelType w:val="hybridMultilevel"/>
    <w:lvl w:ilvl="0">
      <w:lvlJc w:val="left"/>
      <w:lvlText w:val="(%1)"/>
      <w:numFmt w:val="lowerLetter"/>
      <w:start w:val="1"/>
    </w:lvl>
  </w:abstractNum>
  <w:abstractNum w:abstractNumId="46">
    <w:nsid w:val="746F2E30"/>
    <w:multiLevelType w:val="hybridMultilevel"/>
    <w:lvl w:ilvl="0">
      <w:lvlJc w:val="left"/>
      <w:lvlText w:val="•"/>
      <w:numFmt w:val="bullet"/>
      <w:start w:val="1"/>
    </w:lvl>
  </w:abstractNum>
  <w:abstractNum w:abstractNumId="47">
    <w:nsid w:val="6FDE8AF6"/>
    <w:multiLevelType w:val="hybridMultilevel"/>
    <w:lvl w:ilvl="0">
      <w:lvlJc w:val="left"/>
      <w:lvlText w:val="•"/>
      <w:numFmt w:val="bullet"/>
      <w:start w:val="1"/>
    </w:lvl>
    <w:lvl w:ilvl="1">
      <w:lvlJc w:val="left"/>
      <w:lvlText w:val="(%2)"/>
      <w:numFmt w:val="lowerLetter"/>
      <w:start w:val="2"/>
    </w:lvl>
  </w:abstractNum>
  <w:abstractNum w:abstractNumId="48">
    <w:nsid w:val="3FC32E20"/>
    <w:multiLevelType w:val="hybridMultilevel"/>
    <w:lvl w:ilvl="0">
      <w:lvlJc w:val="left"/>
      <w:lvlText w:val="•"/>
      <w:numFmt w:val="bullet"/>
      <w:start w:val="1"/>
    </w:lvl>
  </w:abstractNum>
  <w:abstractNum w:abstractNumId="49">
    <w:nsid w:val="49C0E823"/>
    <w:multiLevelType w:val="hybridMultilevel"/>
    <w:lvl w:ilvl="0">
      <w:lvlJc w:val="left"/>
      <w:lvlText w:val="•"/>
      <w:numFmt w:val="bullet"/>
      <w:start w:val="1"/>
    </w:lvl>
  </w:abstractNum>
  <w:abstractNum w:abstractNumId="50">
    <w:nsid w:val="14D53685"/>
    <w:multiLevelType w:val="hybridMultilevel"/>
    <w:lvl w:ilvl="0">
      <w:lvlJc w:val="left"/>
      <w:lvlText w:val="•"/>
      <w:numFmt w:val="bullet"/>
      <w:start w:val="1"/>
    </w:lvl>
  </w:abstractNum>
  <w:abstractNum w:abstractNumId="51">
    <w:nsid w:val="230F856C"/>
    <w:multiLevelType w:val="hybridMultilevel"/>
    <w:lvl w:ilvl="0">
      <w:lvlJc w:val="left"/>
      <w:lvlText w:val="•"/>
      <w:numFmt w:val="bullet"/>
      <w:start w:val="1"/>
    </w:lvl>
  </w:abstractNum>
  <w:abstractNum w:abstractNumId="52">
    <w:nsid w:val="6EAA85FB"/>
    <w:multiLevelType w:val="hybridMultilevel"/>
    <w:lvl w:ilvl="0">
      <w:lvlJc w:val="left"/>
      <w:lvlText w:val="•"/>
      <w:numFmt w:val="bullet"/>
      <w:start w:val="1"/>
    </w:lvl>
  </w:abstractNum>
  <w:abstractNum w:abstractNumId="53">
    <w:nsid w:val="3F06ECB2"/>
    <w:multiLevelType w:val="hybridMultilevel"/>
    <w:lvl w:ilvl="0">
      <w:lvlJc w:val="left"/>
      <w:lvlText w:val="•"/>
      <w:numFmt w:val="bullet"/>
      <w:start w:val="1"/>
    </w:lvl>
  </w:abstractNum>
  <w:abstractNum w:abstractNumId="54">
    <w:nsid w:val="3B594807"/>
    <w:multiLevelType w:val="hybridMultilevel"/>
    <w:lvl w:ilvl="0">
      <w:lvlJc w:val="left"/>
      <w:lvlText w:val="•"/>
      <w:numFmt w:val="bullet"/>
      <w:start w:val="1"/>
    </w:lvl>
  </w:abstractNum>
  <w:abstractNum w:abstractNumId="55">
    <w:nsid w:val="6CAA2304"/>
    <w:multiLevelType w:val="hybridMultilevel"/>
    <w:lvl w:ilvl="0">
      <w:lvlJc w:val="left"/>
      <w:lvlText w:val="•"/>
      <w:numFmt w:val="bullet"/>
      <w:start w:val="1"/>
    </w:lvl>
  </w:abstractNum>
  <w:abstractNum w:abstractNumId="56">
    <w:nsid w:val="3F7C2FF4"/>
    <w:multiLevelType w:val="hybridMultilevel"/>
    <w:lvl w:ilvl="0">
      <w:lvlJc w:val="left"/>
      <w:lvlText w:val="(%1)"/>
      <w:numFmt w:val="lowerLetter"/>
      <w:start w:val="1"/>
    </w:lvl>
  </w:abstractNum>
  <w:abstractNum w:abstractNumId="57">
    <w:nsid w:val="25413BEC"/>
    <w:multiLevelType w:val="hybridMultilevel"/>
    <w:lvl w:ilvl="0">
      <w:lvlJc w:val="left"/>
      <w:lvlText w:val="(%1)"/>
      <w:numFmt w:val="lowerLetter"/>
      <w:start w:val="1"/>
    </w:lvl>
  </w:abstractNum>
  <w:abstractNum w:abstractNumId="58">
    <w:nsid w:val="17180B0B"/>
    <w:multiLevelType w:val="hybridMultilevel"/>
    <w:lvl w:ilvl="0">
      <w:lvlJc w:val="left"/>
      <w:lvlText w:val="•"/>
      <w:numFmt w:val="bullet"/>
      <w:start w:val="1"/>
    </w:lvl>
  </w:abstractNum>
  <w:abstractNum w:abstractNumId="59">
    <w:nsid w:val="579328B9"/>
    <w:multiLevelType w:val="hybridMultilevel"/>
    <w:lvl w:ilvl="0">
      <w:lvlJc w:val="left"/>
      <w:lvlText w:val="•"/>
      <w:numFmt w:val="bullet"/>
      <w:start w:val="1"/>
    </w:lvl>
  </w:abstractNum>
  <w:abstractNum w:abstractNumId="60">
    <w:nsid w:val="5D205E20"/>
    <w:multiLevelType w:val="hybridMultilevel"/>
    <w:lvl w:ilvl="0">
      <w:lvlJc w:val="left"/>
      <w:lvlText w:val="•"/>
      <w:numFmt w:val="bullet"/>
      <w:start w:val="1"/>
    </w:lvl>
  </w:abstractNum>
  <w:abstractNum w:abstractNumId="61">
    <w:nsid w:val="11CCA8BA"/>
    <w:multiLevelType w:val="hybridMultilevel"/>
    <w:lvl w:ilvl="0">
      <w:lvlJc w:val="left"/>
      <w:lvlText w:val="•"/>
      <w:numFmt w:val="bullet"/>
      <w:start w:val="1"/>
    </w:lvl>
  </w:abstractNum>
  <w:abstractNum w:abstractNumId="62">
    <w:nsid w:val="4D32AB86"/>
    <w:multiLevelType w:val="hybridMultilevel"/>
    <w:lvl w:ilvl="0">
      <w:lvlJc w:val="left"/>
      <w:lvlText w:val="•"/>
      <w:numFmt w:val="bullet"/>
      <w:start w:val="1"/>
    </w:lvl>
  </w:abstractNum>
  <w:abstractNum w:abstractNumId="63">
    <w:nsid w:val="3F07ACC3"/>
    <w:multiLevelType w:val="hybridMultilevel"/>
    <w:lvl w:ilvl="0">
      <w:lvlJc w:val="left"/>
      <w:lvlText w:val="•"/>
      <w:numFmt w:val="bullet"/>
      <w:start w:val="1"/>
    </w:lvl>
  </w:abstractNum>
  <w:abstractNum w:abstractNumId="64">
    <w:nsid w:val="6B47F63E"/>
    <w:multiLevelType w:val="hybridMultilevel"/>
    <w:lvl w:ilvl="0">
      <w:lvlJc w:val="left"/>
      <w:lvlText w:val="•"/>
      <w:numFmt w:val="bullet"/>
      <w:start w:val="1"/>
    </w:lvl>
  </w:abstractNum>
  <w:abstractNum w:abstractNumId="65">
    <w:nsid w:val="5CB44A05"/>
    <w:multiLevelType w:val="hybridMultilevel"/>
    <w:lvl w:ilvl="0">
      <w:lvlJc w:val="left"/>
      <w:lvlText w:val="•"/>
      <w:numFmt w:val="bullet"/>
      <w:start w:val="1"/>
    </w:lvl>
  </w:abstractNum>
  <w:abstractNum w:abstractNumId="66">
    <w:nsid w:val="16CF80F1"/>
    <w:multiLevelType w:val="hybridMultilevel"/>
    <w:lvl w:ilvl="0">
      <w:lvlJc w:val="left"/>
      <w:lvlText w:val="•"/>
      <w:numFmt w:val="bullet"/>
      <w:start w:val="1"/>
    </w:lvl>
  </w:abstractNum>
  <w:abstractNum w:abstractNumId="67">
    <w:nsid w:val="1C695DEC"/>
    <w:multiLevelType w:val="hybridMultilevel"/>
    <w:lvl w:ilvl="0">
      <w:lvlJc w:val="left"/>
      <w:lvlText w:val="•"/>
      <w:numFmt w:val="bullet"/>
      <w:start w:val="1"/>
    </w:lvl>
  </w:abstractNum>
  <w:abstractNum w:abstractNumId="68">
    <w:nsid w:val="3FCFAED9"/>
    <w:multiLevelType w:val="hybridMultilevel"/>
    <w:lvl w:ilvl="0">
      <w:lvlJc w:val="left"/>
      <w:lvlText w:val="•"/>
      <w:numFmt w:val="bullet"/>
      <w:start w:val="1"/>
    </w:lvl>
  </w:abstractNum>
  <w:abstractNum w:abstractNumId="69">
    <w:nsid w:val="F856867"/>
    <w:multiLevelType w:val="hybridMultilevel"/>
    <w:lvl w:ilvl="0">
      <w:lvlJc w:val="left"/>
      <w:lvlText w:val="•"/>
      <w:numFmt w:val="bullet"/>
      <w:start w:val="1"/>
    </w:lvl>
  </w:abstractNum>
  <w:abstractNum w:abstractNumId="70">
    <w:nsid w:val="11B1CC33"/>
    <w:multiLevelType w:val="hybridMultilevel"/>
    <w:lvl w:ilvl="0">
      <w:lvlJc w:val="left"/>
      <w:lvlText w:val="(%1)"/>
      <w:numFmt w:val="decimal"/>
      <w:start w:val="1"/>
    </w:lvl>
  </w:abstractNum>
  <w:abstractNum w:abstractNumId="71">
    <w:nsid w:val="2E22FBB7"/>
    <w:multiLevelType w:val="hybridMultilevel"/>
    <w:lvl w:ilvl="0">
      <w:lvlJc w:val="left"/>
      <w:lvlText w:val="(%1)"/>
      <w:numFmt w:val="decimal"/>
      <w:start w:val="4"/>
    </w:lvl>
  </w:abstractNum>
  <w:abstractNum w:abstractNumId="72">
    <w:nsid w:val="29934699"/>
    <w:multiLevelType w:val="hybridMultilevel"/>
    <w:lvl w:ilvl="0">
      <w:lvlJc w:val="left"/>
      <w:lvlText w:val="(%1)"/>
      <w:numFmt w:val="decimal"/>
      <w:start w:val="5"/>
    </w:lvl>
  </w:abstractNum>
  <w:abstractNum w:abstractNumId="73">
    <w:nsid w:val="77485850"/>
    <w:multiLevelType w:val="hybridMultilevel"/>
    <w:lvl w:ilvl="0">
      <w:lvlJc w:val="left"/>
      <w:lvlText w:val="(%1)"/>
      <w:numFmt w:val="decimal"/>
      <w:start w:val="1"/>
    </w:lvl>
  </w:abstractNum>
  <w:abstractNum w:abstractNumId="74">
    <w:nsid w:val="744939A3"/>
    <w:multiLevelType w:val="hybridMultilevel"/>
    <w:lvl w:ilvl="0">
      <w:lvlJc w:val="left"/>
      <w:lvlText w:val="•"/>
      <w:numFmt w:val="bullet"/>
      <w:start w:val="1"/>
    </w:lvl>
  </w:abstractNum>
  <w:abstractNum w:abstractNumId="75">
    <w:nsid w:val="4FA0D2E3"/>
    <w:multiLevelType w:val="hybridMultilevel"/>
    <w:lvl w:ilvl="0">
      <w:lvlJc w:val="left"/>
      <w:lvlText w:val="(%1)"/>
      <w:numFmt w:val="lowerRoman"/>
      <w:start w:val="1"/>
    </w:lvl>
  </w:abstractNum>
  <w:abstractNum w:abstractNumId="76">
    <w:nsid w:val="6B1D2C14"/>
    <w:multiLevelType w:val="hybridMultilevel"/>
    <w:lvl w:ilvl="0">
      <w:lvlJc w:val="left"/>
      <w:lvlText w:val="•"/>
      <w:numFmt w:val="bullet"/>
      <w:start w:val="1"/>
    </w:lvl>
  </w:abstractNum>
  <w:abstractNum w:abstractNumId="77">
    <w:nsid w:val="68B867D3"/>
    <w:multiLevelType w:val="hybridMultilevel"/>
    <w:lvl w:ilvl="0">
      <w:lvlJc w:val="left"/>
      <w:lvlText w:val="•"/>
      <w:numFmt w:val="bullet"/>
      <w:start w:val="1"/>
    </w:lvl>
  </w:abstractNum>
  <w:abstractNum w:abstractNumId="78">
    <w:nsid w:val="3F7F5DD9"/>
    <w:multiLevelType w:val="hybridMultilevel"/>
    <w:lvl w:ilvl="0">
      <w:lvlJc w:val="left"/>
      <w:lvlText w:val="•"/>
      <w:numFmt w:val="bullet"/>
      <w:start w:val="1"/>
    </w:lvl>
    <w:lvl w:ilvl="1">
      <w:lvlJc w:val="left"/>
      <w:lvlText w:val="•"/>
      <w:numFmt w:val="bullet"/>
      <w:start w:val="1"/>
    </w:lvl>
  </w:abstractNum>
  <w:abstractNum w:abstractNumId="79">
    <w:nsid w:val="2AE05A34"/>
    <w:multiLevelType w:val="hybridMultilevel"/>
    <w:lvl w:ilvl="0">
      <w:lvlJc w:val="left"/>
      <w:lvlText w:val="•"/>
      <w:numFmt w:val="bullet"/>
      <w:start w:val="1"/>
    </w:lvl>
    <w:lvl w:ilvl="1">
      <w:lvlJc w:val="left"/>
      <w:lvlText w:val="•"/>
      <w:numFmt w:val="bullet"/>
      <w:start w:val="1"/>
    </w:lvl>
  </w:abstractNum>
  <w:abstractNum w:abstractNumId="80">
    <w:nsid w:val="32794FF7"/>
    <w:multiLevelType w:val="hybridMultilevel"/>
    <w:lvl w:ilvl="0">
      <w:lvlJc w:val="left"/>
      <w:lvlText w:val="•"/>
      <w:numFmt w:val="bullet"/>
      <w:start w:val="1"/>
    </w:lvl>
  </w:abstractNum>
  <w:abstractNum w:abstractNumId="81">
    <w:nsid w:val="5454945E"/>
    <w:multiLevelType w:val="hybridMultilevel"/>
    <w:lvl w:ilvl="0">
      <w:lvlJc w:val="left"/>
      <w:lvlText w:val="•"/>
      <w:numFmt w:val="bullet"/>
      <w:start w:val="1"/>
    </w:lvl>
  </w:abstractNum>
  <w:abstractNum w:abstractNumId="82">
    <w:nsid w:val="4DEFDFA0"/>
    <w:multiLevelType w:val="hybridMultilevel"/>
    <w:lvl w:ilvl="0">
      <w:lvlJc w:val="left"/>
      <w:lvlText w:val="*"/>
      <w:numFmt w:val="bullet"/>
      <w:start w:val="1"/>
    </w:lvl>
  </w:abstractNum>
  <w:abstractNum w:abstractNumId="83">
    <w:nsid w:val="2123D5F2"/>
    <w:multiLevelType w:val="hybridMultilevel"/>
    <w:lvl w:ilvl="0">
      <w:lvlJc w:val="left"/>
      <w:lvlText w:val="(%1)"/>
      <w:numFmt w:val="decimal"/>
      <w:start w:val="1"/>
    </w:lvl>
  </w:abstractNum>
  <w:abstractNum w:abstractNumId="84">
    <w:nsid w:val="135B8110"/>
    <w:multiLevelType w:val="hybridMultilevel"/>
    <w:lvl w:ilvl="0">
      <w:lvlJc w:val="left"/>
      <w:lvlText w:val="(%1)"/>
      <w:numFmt w:val="lowerRoman"/>
      <w:start w:val="4"/>
    </w:lvl>
  </w:abstractNum>
  <w:abstractNum w:abstractNumId="85">
    <w:nsid w:val="94927A8"/>
    <w:multiLevelType w:val="hybridMultilevel"/>
    <w:lvl w:ilvl="0">
      <w:lvlJc w:val="left"/>
      <w:lvlText w:val="(%1)"/>
      <w:numFmt w:val="lowerRoman"/>
      <w:start w:val="3"/>
    </w:lvl>
  </w:abstractNum>
  <w:abstractNum w:abstractNumId="86">
    <w:nsid w:val="DCDF8F6"/>
    <w:multiLevelType w:val="hybridMultilevel"/>
    <w:lvl w:ilvl="0">
      <w:lvlJc w:val="left"/>
      <w:lvlText w:val="•"/>
      <w:numFmt w:val="bullet"/>
      <w:start w:val="1"/>
    </w:lvl>
  </w:abstractNum>
  <w:abstractNum w:abstractNumId="87">
    <w:nsid w:val="52D7B105"/>
    <w:multiLevelType w:val="hybridMultilevel"/>
    <w:lvl w:ilvl="0">
      <w:lvlJc w:val="left"/>
      <w:lvlText w:val="•"/>
      <w:numFmt w:val="bullet"/>
      <w:start w:val="1"/>
    </w:lvl>
  </w:abstractNum>
  <w:abstractNum w:abstractNumId="88">
    <w:nsid w:val="2E8A6394"/>
    <w:multiLevelType w:val="hybridMultilevel"/>
    <w:lvl w:ilvl="0">
      <w:lvlJc w:val="left"/>
      <w:lvlText w:val="•"/>
      <w:numFmt w:val="bullet"/>
      <w:start w:val="1"/>
    </w:lvl>
  </w:abstractNum>
  <w:abstractNum w:abstractNumId="89">
    <w:nsid w:val="24E60401"/>
    <w:multiLevelType w:val="hybridMultilevel"/>
    <w:lvl w:ilvl="0">
      <w:lvlJc w:val="left"/>
      <w:lvlText w:val="•"/>
      <w:numFmt w:val="bullet"/>
      <w:start w:val="1"/>
    </w:lvl>
  </w:abstractNum>
  <w:abstractNum w:abstractNumId="90">
    <w:nsid w:val="2A6AD9BE"/>
    <w:multiLevelType w:val="hybridMultilevel"/>
    <w:lvl w:ilvl="0">
      <w:lvlJc w:val="left"/>
      <w:lvlText w:val="•"/>
      <w:numFmt w:val="bullet"/>
      <w:start w:val="1"/>
    </w:lvl>
  </w:abstractNum>
  <w:abstractNum w:abstractNumId="91">
    <w:nsid w:val="BAAC1B4"/>
    <w:multiLevelType w:val="hybridMultilevel"/>
    <w:lvl w:ilvl="0">
      <w:lvlJc w:val="left"/>
      <w:lvlText w:val="•"/>
      <w:numFmt w:val="bullet"/>
      <w:start w:val="1"/>
    </w:lvl>
  </w:abstractNum>
  <w:abstractNum w:abstractNumId="92">
    <w:nsid w:val="36B2ACBC"/>
    <w:multiLevelType w:val="hybridMultilevel"/>
    <w:lvl w:ilvl="0">
      <w:lvlJc w:val="left"/>
      <w:lvlText w:val="•"/>
      <w:numFmt w:val="bullet"/>
      <w:start w:val="1"/>
    </w:lvl>
  </w:abstractNum>
  <w:abstractNum w:abstractNumId="93">
    <w:nsid w:val="779D8544"/>
    <w:multiLevelType w:val="hybridMultilevel"/>
    <w:lvl w:ilvl="0">
      <w:lvlJc w:val="left"/>
      <w:lvlText w:val="•"/>
      <w:numFmt w:val="bullet"/>
      <w:start w:val="1"/>
    </w:lvl>
  </w:abstractNum>
  <w:abstractNum w:abstractNumId="94">
    <w:nsid w:val="4AB26E78"/>
    <w:multiLevelType w:val="hybridMultilevel"/>
    <w:lvl w:ilvl="0">
      <w:lvlJc w:val="left"/>
      <w:lvlText w:val="(%1)"/>
      <w:numFmt w:val="decimal"/>
      <w:start w:val="1"/>
    </w:lvl>
  </w:abstractNum>
  <w:abstractNum w:abstractNumId="95">
    <w:nsid w:val="21FAA2FA"/>
    <w:multiLevelType w:val="hybridMultilevel"/>
    <w:lvl w:ilvl="0">
      <w:lvlJc w:val="left"/>
      <w:lvlText w:val="•"/>
      <w:numFmt w:val="bullet"/>
      <w:start w:val="1"/>
    </w:lvl>
  </w:abstractNum>
  <w:abstractNum w:abstractNumId="96">
    <w:nsid w:val="5451CF49"/>
    <w:multiLevelType w:val="hybridMultilevel"/>
    <w:lvl w:ilvl="0">
      <w:lvlJc w:val="left"/>
      <w:lvlText w:val="•"/>
      <w:numFmt w:val="bullet"/>
      <w:start w:val="1"/>
    </w:lvl>
  </w:abstractNum>
  <w:abstractNum w:abstractNumId="97">
    <w:nsid w:val="6181EF69"/>
    <w:multiLevelType w:val="hybridMultilevel"/>
    <w:lvl w:ilvl="0">
      <w:lvlJc w:val="left"/>
      <w:lvlText w:val="•"/>
      <w:numFmt w:val="bullet"/>
      <w:start w:val="1"/>
    </w:lvl>
  </w:abstractNum>
  <w:abstractNum w:abstractNumId="98">
    <w:nsid w:val="3E6400E6"/>
    <w:multiLevelType w:val="hybridMultilevel"/>
    <w:lvl w:ilvl="0">
      <w:lvlJc w:val="left"/>
      <w:lvlText w:val="•"/>
      <w:numFmt w:val="bullet"/>
      <w:start w:val="1"/>
    </w:lvl>
  </w:abstractNum>
  <w:abstractNum w:abstractNumId="99">
    <w:nsid w:val="14217E23"/>
    <w:multiLevelType w:val="hybridMultilevel"/>
    <w:lvl w:ilvl="0">
      <w:lvlJc w:val="left"/>
      <w:lvlText w:val="(%1)"/>
      <w:numFmt w:val="lowerRoman"/>
      <w:start w:val="1"/>
    </w:lvl>
  </w:abstractNum>
  <w:abstractNum w:abstractNumId="100">
    <w:nsid w:val="710757D0"/>
    <w:multiLevelType w:val="hybridMultilevel"/>
    <w:lvl w:ilvl="0">
      <w:lvlJc w:val="left"/>
      <w:lvlText w:val="•"/>
      <w:numFmt w:val="bullet"/>
      <w:start w:val="1"/>
    </w:lvl>
  </w:abstractNum>
  <w:abstractNum w:abstractNumId="101">
    <w:nsid w:val="5015CD1A"/>
    <w:multiLevelType w:val="hybridMultilevel"/>
    <w:lvl w:ilvl="0">
      <w:lvlJc w:val="left"/>
      <w:lvlText w:val="•"/>
      <w:numFmt w:val="bullet"/>
      <w:start w:val="1"/>
    </w:lvl>
  </w:abstractNum>
  <w:abstractNum w:abstractNumId="102">
    <w:nsid w:val="424479DA"/>
    <w:multiLevelType w:val="hybridMultilevel"/>
    <w:lvl w:ilvl="0">
      <w:lvlJc w:val="left"/>
      <w:lvlText w:val="•"/>
      <w:numFmt w:val="bullet"/>
      <w:start w:val="1"/>
    </w:lvl>
  </w:abstractNum>
  <w:abstractNum w:abstractNumId="103">
    <w:nsid w:val="1A9A9E69"/>
    <w:multiLevelType w:val="hybridMultilevel"/>
    <w:lvl w:ilvl="0">
      <w:lvlJc w:val="left"/>
      <w:lvlText w:val="•"/>
      <w:numFmt w:val="bullet"/>
      <w:start w:val="1"/>
    </w:lvl>
  </w:abstractNum>
  <w:abstractNum w:abstractNumId="104">
    <w:nsid w:val="475E256A"/>
    <w:multiLevelType w:val="hybridMultilevel"/>
    <w:lvl w:ilvl="0">
      <w:lvlJc w:val="left"/>
      <w:lvlText w:val="•"/>
      <w:numFmt w:val="bullet"/>
      <w:start w:val="1"/>
    </w:lvl>
  </w:abstractNum>
  <w:abstractNum w:abstractNumId="105">
    <w:nsid w:val="368DB37E"/>
    <w:multiLevelType w:val="hybridMultilevel"/>
    <w:lvl w:ilvl="0">
      <w:lvlJc w:val="left"/>
      <w:lvlText w:val="•"/>
      <w:numFmt w:val="bullet"/>
      <w:start w:val="1"/>
    </w:lvl>
  </w:abstractNum>
  <w:abstractNum w:abstractNumId="106">
    <w:nsid w:val="6A3B714C"/>
    <w:multiLevelType w:val="hybridMultilevel"/>
    <w:lvl w:ilvl="0">
      <w:lvlJc w:val="left"/>
      <w:lvlText w:val="•"/>
      <w:numFmt w:val="bullet"/>
      <w:start w:val="1"/>
    </w:lvl>
    <w:lvl w:ilvl="1">
      <w:lvlJc w:val="left"/>
      <w:lvlText w:val="(%2)"/>
      <w:numFmt w:val="decimal"/>
      <w:start w:val="2"/>
    </w:lvl>
  </w:abstractNum>
  <w:abstractNum w:abstractNumId="107">
    <w:nsid w:val="327B517E"/>
    <w:multiLevelType w:val="hybridMultilevel"/>
    <w:lvl w:ilvl="0">
      <w:lvlJc w:val="left"/>
      <w:lvlText w:val="(%1)"/>
      <w:numFmt w:val="lowerLetter"/>
      <w:start w:val="2"/>
    </w:lvl>
  </w:abstractNum>
  <w:abstractNum w:abstractNumId="108">
    <w:nsid w:val="1F461B51"/>
    <w:multiLevelType w:val="hybridMultilevel"/>
    <w:lvl w:ilvl="0">
      <w:lvlJc w:val="left"/>
      <w:lvlText w:val="•"/>
      <w:numFmt w:val="bullet"/>
      <w:start w:val="1"/>
    </w:lvl>
  </w:abstractNum>
  <w:abstractNum w:abstractNumId="109">
    <w:nsid w:val="29BACF25"/>
    <w:multiLevelType w:val="hybridMultilevel"/>
    <w:lvl w:ilvl="0">
      <w:lvlJc w:val="left"/>
      <w:lvlText w:val="•"/>
      <w:numFmt w:val="bullet"/>
      <w:start w:val="1"/>
    </w:lvl>
  </w:abstractNum>
  <w:abstractNum w:abstractNumId="110">
    <w:nsid w:val="5D5BABB3"/>
    <w:multiLevelType w:val="hybridMultilevel"/>
    <w:lvl w:ilvl="0">
      <w:lvlJc w:val="left"/>
      <w:lvlText w:val="$"/>
      <w:numFmt w:val="bullet"/>
      <w:start w:val="1"/>
    </w:lvl>
  </w:abstractNum>
  <w:abstractNum w:abstractNumId="111">
    <w:nsid w:val="51BF6B48"/>
    <w:multiLevelType w:val="hybridMultilevel"/>
    <w:lvl w:ilvl="0">
      <w:lvlJc w:val="left"/>
      <w:lvlText w:val="(%1)"/>
      <w:numFmt w:val="upperLetter"/>
      <w:start w:val="1"/>
    </w:lvl>
    <w:lvl w:ilvl="1">
      <w:lvlJc w:val="left"/>
      <w:lvlText w:val="•"/>
      <w:numFmt w:val="bullet"/>
      <w:start w:val="1"/>
    </w:lvl>
  </w:abstractNum>
  <w:abstractNum w:abstractNumId="112">
    <w:nsid w:val="7E0F6384"/>
    <w:multiLevelType w:val="hybridMultilevel"/>
    <w:lvl w:ilvl="0">
      <w:lvlJc w:val="left"/>
      <w:lvlText w:val="•"/>
      <w:numFmt w:val="bullet"/>
      <w:start w:val="1"/>
    </w:lvl>
  </w:abstractNum>
  <w:abstractNum w:abstractNumId="113">
    <w:nsid w:val="2B4B8B53"/>
    <w:multiLevelType w:val="hybridMultilevel"/>
    <w:lvl w:ilvl="0">
      <w:lvlJc w:val="left"/>
      <w:lvlText w:val="•"/>
      <w:numFmt w:val="bullet"/>
      <w:start w:val="1"/>
    </w:lvl>
  </w:abstractNum>
  <w:abstractNum w:abstractNumId="114">
    <w:nsid w:val="72E3413A"/>
    <w:multiLevelType w:val="hybridMultilevel"/>
    <w:lvl w:ilvl="0">
      <w:lvlJc w:val="left"/>
      <w:lvlText w:val="&amp;"/>
      <w:numFmt w:val="bullet"/>
      <w:start w:val="1"/>
    </w:lvl>
  </w:abstractNum>
  <w:abstractNum w:abstractNumId="115">
    <w:nsid w:val="116AE494"/>
    <w:multiLevelType w:val="hybridMultilevel"/>
    <w:lvl w:ilvl="0">
      <w:lvlJc w:val="left"/>
      <w:lvlText w:val="•"/>
      <w:numFmt w:val="bullet"/>
      <w:start w:val="1"/>
    </w:lvl>
  </w:abstractNum>
  <w:abstractNum w:abstractNumId="116">
    <w:nsid w:val="3494B2FB"/>
    <w:multiLevelType w:val="hybridMultilevel"/>
    <w:lvl w:ilvl="0">
      <w:lvlJc w:val="left"/>
      <w:lvlText w:val="(%1)"/>
      <w:numFmt w:val="lowerLetter"/>
      <w:start w:val="4"/>
    </w:lvl>
  </w:abstractNum>
  <w:abstractNum w:abstractNumId="117">
    <w:nsid w:val="B13A31"/>
    <w:multiLevelType w:val="hybridMultilevel"/>
    <w:lvl w:ilvl="0">
      <w:lvlJc w:val="left"/>
      <w:lvlText w:val="(%1)"/>
      <w:numFmt w:val="lowerRoman"/>
      <w:start w:val="3"/>
    </w:lvl>
  </w:abstractNum>
  <w:abstractNum w:abstractNumId="118">
    <w:nsid w:val="64429599"/>
    <w:multiLevelType w:val="hybridMultilevel"/>
    <w:lvl w:ilvl="0">
      <w:lvlJc w:val="left"/>
      <w:lvlText w:val="$"/>
      <w:numFmt w:val="bullet"/>
      <w:start w:val="1"/>
    </w:lvl>
  </w:abstractNum>
  <w:abstractNum w:abstractNumId="119">
    <w:nsid w:val="631F1690"/>
    <w:multiLevelType w:val="hybridMultilevel"/>
    <w:lvl w:ilvl="0">
      <w:lvlJc w:val="left"/>
      <w:lvlText w:val="$"/>
      <w:numFmt w:val="bullet"/>
      <w:start w:val="1"/>
    </w:lvl>
  </w:abstractNum>
  <w:abstractNum w:abstractNumId="120">
    <w:nsid w:val="25973E32"/>
    <w:multiLevelType w:val="hybridMultilevel"/>
    <w:lvl w:ilvl="0">
      <w:lvlJc w:val="left"/>
      <w:lvlText w:val="(%1)"/>
      <w:numFmt w:val="lowerLetter"/>
      <w:start w:val="1"/>
    </w:lvl>
  </w:abstractNum>
  <w:abstractNum w:abstractNumId="121">
    <w:nsid w:val="EAD6F57"/>
    <w:multiLevelType w:val="hybridMultilevel"/>
    <w:lvl w:ilvl="0">
      <w:lvlJc w:val="left"/>
      <w:lvlText w:val="(%1)"/>
      <w:numFmt w:val="lowerLetter"/>
      <w:start w:val="1"/>
    </w:lvl>
  </w:abstractNum>
  <w:abstractNum w:abstractNumId="122">
    <w:nsid w:val="6EC9D844"/>
    <w:multiLevelType w:val="hybridMultilevel"/>
    <w:lvl w:ilvl="0">
      <w:lvlJc w:val="left"/>
      <w:lvlText w:val="•"/>
      <w:numFmt w:val="bullet"/>
      <w:start w:val="1"/>
    </w:lvl>
  </w:abstractNum>
  <w:abstractNum w:abstractNumId="123">
    <w:nsid w:val="5C49EAEE"/>
    <w:multiLevelType w:val="hybridMultilevel"/>
    <w:lvl w:ilvl="0">
      <w:lvlJc w:val="left"/>
      <w:lvlText w:val="(%1)"/>
      <w:numFmt w:val="lowerLetter"/>
      <w:start w:val="1"/>
    </w:lvl>
  </w:abstractNum>
  <w:abstractNum w:abstractNumId="124">
    <w:nsid w:val="64AF49B"/>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upperLetter"/>
      <w:start w:val="35"/>
    </w:lvl>
  </w:abstractNum>
  <w:abstractNum w:abstractNumId="125">
    <w:nsid w:val="397C46BC"/>
    <w:multiLevelType w:val="hybridMultilevel"/>
    <w:lvl w:ilvl="0">
      <w:lvlJc w:val="left"/>
      <w:lvlText w:val="*"/>
      <w:numFmt w:val="bullet"/>
      <w:start w:val="1"/>
    </w:lvl>
  </w:abstractNum>
  <w:abstractNum w:abstractNumId="126">
    <w:nsid w:val="7E448DE9"/>
    <w:multiLevelType w:val="hybridMultilevel"/>
    <w:lvl w:ilvl="0">
      <w:lvlJc w:val="left"/>
      <w:lvlText w:val="**"/>
      <w:numFmt w:val="bullet"/>
      <w:start w:val="1"/>
    </w:lvl>
  </w:abstractNum>
  <w:abstractNum w:abstractNumId="127">
    <w:nsid w:val="5A9CC3E5"/>
    <w:multiLevelType w:val="hybridMultilevel"/>
    <w:lvl w:ilvl="0">
      <w:lvlJc w:val="left"/>
      <w:lvlText w:val="†"/>
      <w:numFmt w:val="bullet"/>
      <w:start w:val="1"/>
    </w:lvl>
    <w:lvl w:ilvl="1">
      <w:lvlJc w:val="left"/>
      <w:lvlText w:val="%2"/>
      <w:numFmt w:val="upperLetter"/>
      <w:start w:val="35"/>
    </w:lvl>
  </w:abstractNum>
  <w:abstractNum w:abstractNumId="128">
    <w:nsid w:val="1AFE3625"/>
    <w:multiLevelType w:val="hybridMultilevel"/>
    <w:lvl w:ilvl="0">
      <w:lvlJc w:val="left"/>
      <w:lvlText w:val="(%1)"/>
      <w:numFmt w:val="lowerLetter"/>
      <w:start w:val="1"/>
    </w:lvl>
    <w:lvl w:ilvl="1">
      <w:lvlJc w:val="left"/>
      <w:lvlText w:val="(%2)"/>
      <w:numFmt w:val="lowerRoman"/>
      <w:start w:val="1"/>
    </w:lvl>
  </w:abstractNum>
  <w:abstractNum w:abstractNumId="129">
    <w:nsid w:val="3CA88ECF"/>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130">
    <w:nsid w:val="6EBE420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1">
    <w:nsid w:val="C058DF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6"/>
    </w:lvl>
  </w:abstractNum>
  <w:abstractNum w:abstractNumId="132">
    <w:nsid w:val="CBE5BE9"/>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33">
    <w:nsid w:val="3102BBE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34">
    <w:nsid w:val="26A02C5E"/>
    <w:multiLevelType w:val="hybridMultilevel"/>
    <w:lvl w:ilvl="0">
      <w:lvlJc w:val="left"/>
      <w:lvlText w:val="%1"/>
      <w:numFmt w:val="lowerRoman"/>
      <w:start w:val="1"/>
    </w:lvl>
    <w:lvl w:ilvl="1">
      <w:lvlJc w:val="left"/>
      <w:lvlText w:val="(%2)"/>
      <w:numFmt w:val="lowerRoman"/>
      <w:start w:val="2"/>
    </w:lvl>
  </w:abstractNum>
  <w:abstractNum w:abstractNumId="135">
    <w:nsid w:val="541C8153"/>
    <w:multiLevelType w:val="hybridMultilevel"/>
    <w:lvl w:ilvl="0">
      <w:lvlJc w:val="left"/>
      <w:lvlText w:val="(%1)"/>
      <w:numFmt w:val="lowerRoman"/>
      <w:start w:val="2"/>
    </w:lvl>
    <w:lvl w:ilvl="1">
      <w:lvlJc w:val="left"/>
      <w:lvlText w:val="%2"/>
      <w:numFmt w:val="lowerRoman"/>
      <w:start w:val="1"/>
    </w:lvl>
  </w:abstractNum>
  <w:abstractNum w:abstractNumId="136">
    <w:nsid w:val="67906F60"/>
    <w:multiLevelType w:val="hybridMultilevel"/>
    <w:lvl w:ilvl="0">
      <w:lvlJc w:val="left"/>
      <w:lvlText w:val="%1"/>
      <w:numFmt w:val="lowerLetter"/>
      <w:start w:val="1"/>
    </w:lvl>
    <w:lvl w:ilvl="1">
      <w:lvlJc w:val="left"/>
      <w:lvlText w:val="%2."/>
      <w:numFmt w:val="decimal"/>
      <w:start w:val="1"/>
    </w:lvl>
  </w:abstractNum>
  <w:abstractNum w:abstractNumId="137">
    <w:nsid w:val="10DB9DAA"/>
    <w:multiLevelType w:val="hybridMultilevel"/>
    <w:lvl w:ilvl="0">
      <w:lvlJc w:val="left"/>
      <w:lvlText w:val="(%1)"/>
      <w:numFmt w:val="lowerLetter"/>
      <w:start w:val="1"/>
    </w:lvl>
    <w:lvl w:ilvl="1">
      <w:lvlJc w:val="left"/>
      <w:lvlText w:val="%2"/>
      <w:numFmt w:val="decimal"/>
      <w:start w:val="1"/>
    </w:lvl>
  </w:abstractNum>
  <w:abstractNum w:abstractNumId="138">
    <w:nsid w:val="697D2D2"/>
    <w:multiLevelType w:val="hybridMultilevel"/>
    <w:lvl w:ilvl="0">
      <w:lvlJc w:val="left"/>
      <w:lvlText w:val="(%1)"/>
      <w:numFmt w:val="lowerLetter"/>
      <w:start w:val="4"/>
    </w:lvl>
  </w:abstractNum>
  <w:abstractNum w:abstractNumId="139">
    <w:nsid w:val="6D68AB2"/>
    <w:multiLevelType w:val="hybridMultilevel"/>
    <w:lvl w:ilvl="0">
      <w:lvlJc w:val="left"/>
      <w:lvlText w:val="(%1)"/>
      <w:numFmt w:val="lowerLetter"/>
      <w:start w:val="8"/>
    </w:lvl>
  </w:abstractNum>
  <w:abstractNum w:abstractNumId="140">
    <w:nsid w:val="3A966CD0"/>
    <w:multiLevelType w:val="hybridMultilevel"/>
    <w:lvl w:ilvl="0">
      <w:lvlJc w:val="left"/>
      <w:lvlText w:val="%1"/>
      <w:numFmt w:val="lowerLetter"/>
      <w:start w:val="1"/>
    </w:lvl>
    <w:lvl w:ilvl="1">
      <w:lvlJc w:val="left"/>
      <w:lvlText w:val="(%2)"/>
      <w:numFmt w:val="lowerLetter"/>
      <w:start w:val="11"/>
    </w:lvl>
  </w:abstractNum>
  <w:abstractNum w:abstractNumId="141">
    <w:nsid w:val="63F37E85"/>
    <w:multiLevelType w:val="hybridMultilevel"/>
    <w:lvl w:ilvl="0">
      <w:lvlJc w:val="left"/>
      <w:lvlText w:val="(%1)"/>
      <w:numFmt w:val="lowerLetter"/>
      <w:start w:val="9"/>
    </w:lvl>
    <w:lvl w:ilvl="1">
      <w:lvlJc w:val="left"/>
      <w:lvlText w:val="(%2)"/>
      <w:numFmt w:val="lowerLetter"/>
      <w:start w:val="14"/>
    </w:lvl>
  </w:abstractNum>
  <w:abstractNum w:abstractNumId="142">
    <w:nsid w:val="5895F5FA"/>
    <w:multiLevelType w:val="hybridMultilevel"/>
    <w:lvl w:ilvl="0">
      <w:lvlJc w:val="left"/>
      <w:lvlText w:val="%1"/>
      <w:numFmt w:val="lowerLetter"/>
      <w:start w:val="1"/>
    </w:lvl>
    <w:lvl w:ilvl="1">
      <w:lvlJc w:val="left"/>
      <w:lvlText w:val="(%2)"/>
      <w:numFmt w:val="lowerLetter"/>
      <w:start w:val="16"/>
    </w:lvl>
  </w:abstractNum>
  <w:abstractNum w:abstractNumId="143">
    <w:nsid w:val="38A5D054"/>
    <w:multiLevelType w:val="hybridMultilevel"/>
    <w:lvl w:ilvl="0">
      <w:lvlJc w:val="left"/>
      <w:lvlText w:val="(%1)"/>
      <w:numFmt w:val="lowerLetter"/>
      <w:start w:val="35"/>
    </w:lvl>
    <w:lvl w:ilvl="1">
      <w:lvlJc w:val="left"/>
      <w:lvlText w:val="(%2)"/>
      <w:numFmt w:val="lowerLetter"/>
      <w:start w:val="19"/>
    </w:lvl>
  </w:abstractNum>
  <w:abstractNum w:abstractNumId="144">
    <w:nsid w:val="F3F09D8"/>
    <w:multiLevelType w:val="hybridMultilevel"/>
    <w:lvl w:ilvl="0">
      <w:lvlJc w:val="left"/>
      <w:lvlText w:val="(%1)"/>
      <w:numFmt w:val="lowerLetter"/>
      <w:start w:val="20"/>
    </w:lvl>
  </w:abstractNum>
  <w:abstractNum w:abstractNumId="145">
    <w:nsid w:val="4B793735"/>
    <w:multiLevelType w:val="hybridMultilevel"/>
    <w:lvl w:ilvl="0">
      <w:lvlJc w:val="left"/>
      <w:lvlText w:val="(%1)"/>
      <w:numFmt w:val="lowerLetter"/>
      <w:start w:val="25"/>
    </w:lvl>
  </w:abstractNum>
  <w:abstractNum w:abstractNumId="146">
    <w:nsid w:val="4A10B4E8"/>
    <w:multiLevelType w:val="hybridMultilevel"/>
    <w:lvl w:ilvl="0">
      <w:lvlJc w:val="left"/>
      <w:lvlText w:val="(%1)"/>
      <w:numFmt w:val="lowerLetter"/>
      <w:start w:val="27"/>
    </w:lvl>
  </w:abstractNum>
  <w:abstractNum w:abstractNumId="147">
    <w:nsid w:val="43D3BCD4"/>
    <w:multiLevelType w:val="hybridMultilevel"/>
    <w:lvl w:ilvl="0">
      <w:lvlJc w:val="left"/>
      <w:lvlText w:val="(%1)"/>
      <w:numFmt w:val="lowerLetter"/>
      <w:start w:val="29"/>
    </w:lvl>
  </w:abstractNum>
  <w:abstractNum w:abstractNumId="148">
    <w:nsid w:val="4C2A7166"/>
    <w:multiLevelType w:val="hybridMultilevel"/>
    <w:lvl w:ilvl="0">
      <w:lvlJc w:val="left"/>
      <w:lvlText w:val="(%1)"/>
      <w:numFmt w:val="lowerLetter"/>
      <w:start w:val="31"/>
    </w:lvl>
  </w:abstractNum>
  <w:abstractNum w:abstractNumId="149">
    <w:nsid w:val="2E534A82"/>
    <w:multiLevelType w:val="hybridMultilevel"/>
    <w:lvl w:ilvl="0">
      <w:lvlJc w:val="left"/>
      <w:lvlText w:val="(%1)"/>
      <w:numFmt w:val="lowerLetter"/>
      <w:start w:val="35"/>
    </w:lvl>
  </w:abstractNum>
  <w:abstractNum w:abstractNumId="150">
    <w:nsid w:val="26F2D364"/>
    <w:multiLevelType w:val="hybridMultilevel"/>
    <w:lvl w:ilvl="0">
      <w:lvlJc w:val="left"/>
      <w:lvlText w:val="(%1)"/>
      <w:numFmt w:val="lowerLetter"/>
      <w:start w:val="43"/>
    </w:lvl>
  </w:abstractNum>
  <w:abstractNum w:abstractNumId="151">
    <w:nsid w:val="71C1AF98"/>
    <w:multiLevelType w:val="hybridMultilevel"/>
    <w:lvl w:ilvl="0">
      <w:lvlJc w:val="left"/>
      <w:lvlText w:val="(%1)"/>
      <w:numFmt w:val="lowerLetter"/>
      <w:start w:val="45"/>
    </w:lvl>
  </w:abstractNum>
  <w:abstractNum w:abstractNumId="152">
    <w:nsid w:val="3D00B9D9"/>
    <w:multiLevelType w:val="hybridMultilevel"/>
    <w:lvl w:ilvl="0">
      <w:lvlJc w:val="left"/>
      <w:lvlText w:val="(%1)"/>
      <w:numFmt w:val="lowerRoman"/>
      <w:start w:val="20"/>
    </w:lvl>
  </w:abstractNum>
  <w:abstractNum w:abstractNumId="153">
    <w:nsid w:val="15BCABA8"/>
    <w:multiLevelType w:val="hybridMultilevel"/>
    <w:lvl w:ilvl="0">
      <w:lvlJc w:val="left"/>
      <w:lvlText w:val="%1."/>
      <w:numFmt w:val="decimal"/>
      <w:start w:val="3"/>
    </w:lvl>
  </w:abstractNum>
  <w:abstractNum w:abstractNumId="154">
    <w:nsid w:val="4E0B9A87"/>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5"/>
    </w:lvl>
  </w:abstractNum>
  <w:abstractNum w:abstractNumId="155">
    <w:nsid w:val="434BAE75"/>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156">
    <w:nsid w:val="4F38F265"/>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157">
    <w:nsid w:val="4C502870"/>
    <w:multiLevelType w:val="hybridMultilevel"/>
    <w:lvl w:ilvl="0">
      <w:lvlJc w:val="left"/>
      <w:lvlText w:val="(%1)"/>
      <w:numFmt w:val="lowerRoman"/>
      <w:start w:val="4"/>
    </w:lvl>
  </w:abstractNum>
  <w:abstractNum w:abstractNumId="158">
    <w:nsid w:val="1DE8725A"/>
    <w:multiLevelType w:val="hybridMultilevel"/>
    <w:lvl w:ilvl="0">
      <w:lvlJc w:val="left"/>
      <w:lvlText w:val="%1"/>
      <w:numFmt w:val="lowerLetter"/>
      <w:start w:val="1"/>
    </w:lvl>
    <w:lvl w:ilvl="1">
      <w:lvlJc w:val="left"/>
      <w:lvlText w:val="(%2)"/>
      <w:numFmt w:val="lowerRoman"/>
      <w:start w:val="9"/>
    </w:lvl>
  </w:abstractNum>
  <w:abstractNum w:abstractNumId="159">
    <w:nsid w:val="6A37288A"/>
    <w:multiLevelType w:val="hybridMultilevel"/>
    <w:lvl w:ilvl="0">
      <w:lvlJc w:val="left"/>
      <w:lvlText w:val="(%1)"/>
      <w:numFmt w:val="lowerLetter"/>
      <w:start w:val="2"/>
    </w:lvl>
    <w:lvl w:ilvl="1">
      <w:lvlJc w:val="left"/>
      <w:lvlText w:val="(%2)"/>
      <w:numFmt w:val="lowerRoman"/>
      <w:start w:val="11"/>
    </w:lvl>
  </w:abstractNum>
  <w:abstractNum w:abstractNumId="160">
    <w:nsid w:val="8F8B73F"/>
    <w:multiLevelType w:val="hybridMultilevel"/>
    <w:lvl w:ilvl="0">
      <w:lvlJc w:val="left"/>
      <w:lvlText w:val="(%1)"/>
      <w:numFmt w:val="lowerRoman"/>
      <w:start w:val="13"/>
    </w:lvl>
  </w:abstractNum>
  <w:abstractNum w:abstractNumId="161">
    <w:nsid w:val="CA6B462"/>
    <w:multiLevelType w:val="hybridMultilevel"/>
    <w:lvl w:ilvl="0">
      <w:lvlJc w:val="left"/>
      <w:lvlText w:val="(%1)"/>
      <w:numFmt w:val="lowerLetter"/>
      <w:start w:val="2"/>
    </w:lvl>
    <w:lvl w:ilvl="1">
      <w:lvlJc w:val="left"/>
      <w:lvlText w:val="%2."/>
      <w:numFmt w:val="decimal"/>
      <w:start w:val="6"/>
    </w:lvl>
  </w:abstractNum>
  <w:abstractNum w:abstractNumId="162">
    <w:nsid w:val="763CB680"/>
    <w:multiLevelType w:val="hybridMultilevel"/>
    <w:lvl w:ilvl="0">
      <w:lvlJc w:val="left"/>
      <w:lvlText w:val="(%1)"/>
      <w:numFmt w:val="lowerLetter"/>
      <w:start w:val="1"/>
    </w:lvl>
  </w:abstractNum>
  <w:abstractNum w:abstractNumId="163">
    <w:nsid w:val="15B71329"/>
    <w:multiLevelType w:val="hybridMultilevel"/>
    <w:lvl w:ilvl="0">
      <w:lvlJc w:val="left"/>
      <w:lvlText w:val="(%1)"/>
      <w:numFmt w:val="lowerLetter"/>
      <w:start w:val="7"/>
    </w:lvl>
    <w:lvl w:ilvl="1">
      <w:lvlJc w:val="left"/>
      <w:lvlText w:val="(%2)"/>
      <w:numFmt w:val="decimal"/>
      <w:start w:val="2"/>
    </w:lvl>
    <w:lvl w:ilvl="2">
      <w:lvlJc w:val="left"/>
      <w:lvlText w:val="(%3)"/>
      <w:numFmt w:val="lowerRoman"/>
      <w:start w:val="1"/>
    </w:lvl>
  </w:abstractNum>
  <w:abstractNum w:abstractNumId="164">
    <w:nsid w:val="3DA97044"/>
    <w:multiLevelType w:val="hybridMultilevel"/>
    <w:lvl w:ilvl="0">
      <w:lvlJc w:val="left"/>
      <w:lvlText w:val="%1"/>
      <w:numFmt w:val="lowerLetter"/>
      <w:start w:val="1"/>
    </w:lvl>
    <w:lvl w:ilvl="1">
      <w:lvlJc w:val="left"/>
      <w:lvlText w:val="(%2)"/>
      <w:numFmt w:val="lowerRoman"/>
      <w:start w:val="3"/>
    </w:lvl>
  </w:abstractNum>
  <w:abstractNum w:abstractNumId="165">
    <w:nsid w:val="1CDCE2DE"/>
    <w:multiLevelType w:val="hybridMultilevel"/>
    <w:lvl w:ilvl="0">
      <w:lvlJc w:val="left"/>
      <w:lvlText w:val="(%1)"/>
      <w:numFmt w:val="lowerLetter"/>
      <w:start w:val="9"/>
    </w:lvl>
    <w:lvl w:ilvl="1">
      <w:lvlJc w:val="left"/>
      <w:lvlText w:val="%2"/>
      <w:numFmt w:val="lowerRoman"/>
      <w:start w:val="1"/>
    </w:lvl>
  </w:abstractNum>
  <w:abstractNum w:abstractNumId="166">
    <w:nsid w:val="69D3947C"/>
    <w:multiLevelType w:val="hybridMultilevel"/>
    <w:lvl w:ilvl="0">
      <w:lvlJc w:val="left"/>
      <w:lvlText w:val="(%1)"/>
      <w:numFmt w:val="lowerLetter"/>
      <w:start w:val="12"/>
    </w:lvl>
  </w:abstractNum>
  <w:abstractNum w:abstractNumId="167">
    <w:nsid w:val="2539DFA5"/>
    <w:multiLevelType w:val="hybridMultilevel"/>
    <w:lvl w:ilvl="0">
      <w:lvlJc w:val="left"/>
      <w:lvlText w:val="%1"/>
      <w:numFmt w:val="lowerLetter"/>
      <w:start w:val="1"/>
    </w:lvl>
    <w:lvl w:ilvl="1">
      <w:lvlJc w:val="left"/>
      <w:lvlText w:val="%2."/>
      <w:numFmt w:val="decimal"/>
      <w:start w:val="8"/>
    </w:lvl>
  </w:abstractNum>
  <w:abstractNum w:abstractNumId="168">
    <w:nsid w:val="2DB88089"/>
    <w:multiLevelType w:val="hybridMultilevel"/>
    <w:lvl w:ilvl="0">
      <w:lvlJc w:val="left"/>
      <w:lvlText w:val="(%1)"/>
      <w:numFmt w:val="lowerLetter"/>
      <w:start w:val="1"/>
    </w:lvl>
    <w:lvl w:ilvl="1">
      <w:lvlJc w:val="left"/>
      <w:lvlText w:val="%2"/>
      <w:numFmt w:val="decimal"/>
      <w:start w:val="1"/>
    </w:lvl>
  </w:abstractNum>
  <w:abstractNum w:abstractNumId="169">
    <w:nsid w:val="706B674E"/>
    <w:multiLevelType w:val="hybridMultilevel"/>
    <w:lvl w:ilvl="0">
      <w:lvlJc w:val="left"/>
      <w:lvlText w:val="(%1)"/>
      <w:numFmt w:val="lowerLetter"/>
      <w:start w:val="2"/>
    </w:lvl>
  </w:abstractNum>
  <w:abstractNum w:abstractNumId="170">
    <w:nsid w:val="2C106A57"/>
    <w:multiLevelType w:val="hybridMultilevel"/>
    <w:lvl w:ilvl="0">
      <w:lvlJc w:val="left"/>
      <w:lvlText w:val="(%1)"/>
      <w:numFmt w:val="lowerLetter"/>
      <w:start w:val="4"/>
    </w:lvl>
  </w:abstractNum>
  <w:abstractNum w:abstractNumId="171">
    <w:nsid w:val="684EED59"/>
    <w:multiLevelType w:val="hybridMultilevel"/>
    <w:lvl w:ilvl="0">
      <w:lvlJc w:val="left"/>
      <w:lvlText w:val="(%1)"/>
      <w:numFmt w:val="lowerLetter"/>
      <w:start w:val="5"/>
    </w:lvl>
    <w:lvl w:ilvl="1">
      <w:lvlJc w:val="left"/>
      <w:lvlText w:val="%2."/>
      <w:numFmt w:val="decimal"/>
      <w:start w:val="9"/>
    </w:lvl>
  </w:abstractNum>
  <w:abstractNum w:abstractNumId="172">
    <w:nsid w:val="545EE5D3"/>
    <w:multiLevelType w:val="hybridMultilevel"/>
    <w:lvl w:ilvl="0">
      <w:lvlJc w:val="left"/>
      <w:lvlText w:val="%1."/>
      <w:numFmt w:val="decimal"/>
      <w:start w:val="11"/>
    </w:lvl>
    <w:lvl w:ilvl="1">
      <w:lvlJc w:val="left"/>
      <w:lvlText w:val="(%2)"/>
      <w:numFmt w:val="lowerLetter"/>
      <w:start w:val="1"/>
    </w:lvl>
  </w:abstractNum>
  <w:abstractNum w:abstractNumId="173">
    <w:nsid w:val="4A66051"/>
    <w:multiLevelType w:val="hybridMultilevel"/>
    <w:lvl w:ilvl="0">
      <w:lvlJc w:val="left"/>
      <w:lvlText w:val="%1"/>
      <w:numFmt w:val="decimal"/>
      <w:start w:val="1"/>
    </w:lvl>
    <w:lvl w:ilvl="1">
      <w:lvlJc w:val="left"/>
      <w:lvlText w:val="(%2)"/>
      <w:numFmt w:val="lowerLetter"/>
      <w:start w:val="2"/>
    </w:lvl>
  </w:abstractNum>
  <w:abstractNum w:abstractNumId="174">
    <w:nsid w:val="20F4BDAD"/>
    <w:multiLevelType w:val="hybridMultilevel"/>
    <w:lvl w:ilvl="0">
      <w:lvlJc w:val="left"/>
      <w:lvlText w:val="%1."/>
      <w:numFmt w:val="decimal"/>
      <w:start w:val="14"/>
    </w:lvl>
    <w:lvl w:ilvl="1">
      <w:lvlJc w:val="left"/>
      <w:lvlText w:val="%2"/>
      <w:numFmt w:val="lowerLetter"/>
      <w:start w:val="1"/>
    </w:lvl>
  </w:abstractNum>
  <w:abstractNum w:abstractNumId="175">
    <w:nsid w:val="639DEFAC"/>
    <w:multiLevelType w:val="hybridMultilevel"/>
    <w:lvl w:ilvl="0">
      <w:lvlJc w:val="left"/>
      <w:lvlText w:val="%1."/>
      <w:numFmt w:val="decimal"/>
      <w:start w:val="20"/>
    </w:lvl>
  </w:abstractNum>
  <w:abstractNum w:abstractNumId="176">
    <w:nsid w:val="501F9786"/>
    <w:multiLevelType w:val="hybridMultilevel"/>
    <w:lvl w:ilvl="0">
      <w:lvlJc w:val="left"/>
      <w:lvlText w:val="%1."/>
      <w:numFmt w:val="decimal"/>
      <w:start w:val="23"/>
    </w:lvl>
  </w:abstractNum>
  <w:abstractNum w:abstractNumId="177">
    <w:nsid w:val="6B057295"/>
    <w:multiLevelType w:val="hybridMultilevel"/>
    <w:lvl w:ilvl="0">
      <w:lvlJc w:val="left"/>
      <w:lvlText w:val="•"/>
      <w:numFmt w:val="bullet"/>
      <w:start w:val="1"/>
    </w:lvl>
  </w:abstractNum>
  <w:abstractNum w:abstractNumId="178">
    <w:nsid w:val="2771AC80"/>
    <w:multiLevelType w:val="hybridMultilevel"/>
    <w:lvl w:ilvl="0">
      <w:lvlJc w:val="left"/>
      <w:lvlText w:val="%1."/>
      <w:numFmt w:val="decimal"/>
      <w:start w:val="2"/>
    </w:lvl>
  </w:abstractNum>
  <w:abstractNum w:abstractNumId="179">
    <w:nsid w:val="1C4A08EC"/>
    <w:multiLevelType w:val="hybridMultilevel"/>
    <w:lvl w:ilvl="0">
      <w:lvlJc w:val="left"/>
      <w:lvlText w:val="%1."/>
      <w:numFmt w:val="decimal"/>
      <w:start w:val="1"/>
    </w:lvl>
  </w:abstractNum>
  <w:abstractNum w:abstractNumId="180">
    <w:nsid w:val="1958BD17"/>
    <w:multiLevelType w:val="hybridMultilevel"/>
    <w:lvl w:ilvl="0">
      <w:lvlJc w:val="left"/>
      <w:lvlText w:val="%1."/>
      <w:numFmt w:val="decimal"/>
      <w:start w:val="5"/>
    </w:lvl>
    <w:lvl w:ilvl="1">
      <w:lvlJc w:val="left"/>
      <w:lvlText w:val="(%2)"/>
      <w:numFmt w:val="lowerRoman"/>
      <w:start w:val="1"/>
    </w:lvl>
    <w:lvl w:ilvl="2">
      <w:lvlJc w:val="left"/>
      <w:lvlText w:val="(%3)"/>
      <w:numFmt w:val="decimal"/>
      <w:start w:val="1"/>
    </w:lvl>
  </w:abstractNum>
  <w:abstractNum w:abstractNumId="181">
    <w:nsid w:val="4E647FE4"/>
    <w:multiLevelType w:val="hybridMultilevel"/>
    <w:lvl w:ilvl="0">
      <w:lvlJc w:val="left"/>
      <w:lvlText w:val="%1"/>
      <w:numFmt w:val="lowerRoman"/>
      <w:start w:val="1"/>
    </w:lvl>
    <w:lvl w:ilvl="1">
      <w:lvlJc w:val="left"/>
      <w:lvlText w:val="(%2)"/>
      <w:numFmt w:val="decimal"/>
      <w:start w:val="3"/>
    </w:lvl>
  </w:abstractNum>
  <w:abstractNum w:abstractNumId="182">
    <w:nsid w:val="E0BB885"/>
    <w:multiLevelType w:val="hybridMultilevel"/>
    <w:lvl w:ilvl="0">
      <w:lvlJc w:val="left"/>
      <w:lvlText w:val="(%1)"/>
      <w:numFmt w:val="lowerRoman"/>
      <w:start w:val="2"/>
    </w:lvl>
    <w:lvl w:ilvl="1">
      <w:lvlJc w:val="left"/>
      <w:lvlText w:val="(%2)"/>
      <w:numFmt w:val="decimal"/>
      <w:start w:val="1"/>
    </w:lvl>
  </w:abstractNum>
  <w:abstractNum w:abstractNumId="183">
    <w:nsid w:val="565976F1"/>
    <w:multiLevelType w:val="hybridMultilevel"/>
    <w:lvl w:ilvl="0">
      <w:lvlJc w:val="left"/>
      <w:lvlText w:val="(%1)"/>
      <w:numFmt w:val="lowerRoman"/>
      <w:start w:val="4"/>
    </w:lvl>
  </w:abstractNum>
  <w:abstractNum w:abstractNumId="184">
    <w:nsid w:val="64212B8C"/>
    <w:multiLevelType w:val="hybridMultilevel"/>
    <w:lvl w:ilvl="0">
      <w:lvlJc w:val="left"/>
      <w:lvlText w:val="(%1)"/>
      <w:numFmt w:val="lowerRoman"/>
      <w:start w:val="6"/>
    </w:lvl>
  </w:abstractNum>
  <w:abstractNum w:abstractNumId="185">
    <w:nsid w:val="5C17530C"/>
    <w:multiLevelType w:val="hybridMultilevel"/>
    <w:lvl w:ilvl="0">
      <w:lvlJc w:val="left"/>
      <w:lvlText w:val="%1."/>
      <w:numFmt w:val="decimal"/>
      <w:start w:val="6"/>
    </w:lvl>
  </w:abstractNum>
  <w:abstractNum w:abstractNumId="186">
    <w:nsid w:val="19A52566"/>
    <w:multiLevelType w:val="hybridMultilevel"/>
    <w:lvl w:ilvl="0">
      <w:lvlJc w:val="left"/>
      <w:lvlText w:val="%1."/>
      <w:numFmt w:val="decimal"/>
      <w:start w:val="7"/>
    </w:lvl>
  </w:abstractNum>
  <w:abstractNum w:abstractNumId="187">
    <w:nsid w:val="335A1DF1"/>
    <w:multiLevelType w:val="hybridMultilevel"/>
    <w:lvl w:ilvl="0">
      <w:lvlJc w:val="left"/>
      <w:lvlText w:val="(%1)"/>
      <w:numFmt w:val="lowerRoman"/>
      <w:start w:val="2"/>
    </w:lvl>
  </w:abstractNum>
  <w:abstractNum w:abstractNumId="188">
    <w:nsid w:val="28677B7C"/>
    <w:multiLevelType w:val="hybridMultilevel"/>
    <w:lvl w:ilvl="0">
      <w:lvlJc w:val="left"/>
      <w:lvlText w:val="%1."/>
      <w:numFmt w:val="decimal"/>
      <w:start w:val="8"/>
    </w:lvl>
  </w:abstractNum>
  <w:abstractNum w:abstractNumId="189">
    <w:nsid w:val="378D97C0"/>
    <w:multiLevelType w:val="hybridMultilevel"/>
    <w:lvl w:ilvl="0">
      <w:lvlJc w:val="left"/>
      <w:lvlText w:val="(%1)"/>
      <w:numFmt w:val="lowerRoman"/>
      <w:start w:val="1"/>
    </w:lvl>
  </w:abstractNum>
  <w:abstractNum w:abstractNumId="190">
    <w:nsid w:val="1D91467C"/>
    <w:multiLevelType w:val="hybridMultilevel"/>
    <w:lvl w:ilvl="0">
      <w:lvlJc w:val="left"/>
      <w:lvlText w:val="(%1)"/>
      <w:numFmt w:val="lowerRoman"/>
      <w:start w:val="1"/>
    </w:lvl>
  </w:abstractNum>
  <w:abstractNum w:abstractNumId="191">
    <w:nsid w:val="316032BB"/>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192">
    <w:nsid w:val="44344C22"/>
    <w:multiLevelType w:val="hybridMultilevel"/>
    <w:lvl w:ilvl="0">
      <w:lvlJc w:val="left"/>
      <w:lvlText w:val="(%1)"/>
      <w:numFmt w:val="lowerLetter"/>
      <w:start w:val="1"/>
    </w:lvl>
    <w:lvl w:ilvl="1">
      <w:lvlJc w:val="left"/>
      <w:lvlText w:val="(%2)"/>
      <w:numFmt w:val="lowerLetter"/>
      <w:start w:val="60"/>
    </w:lvl>
    <w:lvl w:ilvl="2">
      <w:lvlJc w:val="left"/>
      <w:lvlText w:val="(%3)"/>
      <w:numFmt w:val="decimal"/>
      <w:start w:val="2"/>
    </w:lvl>
  </w:abstractNum>
  <w:abstractNum w:abstractNumId="193">
    <w:nsid w:val="13CDFCFC"/>
    <w:multiLevelType w:val="hybridMultilevel"/>
    <w:lvl w:ilvl="0">
      <w:lvlJc w:val="left"/>
      <w:lvlText w:val="(%1)"/>
      <w:numFmt w:val="lowerRoman"/>
      <w:start w:val="4"/>
    </w:lvl>
    <w:lvl w:ilvl="1">
      <w:lvlJc w:val="left"/>
      <w:lvlText w:val="(%2)"/>
      <w:numFmt w:val="decimal"/>
      <w:start w:val="1"/>
    </w:lvl>
  </w:abstractNum>
  <w:abstractNum w:abstractNumId="194">
    <w:nsid w:val="471745E4"/>
    <w:multiLevelType w:val="hybridMultilevel"/>
    <w:lvl w:ilvl="0">
      <w:lvlJc w:val="left"/>
      <w:lvlText w:val="%1"/>
      <w:numFmt w:val="decimal"/>
      <w:start w:val="1"/>
    </w:lvl>
    <w:lvl w:ilvl="1">
      <w:lvlJc w:val="left"/>
      <w:lvlText w:val="%2"/>
      <w:numFmt w:val="lowerRoman"/>
      <w:start w:val="1"/>
    </w:lvl>
    <w:lvl w:ilvl="2">
      <w:lvlJc w:val="left"/>
      <w:lvlText w:val="(%3)"/>
      <w:numFmt w:val="decimal"/>
      <w:start w:val="3"/>
    </w:lvl>
  </w:abstractNum>
  <w:abstractNum w:abstractNumId="195">
    <w:nsid w:val="1DDBC66"/>
    <w:multiLevelType w:val="hybridMultilevel"/>
    <w:lvl w:ilvl="0">
      <w:lvlJc w:val="left"/>
      <w:lvlText w:val="%1"/>
      <w:numFmt w:val="decimal"/>
      <w:start w:val="1"/>
    </w:lvl>
    <w:lvl w:ilvl="1">
      <w:lvlJc w:val="left"/>
      <w:lvlText w:val="(%2)"/>
      <w:numFmt w:val="lowerRoman"/>
      <w:start w:val="6"/>
    </w:lvl>
    <w:lvl w:ilvl="2">
      <w:lvlJc w:val="left"/>
      <w:lvlText w:val="%3"/>
      <w:numFmt w:val="decimal"/>
      <w:start w:val="1"/>
    </w:lvl>
  </w:abstractNum>
  <w:abstractNum w:abstractNumId="196">
    <w:nsid w:val="30AADFDA"/>
    <w:multiLevelType w:val="hybridMultilevel"/>
    <w:lvl w:ilvl="0">
      <w:lvlJc w:val="left"/>
      <w:lvlText w:val="%1."/>
      <w:numFmt w:val="decimal"/>
      <w:start w:val="9"/>
    </w:lvl>
    <w:lvl w:ilvl="1">
      <w:lvlJc w:val="left"/>
      <w:lvlText w:val="%2"/>
      <w:numFmt w:val="lowerRoman"/>
      <w:start w:val="1"/>
    </w:lvl>
    <w:lvl w:ilvl="2">
      <w:lvlJc w:val="left"/>
      <w:lvlText w:val="%3"/>
      <w:numFmt w:val="decimal"/>
      <w:start w:val="1"/>
    </w:lvl>
  </w:abstractNum>
  <w:abstractNum w:abstractNumId="197">
    <w:nsid w:val="30EADA61"/>
    <w:multiLevelType w:val="hybridMultilevel"/>
    <w:lvl w:ilvl="0">
      <w:lvlJc w:val="left"/>
      <w:lvlText w:val="(%1)"/>
      <w:numFmt w:val="lowerRoman"/>
      <w:start w:val="1"/>
    </w:lvl>
  </w:abstractNum>
  <w:abstractNum w:abstractNumId="198">
    <w:nsid w:val="27179C0B"/>
    <w:multiLevelType w:val="hybridMultilevel"/>
    <w:lvl w:ilvl="0">
      <w:lvlJc w:val="left"/>
      <w:lvlText w:val="%1"/>
      <w:numFmt w:val="lowerLetter"/>
      <w:start w:val="1"/>
    </w:lvl>
    <w:lvl w:ilvl="1">
      <w:lvlJc w:val="left"/>
      <w:lvlText w:val="(%2)"/>
      <w:numFmt w:val="lowerLetter"/>
      <w:start w:val="61"/>
    </w:lvl>
  </w:abstractNum>
  <w:abstractNum w:abstractNumId="199">
    <w:nsid w:val="5E636063"/>
    <w:multiLevelType w:val="hybridMultilevel"/>
    <w:lvl w:ilvl="0">
      <w:lvlJc w:val="left"/>
      <w:lvlText w:val="(%1)"/>
      <w:numFmt w:val="lowerLetter"/>
      <w:start w:val="2"/>
    </w:lvl>
    <w:lvl w:ilvl="1">
      <w:lvlJc w:val="left"/>
      <w:lvlText w:val="%2"/>
      <w:numFmt w:val="lowerLetter"/>
      <w:start w:val="1"/>
    </w:lvl>
  </w:abstractNum>
  <w:abstractNum w:abstractNumId="200">
    <w:nsid w:val="215641AF"/>
    <w:multiLevelType w:val="hybridMultilevel"/>
    <w:lvl w:ilvl="0">
      <w:lvlJc w:val="left"/>
      <w:lvlText w:val="(%1)"/>
      <w:numFmt w:val="lowerRoman"/>
      <w:start w:val="4"/>
    </w:lvl>
  </w:abstractNum>
  <w:abstractNum w:abstractNumId="201">
    <w:nsid w:val="53280662"/>
    <w:multiLevelType w:val="hybridMultilevel"/>
    <w:lvl w:ilvl="0">
      <w:lvlJc w:val="left"/>
      <w:lvlText w:val="(%1)"/>
      <w:numFmt w:val="lowerRoman"/>
      <w:start w:val="1"/>
    </w:lvl>
  </w:abstractNum>
  <w:abstractNum w:abstractNumId="202">
    <w:nsid w:val="46B24DBC"/>
    <w:multiLevelType w:val="hybridMultilevel"/>
    <w:lvl w:ilvl="0">
      <w:lvlJc w:val="left"/>
      <w:lvlText w:val="%1"/>
      <w:numFmt w:val="decimal"/>
      <w:start w:val="1"/>
    </w:lvl>
    <w:lvl w:ilvl="1">
      <w:lvlJc w:val="left"/>
      <w:lvlText w:val="(%2)"/>
      <w:numFmt w:val="lowerRoman"/>
      <w:start w:val="2"/>
    </w:lvl>
  </w:abstractNum>
  <w:abstractNum w:abstractNumId="203">
    <w:nsid w:val="75B52783"/>
    <w:multiLevelType w:val="hybridMultilevel"/>
    <w:lvl w:ilvl="0">
      <w:lvlJc w:val="left"/>
      <w:lvlText w:val="%1."/>
      <w:numFmt w:val="decimal"/>
      <w:start w:val="10"/>
    </w:lvl>
    <w:lvl w:ilvl="1">
      <w:lvlJc w:val="left"/>
      <w:lvlText w:val="%2"/>
      <w:numFmt w:val="lowerRoman"/>
      <w:start w:val="1"/>
    </w:lvl>
  </w:abstractNum>
  <w:abstractNum w:abstractNumId="204">
    <w:nsid w:val="57CE66B4"/>
    <w:multiLevelType w:val="hybridMultilevel"/>
    <w:lvl w:ilvl="0">
      <w:lvlJc w:val="left"/>
      <w:lvlText w:val="(%1)"/>
      <w:numFmt w:val="lowerRoman"/>
      <w:start w:val="1"/>
    </w:lvl>
  </w:abstractNum>
  <w:abstractNum w:abstractNumId="205">
    <w:nsid w:val="67A70B69"/>
    <w:multiLevelType w:val="hybridMultilevel"/>
    <w:lvl w:ilvl="0">
      <w:lvlJc w:val="left"/>
      <w:lvlText w:val="(%1)"/>
      <w:numFmt w:val="lowerRoman"/>
      <w:start w:val="1"/>
    </w:lvl>
  </w:abstractNum>
  <w:abstractNum w:abstractNumId="206">
    <w:nsid w:val="5953172F"/>
    <w:multiLevelType w:val="hybridMultilevel"/>
    <w:lvl w:ilvl="0">
      <w:lvlJc w:val="left"/>
      <w:lvlText w:val="%1."/>
      <w:numFmt w:val="decimal"/>
      <w:start w:val="11"/>
    </w:lvl>
  </w:abstractNum>
  <w:abstractNum w:abstractNumId="207">
    <w:nsid w:val="27EDFE3A"/>
    <w:multiLevelType w:val="hybridMultilevel"/>
    <w:lvl w:ilvl="0">
      <w:lvlJc w:val="left"/>
      <w:lvlText w:val="%1."/>
      <w:numFmt w:val="decimal"/>
      <w:start w:val="13"/>
    </w:lvl>
  </w:abstractNum>
  <w:abstractNum w:abstractNumId="208">
    <w:nsid w:val="52AC7DFF"/>
    <w:multiLevelType w:val="hybridMultilevel"/>
    <w:lvl w:ilvl="0">
      <w:lvlJc w:val="left"/>
      <w:lvlText w:val="(%1)"/>
      <w:numFmt w:val="lowerLetter"/>
      <w:start w:val="2"/>
    </w:lvl>
  </w:abstractNum>
  <w:abstractNum w:abstractNumId="209">
    <w:nsid w:val="C4C3AF"/>
    <w:multiLevelType w:val="hybridMultilevel"/>
    <w:lvl w:ilvl="0">
      <w:lvlJc w:val="left"/>
      <w:lvlText w:val="(%1)"/>
      <w:numFmt w:val="lowerLetter"/>
      <w:start w:val="1"/>
    </w:lvl>
  </w:abstractNum>
  <w:abstractNum w:abstractNumId="210">
    <w:nsid w:val="44380727"/>
    <w:multiLevelType w:val="hybridMultilevel"/>
    <w:lvl w:ilvl="0">
      <w:lvlJc w:val="left"/>
      <w:lvlText w:val="(%1)"/>
      <w:numFmt w:val="lowerLetter"/>
      <w:start w:val="2"/>
    </w:lvl>
  </w:abstractNum>
  <w:abstractNum w:abstractNumId="211">
    <w:nsid w:val="6C053B16"/>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abstractNum>
  <w:abstractNum w:abstractNumId="212">
    <w:nsid w:val="4F294393"/>
    <w:multiLevelType w:val="hybridMultilevel"/>
    <w:lvl w:ilvl="0">
      <w:lvlJc w:val="left"/>
      <w:lvlText w:val="(%1)"/>
      <w:numFmt w:val="lowerLetter"/>
      <w:start w:val="2"/>
    </w:lvl>
  </w:abstractNum>
  <w:abstractNum w:abstractNumId="213">
    <w:nsid w:val="5243BFAC"/>
    <w:multiLevelType w:val="hybridMultilevel"/>
    <w:lvl w:ilvl="0">
      <w:lvlJc w:val="left"/>
      <w:lvlText w:val="(%1)"/>
      <w:numFmt w:val="lowerLetter"/>
      <w:start w:val="3"/>
    </w:lvl>
  </w:abstractNum>
  <w:abstractNum w:abstractNumId="214">
    <w:nsid w:val="425EB207"/>
    <w:multiLevelType w:val="hybridMultilevel"/>
    <w:lvl w:ilvl="0">
      <w:lvlJc w:val="left"/>
      <w:lvlText w:val="(%1)"/>
      <w:numFmt w:val="lowerLetter"/>
      <w:start w:val="2"/>
    </w:lvl>
  </w:abstractNum>
  <w:abstractNum w:abstractNumId="215">
    <w:nsid w:val="334A6F1F"/>
    <w:multiLevelType w:val="hybridMultilevel"/>
    <w:lvl w:ilvl="0">
      <w:lvlJc w:val="left"/>
      <w:lvlText w:val="%1"/>
      <w:numFmt w:val="lowerLetter"/>
      <w:start w:val="1"/>
    </w:lvl>
    <w:lvl w:ilvl="1">
      <w:lvlJc w:val="left"/>
      <w:lvlText w:val="(%2)"/>
      <w:numFmt w:val="lowerLetter"/>
      <w:start w:val="4"/>
    </w:lvl>
  </w:abstractNum>
  <w:abstractNum w:abstractNumId="216">
    <w:nsid w:val="2E5B12B8"/>
    <w:multiLevelType w:val="hybridMultilevel"/>
    <w:lvl w:ilvl="0">
      <w:lvlJc w:val="left"/>
      <w:lvlText w:val="(%1)"/>
      <w:numFmt w:val="lowerLetter"/>
      <w:start w:val="9"/>
    </w:lvl>
    <w:lvl w:ilvl="1">
      <w:lvlJc w:val="left"/>
      <w:lvlText w:val="%2"/>
      <w:numFmt w:val="lowerLetter"/>
      <w:start w:val="1"/>
    </w:lvl>
  </w:abstractNum>
  <w:abstractNum w:abstractNumId="217">
    <w:nsid w:val="5C03D76D"/>
    <w:multiLevelType w:val="hybridMultilevel"/>
    <w:lvl w:ilvl="0">
      <w:lvlJc w:val="left"/>
      <w:lvlText w:val="(%1)"/>
      <w:numFmt w:val="lowerRoman"/>
      <w:start w:val="3"/>
    </w:lvl>
  </w:abstractNum>
  <w:abstractNum w:abstractNumId="218">
    <w:nsid w:val="66A48D11"/>
    <w:multiLevelType w:val="hybridMultilevel"/>
    <w:lvl w:ilvl="0">
      <w:lvlJc w:val="left"/>
      <w:lvlText w:val="(%1)"/>
      <w:numFmt w:val="lowerLetter"/>
      <w:start w:val="5"/>
    </w:lvl>
    <w:lvl w:ilvl="1">
      <w:lvlJc w:val="left"/>
      <w:lvlText w:val="(%2)"/>
      <w:numFmt w:val="lowerRoman"/>
      <w:start w:val="1"/>
    </w:lvl>
  </w:abstractNum>
  <w:abstractNum w:abstractNumId="219">
    <w:nsid w:val="56C28E34"/>
    <w:multiLevelType w:val="hybridMultilevel"/>
    <w:lvl w:ilvl="0">
      <w:lvlJc w:val="left"/>
      <w:lvlText w:val="%1"/>
      <w:numFmt w:val="lowerLetter"/>
      <w:start w:val="1"/>
    </w:lvl>
    <w:lvl w:ilvl="1">
      <w:lvlJc w:val="left"/>
      <w:lvlText w:val="(%2)"/>
      <w:numFmt w:val="lowerRoman"/>
      <w:start w:val="3"/>
    </w:lvl>
  </w:abstractNum>
  <w:abstractNum w:abstractNumId="220">
    <w:nsid w:val="13916F2D"/>
    <w:multiLevelType w:val="hybridMultilevel"/>
    <w:lvl w:ilvl="0">
      <w:lvlJc w:val="left"/>
      <w:lvlText w:val="(%1)"/>
      <w:numFmt w:val="lowerLetter"/>
      <w:start w:val="7"/>
    </w:lvl>
    <w:lvl w:ilvl="1">
      <w:lvlJc w:val="left"/>
      <w:lvlText w:val="%2"/>
      <w:numFmt w:val="lowerRoman"/>
      <w:start w:val="1"/>
    </w:lvl>
  </w:abstractNum>
  <w:abstractNum w:abstractNumId="221">
    <w:nsid w:val="435D38D"/>
    <w:multiLevelType w:val="hybridMultilevel"/>
    <w:lvl w:ilvl="0">
      <w:lvlJc w:val="left"/>
      <w:lvlText w:val="(%1)"/>
      <w:numFmt w:val="lowerLetter"/>
      <w:start w:val="8"/>
    </w:lvl>
  </w:abstractNum>
  <w:abstractNum w:abstractNumId="222">
    <w:nsid w:val="822C0EF"/>
    <w:multiLevelType w:val="hybridMultilevel"/>
    <w:lvl w:ilvl="0">
      <w:lvlJc w:val="left"/>
      <w:lvlText w:val="(%1)"/>
      <w:numFmt w:val="lowerLetter"/>
      <w:start w:val="2"/>
    </w:lvl>
  </w:abstractNum>
  <w:abstractNum w:abstractNumId="223">
    <w:nsid w:val="57C5BB4F"/>
    <w:multiLevelType w:val="hybridMultilevel"/>
    <w:lvl w:ilvl="0">
      <w:lvlJc w:val="left"/>
      <w:lvlText w:val="(%1)"/>
      <w:numFmt w:val="lowerLetter"/>
      <w:start w:val="2"/>
    </w:lvl>
  </w:abstractNum>
  <w:abstractNum w:abstractNumId="224">
    <w:nsid w:val="1803D08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25">
    <w:nsid w:val="4F3A06D4"/>
    <w:multiLevelType w:val="hybridMultilevel"/>
    <w:lvl w:ilvl="0">
      <w:lvlJc w:val="left"/>
      <w:lvlText w:val="%1"/>
      <w:numFmt w:val="lowerRoman"/>
      <w:start w:val="1"/>
    </w:lvl>
    <w:lvl w:ilvl="1">
      <w:lvlJc w:val="left"/>
      <w:lvlText w:val="(%2)"/>
      <w:numFmt w:val="upperLetter"/>
      <w:start w:val="2"/>
    </w:lvl>
  </w:abstractNum>
  <w:abstractNum w:abstractNumId="226">
    <w:nsid w:val="59A377B6"/>
    <w:multiLevelType w:val="hybridMultilevel"/>
    <w:lvl w:ilvl="0">
      <w:lvlJc w:val="left"/>
      <w:lvlText w:val="(%1)"/>
      <w:numFmt w:val="lowerRoman"/>
      <w:start w:val="3"/>
    </w:lvl>
    <w:lvl w:ilvl="1">
      <w:lvlJc w:val="left"/>
      <w:lvlText w:val="(%2)"/>
      <w:numFmt w:val="upperLetter"/>
      <w:start w:val="1"/>
    </w:lvl>
  </w:abstractNum>
  <w:abstractNum w:abstractNumId="227">
    <w:nsid w:val="48AEB063"/>
    <w:multiLevelType w:val="hybridMultilevel"/>
    <w:lvl w:ilvl="0">
      <w:lvlJc w:val="left"/>
      <w:lvlText w:val="(%1)"/>
      <w:numFmt w:val="lowerLetter"/>
      <w:start w:val="8"/>
    </w:lvl>
  </w:abstractNum>
  <w:abstractNum w:abstractNumId="228">
    <w:nsid w:val="24E135"/>
    <w:multiLevelType w:val="hybridMultilevel"/>
    <w:lvl w:ilvl="0">
      <w:lvlJc w:val="left"/>
      <w:lvlText w:val="(%1)"/>
      <w:numFmt w:val="lowerLetter"/>
      <w:start w:val="10"/>
    </w:lvl>
    <w:lvl w:ilvl="1">
      <w:lvlJc w:val="left"/>
      <w:lvlText w:val="(%2)"/>
      <w:numFmt w:val="lowerRoman"/>
      <w:start w:val="1"/>
    </w:lvl>
  </w:abstractNum>
  <w:abstractNum w:abstractNumId="229">
    <w:nsid w:val="BB13C1"/>
    <w:multiLevelType w:val="hybridMultilevel"/>
    <w:lvl w:ilvl="0">
      <w:lvlJc w:val="left"/>
      <w:lvlText w:val="(%1)"/>
      <w:numFmt w:val="lowerLetter"/>
      <w:start w:val="14"/>
    </w:lvl>
  </w:abstractNum>
  <w:abstractNum w:abstractNumId="230">
    <w:nsid w:val="271210C7"/>
    <w:multiLevelType w:val="hybridMultilevel"/>
    <w:lvl w:ilvl="0">
      <w:lvlJc w:val="left"/>
      <w:lvlText w:val="(%1)"/>
      <w:numFmt w:val="lowerLetter"/>
      <w:start w:val="17"/>
    </w:lvl>
  </w:abstractNum>
  <w:abstractNum w:abstractNumId="231">
    <w:nsid w:val="217B22E4"/>
    <w:multiLevelType w:val="hybridMultilevel"/>
    <w:lvl w:ilvl="0">
      <w:lvlJc w:val="left"/>
      <w:lvlText w:val="(%1)"/>
      <w:numFmt w:val="lowerLetter"/>
      <w:start w:val="27"/>
    </w:lvl>
  </w:abstractNum>
  <w:abstractNum w:abstractNumId="232">
    <w:nsid w:val="53E31A24"/>
    <w:multiLevelType w:val="hybridMultilevel"/>
    <w:lvl w:ilvl="0">
      <w:lvlJc w:val="left"/>
      <w:lvlText w:val="(%1)"/>
      <w:numFmt w:val="lowerLetter"/>
      <w:start w:val="31"/>
    </w:lvl>
  </w:abstractNum>
  <w:abstractNum w:abstractNumId="233">
    <w:nsid w:val="6DC45E8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34">
    <w:nsid w:val="17304A67"/>
    <w:multiLevelType w:val="hybridMultilevel"/>
    <w:lvl w:ilvl="0">
      <w:lvlJc w:val="left"/>
      <w:lvlText w:val="(%1)"/>
      <w:numFmt w:val="lowerRoman"/>
      <w:start w:val="7"/>
    </w:lvl>
  </w:abstractNum>
  <w:abstractNum w:abstractNumId="235">
    <w:nsid w:val="2BB180D8"/>
    <w:multiLevelType w:val="hybridMultilevel"/>
    <w:lvl w:ilvl="0">
      <w:lvlJc w:val="left"/>
      <w:lvlText w:val="(%1)"/>
      <w:numFmt w:val="lowerLetter"/>
      <w:start w:val="2"/>
    </w:lvl>
  </w:abstractNum>
  <w:abstractNum w:abstractNumId="236">
    <w:nsid w:val="556B69ED"/>
    <w:multiLevelType w:val="hybridMultilevel"/>
    <w:lvl w:ilvl="0">
      <w:lvlJc w:val="left"/>
      <w:lvlText w:val="%1"/>
      <w:numFmt w:val="decimal"/>
      <w:start w:val="1"/>
    </w:lvl>
    <w:lvl w:ilvl="1">
      <w:lvlJc w:val="left"/>
      <w:lvlText w:val="(%2)"/>
      <w:numFmt w:val="lowerLetter"/>
      <w:start w:val="3"/>
    </w:lvl>
  </w:abstractNum>
  <w:abstractNum w:abstractNumId="237">
    <w:nsid w:val="70836196"/>
    <w:multiLevelType w:val="hybridMultilevel"/>
    <w:lvl w:ilvl="0">
      <w:lvlJc w:val="left"/>
      <w:lvlText w:val="%1."/>
      <w:numFmt w:val="decimal"/>
      <w:start w:val="4"/>
    </w:lvl>
    <w:lvl w:ilvl="1">
      <w:lvlJc w:val="left"/>
      <w:lvlText w:val="(%2)"/>
      <w:numFmt w:val="lowerLetter"/>
      <w:start w:val="1"/>
    </w:lvl>
  </w:abstractNum>
  <w:abstractNum w:abstractNumId="238">
    <w:nsid w:val="539F7F1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39">
    <w:nsid w:val="2817E7E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40">
    <w:nsid w:val="7148254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41">
    <w:nsid w:val="17D7863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42">
    <w:nsid w:val="141D23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43">
    <w:nsid w:val="407168D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44">
    <w:nsid w:val="6A1B45E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45">
    <w:nsid w:val="567BD50A"/>
    <w:multiLevelType w:val="hybridMultilevel"/>
    <w:lvl w:ilvl="0">
      <w:lvlJc w:val="left"/>
      <w:lvlText w:val="%1"/>
      <w:numFmt w:val="decimal"/>
      <w:start w:val="1"/>
    </w:lvl>
    <w:lvl w:ilvl="1">
      <w:lvlJc w:val="left"/>
      <w:lvlText w:val="(%2)"/>
      <w:numFmt w:val="lowerLetter"/>
      <w:start w:val="2"/>
    </w:lvl>
  </w:abstractNum>
  <w:abstractNum w:abstractNumId="246">
    <w:nsid w:val="73BBD7F8"/>
    <w:multiLevelType w:val="hybridMultilevel"/>
    <w:lvl w:ilvl="0">
      <w:lvlJc w:val="left"/>
      <w:lvlText w:val="%1."/>
      <w:numFmt w:val="decimal"/>
      <w:start w:val="9"/>
    </w:lvl>
    <w:lvl w:ilvl="1">
      <w:lvlJc w:val="left"/>
      <w:lvlText w:val="(%2)"/>
      <w:numFmt w:val="lowerLetter"/>
      <w:start w:val="1"/>
    </w:lvl>
  </w:abstractNum>
  <w:abstractNum w:abstractNumId="247">
    <w:nsid w:val="1876589D"/>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48">
    <w:nsid w:val="327FAC77"/>
    <w:multiLevelType w:val="hybridMultilevel"/>
    <w:lvl w:ilvl="0">
      <w:lvlJc w:val="left"/>
      <w:lvlText w:val="%1."/>
      <w:numFmt w:val="decimal"/>
      <w:start w:val="11"/>
    </w:lvl>
    <w:lvl w:ilvl="1">
      <w:lvlJc w:val="left"/>
      <w:lvlText w:val="(%2)"/>
      <w:numFmt w:val="lowerLetter"/>
      <w:start w:val="1"/>
    </w:lvl>
  </w:abstractNum>
  <w:abstractNum w:abstractNumId="249">
    <w:nsid w:val="5A606509"/>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250">
    <w:nsid w:val="6F38E6D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5"/>
    </w:lvl>
  </w:abstractNum>
  <w:abstractNum w:abstractNumId="251">
    <w:nsid w:val="46111BA5"/>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abstractNum>
  <w:abstractNum w:abstractNumId="252">
    <w:nsid w:val="5E963896"/>
    <w:multiLevelType w:val="hybridMultilevel"/>
    <w:lvl w:ilvl="0">
      <w:lvlJc w:val="left"/>
      <w:lvlText w:val="(%1)"/>
      <w:numFmt w:val="lowerLetter"/>
      <w:start w:val="35"/>
    </w:lvl>
    <w:lvl w:ilvl="1">
      <w:lvlJc w:val="left"/>
      <w:lvlText w:val="(%2)"/>
      <w:numFmt w:val="lowerLetter"/>
      <w:start w:val="9"/>
    </w:lvl>
    <w:lvl w:ilvl="2">
      <w:lvlJc w:val="left"/>
      <w:lvlText w:val="(%3)"/>
      <w:numFmt w:val="lowerRoman"/>
      <w:start w:val="1"/>
    </w:lvl>
  </w:abstractNum>
  <w:abstractNum w:abstractNumId="253">
    <w:nsid w:val="775BA7C1"/>
    <w:multiLevelType w:val="hybridMultilevel"/>
    <w:lvl w:ilvl="0">
      <w:lvlJc w:val="left"/>
      <w:lvlText w:val="%1"/>
      <w:numFmt w:val="lowerLetter"/>
      <w:start w:val="1"/>
    </w:lvl>
    <w:lvl w:ilvl="1">
      <w:lvlJc w:val="left"/>
      <w:lvlText w:val="(%2)"/>
      <w:numFmt w:val="lowerRoman"/>
      <w:start w:val="2"/>
    </w:lvl>
  </w:abstractNum>
  <w:abstractNum w:abstractNumId="254">
    <w:nsid w:val="1DD6D6F4"/>
    <w:multiLevelType w:val="hybridMultilevel"/>
    <w:lvl w:ilvl="0">
      <w:lvlJc w:val="left"/>
      <w:lvlText w:val="(%1)"/>
      <w:numFmt w:val="lowerLetter"/>
      <w:start w:val="11"/>
    </w:lvl>
    <w:lvl w:ilvl="1">
      <w:lvlJc w:val="left"/>
      <w:lvlText w:val="%2"/>
      <w:numFmt w:val="lowerRoman"/>
      <w:start w:val="1"/>
    </w:lvl>
  </w:abstractNum>
  <w:abstractNum w:abstractNumId="255">
    <w:nsid w:val="769A091F"/>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40" Type="http://schemas.openxmlformats.org/officeDocument/2006/relationships/image" Target="media/image318.png"/><Relationship Id="rId341" Type="http://schemas.openxmlformats.org/officeDocument/2006/relationships/image" Target="media/image319.png"/><Relationship Id="rId342" Type="http://schemas.openxmlformats.org/officeDocument/2006/relationships/image" Target="media/image320.png"/><Relationship Id="rId343" Type="http://schemas.openxmlformats.org/officeDocument/2006/relationships/image" Target="media/image321.png"/><Relationship Id="rId344" Type="http://schemas.openxmlformats.org/officeDocument/2006/relationships/image" Target="media/image322.png"/><Relationship Id="rId345" Type="http://schemas.openxmlformats.org/officeDocument/2006/relationships/image" Target="media/image323.png"/><Relationship Id="rId346" Type="http://schemas.openxmlformats.org/officeDocument/2006/relationships/image" Target="media/image324.png"/><Relationship Id="rId347" Type="http://schemas.openxmlformats.org/officeDocument/2006/relationships/image" Target="media/image325.png"/><Relationship Id="rId348" Type="http://schemas.openxmlformats.org/officeDocument/2006/relationships/image" Target="media/image326.png"/><Relationship Id="rId349" Type="http://schemas.openxmlformats.org/officeDocument/2006/relationships/image" Target="media/image327.png"/><Relationship Id="rId350" Type="http://schemas.openxmlformats.org/officeDocument/2006/relationships/image" Target="media/image328.png"/><Relationship Id="rId351" Type="http://schemas.openxmlformats.org/officeDocument/2006/relationships/image" Target="media/image329.png"/><Relationship Id="rId352" Type="http://schemas.openxmlformats.org/officeDocument/2006/relationships/image" Target="media/image330.png"/><Relationship Id="rId353" Type="http://schemas.openxmlformats.org/officeDocument/2006/relationships/image" Target="media/image331.png"/><Relationship Id="rId354" Type="http://schemas.openxmlformats.org/officeDocument/2006/relationships/image" Target="media/image332.png"/><Relationship Id="rId355" Type="http://schemas.openxmlformats.org/officeDocument/2006/relationships/image" Target="media/image333.png"/><Relationship Id="rId356" Type="http://schemas.openxmlformats.org/officeDocument/2006/relationships/image" Target="media/image334.png"/><Relationship Id="rId357" Type="http://schemas.openxmlformats.org/officeDocument/2006/relationships/image" Target="media/image335.png"/><Relationship Id="rId358" Type="http://schemas.openxmlformats.org/officeDocument/2006/relationships/image" Target="media/image336.png"/><Relationship Id="rId359" Type="http://schemas.openxmlformats.org/officeDocument/2006/relationships/image" Target="media/image337.png"/><Relationship Id="rId360" Type="http://schemas.openxmlformats.org/officeDocument/2006/relationships/image" Target="media/image338.png"/><Relationship Id="rId361" Type="http://schemas.openxmlformats.org/officeDocument/2006/relationships/image" Target="media/image339.png"/><Relationship Id="rId362" Type="http://schemas.openxmlformats.org/officeDocument/2006/relationships/image" Target="media/image340.png"/><Relationship Id="rId363" Type="http://schemas.openxmlformats.org/officeDocument/2006/relationships/image" Target="media/image341.png"/><Relationship Id="rId364" Type="http://schemas.openxmlformats.org/officeDocument/2006/relationships/image" Target="media/image342.png"/><Relationship Id="rId365" Type="http://schemas.openxmlformats.org/officeDocument/2006/relationships/image" Target="media/image343.png"/><Relationship Id="rId366" Type="http://schemas.openxmlformats.org/officeDocument/2006/relationships/image" Target="media/image344.png"/><Relationship Id="rId367" Type="http://schemas.openxmlformats.org/officeDocument/2006/relationships/image" Target="media/image345.png"/><Relationship Id="rId368" Type="http://schemas.openxmlformats.org/officeDocument/2006/relationships/image" Target="media/image346.png"/><Relationship Id="rId369" Type="http://schemas.openxmlformats.org/officeDocument/2006/relationships/image" Target="media/image347.png"/><Relationship Id="rId370" Type="http://schemas.openxmlformats.org/officeDocument/2006/relationships/image" Target="media/image348.png"/><Relationship Id="rId371" Type="http://schemas.openxmlformats.org/officeDocument/2006/relationships/image" Target="media/image349.png"/><Relationship Id="rId372" Type="http://schemas.openxmlformats.org/officeDocument/2006/relationships/image" Target="media/image350.png"/><Relationship Id="rId373" Type="http://schemas.openxmlformats.org/officeDocument/2006/relationships/image" Target="media/image351.png"/><Relationship Id="rId374" Type="http://schemas.openxmlformats.org/officeDocument/2006/relationships/image" Target="media/image352.png"/><Relationship Id="rId375" Type="http://schemas.openxmlformats.org/officeDocument/2006/relationships/image" Target="media/image353.png"/><Relationship Id="rId376" Type="http://schemas.openxmlformats.org/officeDocument/2006/relationships/image" Target="media/image354.png"/><Relationship Id="rId377" Type="http://schemas.openxmlformats.org/officeDocument/2006/relationships/image" Target="media/image355.png"/><Relationship Id="rId378" Type="http://schemas.openxmlformats.org/officeDocument/2006/relationships/image" Target="media/image356.png"/><Relationship Id="rId379" Type="http://schemas.openxmlformats.org/officeDocument/2006/relationships/image" Target="media/image357.png"/><Relationship Id="rId380" Type="http://schemas.openxmlformats.org/officeDocument/2006/relationships/image" Target="media/image358.png"/><Relationship Id="rId381" Type="http://schemas.openxmlformats.org/officeDocument/2006/relationships/image" Target="media/image359.png"/><Relationship Id="rId382" Type="http://schemas.openxmlformats.org/officeDocument/2006/relationships/image" Target="media/image360.png"/><Relationship Id="rId383" Type="http://schemas.openxmlformats.org/officeDocument/2006/relationships/image" Target="media/image361.png"/><Relationship Id="rId384" Type="http://schemas.openxmlformats.org/officeDocument/2006/relationships/image" Target="media/image362.png"/><Relationship Id="rId385" Type="http://schemas.openxmlformats.org/officeDocument/2006/relationships/image" Target="media/image363.png"/><Relationship Id="rId386" Type="http://schemas.openxmlformats.org/officeDocument/2006/relationships/image" Target="media/image364.png"/><Relationship Id="rId387" Type="http://schemas.openxmlformats.org/officeDocument/2006/relationships/image" Target="media/image365.png"/><Relationship Id="rId388" Type="http://schemas.openxmlformats.org/officeDocument/2006/relationships/image" Target="media/image366.png"/><Relationship Id="rId389" Type="http://schemas.openxmlformats.org/officeDocument/2006/relationships/image" Target="media/image367.png"/><Relationship Id="rId390" Type="http://schemas.openxmlformats.org/officeDocument/2006/relationships/image" Target="media/image368.png"/><Relationship Id="rId391" Type="http://schemas.openxmlformats.org/officeDocument/2006/relationships/image" Target="media/image369.png"/><Relationship Id="rId392" Type="http://schemas.openxmlformats.org/officeDocument/2006/relationships/image" Target="media/image370.png"/><Relationship Id="rId393" Type="http://schemas.openxmlformats.org/officeDocument/2006/relationships/image" Target="media/image371.png"/><Relationship Id="rId394" Type="http://schemas.openxmlformats.org/officeDocument/2006/relationships/image" Target="media/image372.png"/><Relationship Id="rId395" Type="http://schemas.openxmlformats.org/officeDocument/2006/relationships/image" Target="media/image373.png"/><Relationship Id="rId396" Type="http://schemas.openxmlformats.org/officeDocument/2006/relationships/image" Target="media/image374.png"/><Relationship Id="rId397" Type="http://schemas.openxmlformats.org/officeDocument/2006/relationships/image" Target="media/image375.png"/><Relationship Id="rId398" Type="http://schemas.openxmlformats.org/officeDocument/2006/relationships/image" Target="media/image376.png"/><Relationship Id="rId399" Type="http://schemas.openxmlformats.org/officeDocument/2006/relationships/image" Target="media/image377.png"/><Relationship Id="rId400" Type="http://schemas.openxmlformats.org/officeDocument/2006/relationships/image" Target="media/image378.png"/><Relationship Id="rId401" Type="http://schemas.openxmlformats.org/officeDocument/2006/relationships/image" Target="media/image379.png"/><Relationship Id="rId402" Type="http://schemas.openxmlformats.org/officeDocument/2006/relationships/image" Target="media/image380.png"/><Relationship Id="rId403" Type="http://schemas.openxmlformats.org/officeDocument/2006/relationships/image" Target="media/image381.png"/><Relationship Id="rId404" Type="http://schemas.openxmlformats.org/officeDocument/2006/relationships/image" Target="media/image382.png"/><Relationship Id="rId405" Type="http://schemas.openxmlformats.org/officeDocument/2006/relationships/image" Target="media/image383.png"/><Relationship Id="rId406" Type="http://schemas.openxmlformats.org/officeDocument/2006/relationships/image" Target="media/image384.png"/><Relationship Id="rId407" Type="http://schemas.openxmlformats.org/officeDocument/2006/relationships/image" Target="media/image385.png"/><Relationship Id="rId408" Type="http://schemas.openxmlformats.org/officeDocument/2006/relationships/image" Target="media/image386.png"/><Relationship Id="rId409" Type="http://schemas.openxmlformats.org/officeDocument/2006/relationships/image" Target="media/image387.png"/><Relationship Id="rId410" Type="http://schemas.openxmlformats.org/officeDocument/2006/relationships/image" Target="media/image388.png"/><Relationship Id="rId411" Type="http://schemas.openxmlformats.org/officeDocument/2006/relationships/image" Target="media/image389.png"/><Relationship Id="rId412" Type="http://schemas.openxmlformats.org/officeDocument/2006/relationships/image" Target="media/image390.png"/><Relationship Id="rId413" Type="http://schemas.openxmlformats.org/officeDocument/2006/relationships/image" Target="media/image391.png"/><Relationship Id="rId414" Type="http://schemas.openxmlformats.org/officeDocument/2006/relationships/image" Target="media/image392.png"/><Relationship Id="rId415" Type="http://schemas.openxmlformats.org/officeDocument/2006/relationships/image" Target="media/image393.png"/><Relationship Id="rId416" Type="http://schemas.openxmlformats.org/officeDocument/2006/relationships/image" Target="media/image394.png"/><Relationship Id="rId417" Type="http://schemas.openxmlformats.org/officeDocument/2006/relationships/image" Target="media/image395.png"/><Relationship Id="rId418" Type="http://schemas.openxmlformats.org/officeDocument/2006/relationships/image" Target="media/image396.png"/><Relationship Id="rId419" Type="http://schemas.openxmlformats.org/officeDocument/2006/relationships/image" Target="media/image397.png"/><Relationship Id="rId420" Type="http://schemas.openxmlformats.org/officeDocument/2006/relationships/image" Target="media/image398.png"/><Relationship Id="rId421" Type="http://schemas.openxmlformats.org/officeDocument/2006/relationships/image" Target="media/image399.png"/><Relationship Id="rId422" Type="http://schemas.openxmlformats.org/officeDocument/2006/relationships/image" Target="media/image400.png"/><Relationship Id="rId423" Type="http://schemas.openxmlformats.org/officeDocument/2006/relationships/image" Target="media/image401.png"/><Relationship Id="rId424" Type="http://schemas.openxmlformats.org/officeDocument/2006/relationships/image" Target="media/image402.png"/><Relationship Id="rId425" Type="http://schemas.openxmlformats.org/officeDocument/2006/relationships/image" Target="media/image403.png"/><Relationship Id="rId426" Type="http://schemas.openxmlformats.org/officeDocument/2006/relationships/image" Target="media/image404.png"/><Relationship Id="rId427" Type="http://schemas.openxmlformats.org/officeDocument/2006/relationships/image" Target="media/image405.png"/><Relationship Id="rId428" Type="http://schemas.openxmlformats.org/officeDocument/2006/relationships/image" Target="media/image406.png"/><Relationship Id="rId429" Type="http://schemas.openxmlformats.org/officeDocument/2006/relationships/image" Target="media/image407.png"/><Relationship Id="rId430" Type="http://schemas.openxmlformats.org/officeDocument/2006/relationships/image" Target="media/image408.png"/><Relationship Id="rId431" Type="http://schemas.openxmlformats.org/officeDocument/2006/relationships/image" Target="media/image409.png"/><Relationship Id="rId432" Type="http://schemas.openxmlformats.org/officeDocument/2006/relationships/image" Target="media/image410.png"/><Relationship Id="rId433" Type="http://schemas.openxmlformats.org/officeDocument/2006/relationships/image" Target="media/image411.png"/><Relationship Id="rId434" Type="http://schemas.openxmlformats.org/officeDocument/2006/relationships/image" Target="media/image412.png"/><Relationship Id="rId435" Type="http://schemas.openxmlformats.org/officeDocument/2006/relationships/image" Target="media/image413.png"/><Relationship Id="rId436" Type="http://schemas.openxmlformats.org/officeDocument/2006/relationships/image" Target="media/image414.png"/><Relationship Id="rId437" Type="http://schemas.openxmlformats.org/officeDocument/2006/relationships/image" Target="media/image415.png"/><Relationship Id="rId438" Type="http://schemas.openxmlformats.org/officeDocument/2006/relationships/image" Target="media/image416.png"/><Relationship Id="rId439" Type="http://schemas.openxmlformats.org/officeDocument/2006/relationships/image" Target="media/image417.png"/><Relationship Id="rId440" Type="http://schemas.openxmlformats.org/officeDocument/2006/relationships/image" Target="media/image418.jpeg"/><Relationship Id="rId441" Type="http://schemas.openxmlformats.org/officeDocument/2006/relationships/image" Target="media/image419.jpeg"/><Relationship Id="rId442" Type="http://schemas.openxmlformats.org/officeDocument/2006/relationships/image" Target="media/image420.png"/><Relationship Id="rId443" Type="http://schemas.openxmlformats.org/officeDocument/2006/relationships/image" Target="media/image421.jpeg"/><Relationship Id="rId444" Type="http://schemas.openxmlformats.org/officeDocument/2006/relationships/image" Target="media/image422.png"/><Relationship Id="rId445" Type="http://schemas.openxmlformats.org/officeDocument/2006/relationships/image" Target="media/image423.png"/><Relationship Id="rId446" Type="http://schemas.openxmlformats.org/officeDocument/2006/relationships/image" Target="media/image424.png"/><Relationship Id="rId447" Type="http://schemas.openxmlformats.org/officeDocument/2006/relationships/image" Target="media/image425.png"/><Relationship Id="rId448" Type="http://schemas.openxmlformats.org/officeDocument/2006/relationships/image" Target="media/image426.png"/><Relationship Id="rId449" Type="http://schemas.openxmlformats.org/officeDocument/2006/relationships/image" Target="media/image427.png"/><Relationship Id="rId450" Type="http://schemas.openxmlformats.org/officeDocument/2006/relationships/image" Target="media/image428.png"/><Relationship Id="rId451" Type="http://schemas.openxmlformats.org/officeDocument/2006/relationships/image" Target="media/image429.png"/><Relationship Id="rId452" Type="http://schemas.openxmlformats.org/officeDocument/2006/relationships/image" Target="media/image430.png"/><Relationship Id="rId453" Type="http://schemas.openxmlformats.org/officeDocument/2006/relationships/image" Target="media/image431.png"/><Relationship Id="rId454" Type="http://schemas.openxmlformats.org/officeDocument/2006/relationships/image" Target="media/image432.png"/><Relationship Id="rId455" Type="http://schemas.openxmlformats.org/officeDocument/2006/relationships/image" Target="media/image433.png"/><Relationship Id="rId456" Type="http://schemas.openxmlformats.org/officeDocument/2006/relationships/image" Target="media/image434.png"/><Relationship Id="rId457" Type="http://schemas.openxmlformats.org/officeDocument/2006/relationships/image" Target="media/image435.png"/><Relationship Id="rId458" Type="http://schemas.openxmlformats.org/officeDocument/2006/relationships/image" Target="media/image436.png"/><Relationship Id="rId459" Type="http://schemas.openxmlformats.org/officeDocument/2006/relationships/image" Target="media/image437.png"/><Relationship Id="rId325" Type="http://schemas.openxmlformats.org/officeDocument/2006/relationships/hyperlink" Target="http://www.sec.gov/Archives/edgar/data/1772016/000119312519250692/d727525dex41.htm" TargetMode="External"/><Relationship Id="rId326" Type="http://schemas.openxmlformats.org/officeDocument/2006/relationships/hyperlink" Target="http://www.sec.gov/Archives/edgar/data/1772016/000119312519250692/d727525dex101.htm" TargetMode="External"/><Relationship Id="rId327" Type="http://schemas.openxmlformats.org/officeDocument/2006/relationships/hyperlink" Target="http://www.sec.gov/Archives/edgar/data/1772016/000119312519250692/d727525dex102.htm" TargetMode="External"/><Relationship Id="rId328" Type="http://schemas.openxmlformats.org/officeDocument/2006/relationships/hyperlink" Target="http://www.sec.gov/Archives/edgar/data/1772016/000119312519250692/d727525dex103.htm" TargetMode="External"/><Relationship Id="rId329" Type="http://schemas.openxmlformats.org/officeDocument/2006/relationships/hyperlink" Target="http://www.sec.gov/Archives/edgar/data/1772016/000119312519250692/d727525dex104.htm" TargetMode="External"/><Relationship Id="rId330" Type="http://schemas.openxmlformats.org/officeDocument/2006/relationships/hyperlink" Target="http://www.sec.gov/Archives/edgar/data/1772016/000119312519250692/d727525dex105.htm" TargetMode="External"/><Relationship Id="rId331" Type="http://schemas.openxmlformats.org/officeDocument/2006/relationships/hyperlink" Target="http://www.sec.gov/Archives/edgar/data/1772016/000119312519250692/d727525dex106.htm" TargetMode="External"/><Relationship Id="rId332" Type="http://schemas.openxmlformats.org/officeDocument/2006/relationships/hyperlink" Target="http://www.sec.gov/Archives/edgar/data/1772016/000119312519250692/d727525dex107.htm" TargetMode="External"/><Relationship Id="rId333" Type="http://schemas.openxmlformats.org/officeDocument/2006/relationships/hyperlink" Target="http://www.sec.gov/Archives/edgar/data/1772016/000119312519250692/d727525dex108.htm" TargetMode="External"/><Relationship Id="rId334" Type="http://schemas.openxmlformats.org/officeDocument/2006/relationships/hyperlink" Target="http://www.sec.gov/Archives/edgar/data/1772016/000119312519250692/d727525dex1012.htm" TargetMode="External"/><Relationship Id="rId335" Type="http://schemas.openxmlformats.org/officeDocument/2006/relationships/hyperlink" Target="http://www.sec.gov/Archives/edgar/data/1772016/000119312519250692/d727525dex211.htm" TargetMode="External"/><Relationship Id="rId336" Type="http://schemas.openxmlformats.org/officeDocument/2006/relationships/hyperlink" Target="http://www.sec.gov/Archives/edgar/data/1772016/000119312519250692/d727525dex991.htm" TargetMode="External"/><Relationship Id="rId337" Type="http://schemas.openxmlformats.org/officeDocument/2006/relationships/hyperlink" Target="http://www.sec.gov/Archives/edgar/data/1772016/000119312519250692/d727525dex992.htm" TargetMode="External"/><Relationship Id="rId338" Type="http://schemas.openxmlformats.org/officeDocument/2006/relationships/hyperlink" Target="http://www.sec.gov/Archives/edgar/data/1772016/000119312519250692/d727525dex993.htm" TargetMode="External"/><Relationship Id="rId339" Type="http://schemas.openxmlformats.org/officeDocument/2006/relationships/hyperlink" Target="http://www.sec.gov/Archives/edgar/data/1772016/000119312519250692/d727525dex9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2019-12-04T22:57:28Z</dcterms:created>
  <dcterms:modified xsi:type="dcterms:W3CDTF">2019-12-04T22:57:28Z</dcterms:modified>
</cp:coreProperties>
</file>