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370840</wp:posOffset>
            </wp:positionH>
            <wp:positionV relativeFrom="page">
              <wp:posOffset>868680</wp:posOffset>
            </wp:positionV>
            <wp:extent cx="60947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page">
              <wp:posOffset>370840</wp:posOffset>
            </wp:positionH>
            <wp:positionV relativeFrom="page">
              <wp:posOffset>894715</wp:posOffset>
            </wp:positionV>
            <wp:extent cx="60947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94730" cy="825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4440"/>
        <w:spacing w:after="0"/>
        <w:rPr>
          <w:sz w:val="20"/>
          <w:szCs w:val="20"/>
          <w:color w:val="auto"/>
        </w:rPr>
      </w:pPr>
      <w:r>
        <w:rPr>
          <w:rFonts w:ascii="Arial" w:cs="Arial" w:eastAsia="Arial" w:hAnsi="Arial"/>
          <w:sz w:val="22"/>
          <w:szCs w:val="22"/>
          <w:color w:val="auto"/>
        </w:rPr>
        <w:t>______________________</w:t>
      </w:r>
    </w:p>
    <w:p>
      <w:pPr>
        <w:spacing w:after="0" w:line="74"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18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ind w:left="412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ind w:left="4140"/>
        <w:spacing w:after="0"/>
        <w:rPr>
          <w:sz w:val="20"/>
          <w:szCs w:val="20"/>
          <w:color w:val="auto"/>
        </w:rPr>
      </w:pPr>
      <w:r>
        <w:rPr>
          <w:rFonts w:ascii="Arial" w:cs="Arial" w:eastAsia="Arial" w:hAnsi="Arial"/>
          <w:sz w:val="22"/>
          <w:szCs w:val="22"/>
          <w:b w:val="1"/>
          <w:bCs w:val="1"/>
          <w:color w:val="auto"/>
        </w:rPr>
        <w:t>Securities Exchange Act of 1934</w:t>
      </w:r>
    </w:p>
    <w:p>
      <w:pPr>
        <w:spacing w:after="0" w:line="15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Date of Report (Date of earliest event reported): May 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117475</wp:posOffset>
            </wp:positionV>
            <wp:extent cx="1337310"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31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59"/>
        <w:spacing w:after="0"/>
        <w:rPr>
          <w:sz w:val="20"/>
          <w:szCs w:val="20"/>
          <w:color w:val="auto"/>
        </w:rPr>
      </w:pPr>
      <w:r>
        <w:rPr>
          <w:rFonts w:ascii="Arial" w:cs="Arial" w:eastAsia="Arial" w:hAnsi="Arial"/>
          <w:sz w:val="36"/>
          <w:szCs w:val="36"/>
          <w:b w:val="1"/>
          <w:bCs w:val="1"/>
          <w:color w:val="auto"/>
        </w:rPr>
        <w:t>BellRing Brands, Inc.</w:t>
      </w:r>
    </w:p>
    <w:p>
      <w:pPr>
        <w:spacing w:after="0" w:line="15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80"/>
          </w:cols>
          <w:pgMar w:left="320" w:top="1440" w:right="499" w:bottom="1440" w:gutter="0" w:footer="0" w:header="0"/>
        </w:sectPr>
      </w:pPr>
    </w:p>
    <w:p>
      <w:pPr>
        <w:spacing w:after="0" w:line="55"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jc w:val="center"/>
        <w:ind w:right="1640"/>
        <w:spacing w:after="0"/>
        <w:rPr>
          <w:sz w:val="20"/>
          <w:szCs w:val="20"/>
          <w:color w:val="auto"/>
        </w:rPr>
      </w:pPr>
      <w:r>
        <w:rPr>
          <w:rFonts w:ascii="Arial" w:cs="Arial" w:eastAsia="Arial" w:hAnsi="Arial"/>
          <w:sz w:val="16"/>
          <w:szCs w:val="16"/>
          <w:b w:val="1"/>
          <w:bCs w:val="1"/>
          <w:color w:val="auto"/>
        </w:rPr>
        <w:t>001-39093</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83-4096323</w:t>
      </w:r>
    </w:p>
    <w:p>
      <w:pPr>
        <w:spacing w:after="0" w:line="107" w:lineRule="exact"/>
        <w:rPr>
          <w:sz w:val="24"/>
          <w:szCs w:val="24"/>
          <w:color w:val="auto"/>
        </w:rPr>
      </w:pPr>
    </w:p>
    <w:p>
      <w:pPr>
        <w:sectPr>
          <w:pgSz w:w="11900" w:h="16838" w:orient="portrait"/>
          <w:cols w:equalWidth="0" w:num="3">
            <w:col w:w="3820" w:space="720"/>
            <w:col w:w="2500" w:space="720"/>
            <w:col w:w="3320"/>
          </w:cols>
          <w:pgMar w:left="320" w:top="1440" w:right="499" w:bottom="1440" w:gutter="0" w:footer="0" w:header="0"/>
          <w:type w:val="continuous"/>
        </w:sectPr>
      </w:pPr>
    </w:p>
    <w:p>
      <w:pPr>
        <w:ind w:left="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260" w:space="700"/>
            <w:col w:w="2320" w:space="720"/>
            <w:col w:w="4080"/>
          </w:cols>
          <w:pgMar w:left="320" w:top="1440" w:right="499" w:bottom="1440" w:gutter="0" w:footer="0" w:header="0"/>
          <w:type w:val="continuous"/>
        </w:sectPr>
      </w:pPr>
    </w:p>
    <w:p>
      <w:pPr>
        <w:spacing w:after="0" w:line="231" w:lineRule="exact"/>
        <w:rPr>
          <w:sz w:val="24"/>
          <w:szCs w:val="24"/>
          <w:color w:val="auto"/>
        </w:rPr>
      </w:pPr>
    </w:p>
    <w:p>
      <w:pPr>
        <w:ind w:left="780"/>
        <w:spacing w:after="0"/>
        <w:rPr>
          <w:sz w:val="20"/>
          <w:szCs w:val="20"/>
          <w:color w:val="auto"/>
        </w:rPr>
      </w:pPr>
      <w:r>
        <w:rPr>
          <w:rFonts w:ascii="Arial" w:cs="Arial" w:eastAsia="Arial" w:hAnsi="Arial"/>
          <w:sz w:val="16"/>
          <w:szCs w:val="16"/>
          <w:b w:val="1"/>
          <w:bCs w:val="1"/>
          <w:color w:val="auto"/>
        </w:rPr>
        <w:t>2503 S. Hanley Road</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St. Louis</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Missouri</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63144</w:t>
      </w:r>
    </w:p>
    <w:p>
      <w:pPr>
        <w:spacing w:after="0" w:line="108" w:lineRule="exact"/>
        <w:rPr>
          <w:sz w:val="24"/>
          <w:szCs w:val="24"/>
          <w:color w:val="auto"/>
        </w:rPr>
      </w:pPr>
    </w:p>
    <w:p>
      <w:pPr>
        <w:sectPr>
          <w:pgSz w:w="11900" w:h="16838" w:orient="portrait"/>
          <w:cols w:equalWidth="0" w:num="4">
            <w:col w:w="3120" w:space="720"/>
            <w:col w:w="920" w:space="720"/>
            <w:col w:w="1780" w:space="720"/>
            <w:col w:w="3100"/>
          </w:cols>
          <w:pgMar w:left="320" w:top="1440" w:right="499" w:bottom="1440" w:gutter="0" w:footer="0" w:header="0"/>
          <w:type w:val="continuous"/>
        </w:sectPr>
      </w:pPr>
    </w:p>
    <w:p>
      <w:pPr>
        <w:ind w:left="18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72" w:lineRule="exact"/>
        <w:rPr>
          <w:sz w:val="24"/>
          <w:szCs w:val="24"/>
          <w:color w:val="auto"/>
        </w:rPr>
      </w:pPr>
    </w:p>
    <w:p>
      <w:pPr>
        <w:sectPr>
          <w:pgSz w:w="11900" w:h="16838" w:orient="portrait"/>
          <w:cols w:equalWidth="0" w:num="2">
            <w:col w:w="7120" w:space="720"/>
            <w:col w:w="3240"/>
          </w:cols>
          <w:pgMar w:left="320" w:top="1440" w:right="499" w:bottom="1440" w:gutter="0" w:footer="0" w:header="0"/>
          <w:type w:val="continuous"/>
        </w:sect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9"/>
          <w:szCs w:val="19"/>
          <w:b w:val="1"/>
          <w:bCs w:val="1"/>
          <w:color w:val="auto"/>
        </w:rPr>
        <w:t>(314) 644-7600</w:t>
      </w:r>
    </w:p>
    <w:p>
      <w:pPr>
        <w:spacing w:after="0" w:line="19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46"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2700" w:type="dxa"/>
            <w:vAlign w:val="bottom"/>
            <w:gridSpan w:val="2"/>
          </w:tcPr>
          <w:p>
            <w:pPr>
              <w:jc w:val="center"/>
              <w:ind w:right="1400"/>
              <w:spacing w:after="0"/>
              <w:rPr>
                <w:sz w:val="20"/>
                <w:szCs w:val="20"/>
                <w:color w:val="auto"/>
              </w:rPr>
            </w:pPr>
            <w:r>
              <w:rPr>
                <w:rFonts w:ascii="Arial" w:cs="Arial" w:eastAsia="Arial" w:hAnsi="Arial"/>
                <w:sz w:val="18"/>
                <w:szCs w:val="18"/>
                <w:color w:val="auto"/>
                <w:w w:val="90"/>
              </w:rPr>
              <w:t>Title of each class</w:t>
            </w:r>
          </w:p>
        </w:tc>
        <w:tc>
          <w:tcPr>
            <w:tcW w:w="2500" w:type="dxa"/>
            <w:vAlign w:val="bottom"/>
            <w:gridSpan w:val="3"/>
          </w:tcPr>
          <w:p>
            <w:pPr>
              <w:jc w:val="center"/>
              <w:ind w:right="460"/>
              <w:spacing w:after="0"/>
              <w:rPr>
                <w:sz w:val="20"/>
                <w:szCs w:val="20"/>
                <w:color w:val="auto"/>
              </w:rPr>
            </w:pPr>
            <w:r>
              <w:rPr>
                <w:rFonts w:ascii="Arial" w:cs="Arial" w:eastAsia="Arial" w:hAnsi="Arial"/>
                <w:sz w:val="18"/>
                <w:szCs w:val="18"/>
                <w:color w:val="auto"/>
                <w:w w:val="92"/>
              </w:rPr>
              <w:t>Trading Symbol(s)</w:t>
            </w: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72"/>
        </w:trPr>
        <w:tc>
          <w:tcPr>
            <w:tcW w:w="37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Class A Common Stock, $0.01 par value per</w:t>
            </w:r>
          </w:p>
        </w:tc>
        <w:tc>
          <w:tcPr>
            <w:tcW w:w="340" w:type="dxa"/>
            <w:vAlign w:val="bottom"/>
          </w:tcPr>
          <w:p>
            <w:pPr>
              <w:spacing w:after="0"/>
              <w:rPr>
                <w:sz w:val="23"/>
                <w:szCs w:val="23"/>
                <w:color w:val="auto"/>
              </w:rPr>
            </w:pPr>
          </w:p>
        </w:tc>
        <w:tc>
          <w:tcPr>
            <w:tcW w:w="216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6"/>
              </w:rPr>
              <w:t>BRBR</w:t>
            </w: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34"/>
        </w:trPr>
        <w:tc>
          <w:tcPr>
            <w:tcW w:w="1040" w:type="dxa"/>
            <w:vAlign w:val="bottom"/>
          </w:tcPr>
          <w:p>
            <w:pPr>
              <w:spacing w:after="0"/>
              <w:rPr>
                <w:sz w:val="20"/>
                <w:szCs w:val="20"/>
                <w:color w:val="auto"/>
              </w:rPr>
            </w:pPr>
          </w:p>
        </w:tc>
        <w:tc>
          <w:tcPr>
            <w:tcW w:w="270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87"/>
              </w:rPr>
              <w:t>share</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121"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1384935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236220</wp:posOffset>
            </wp:positionV>
            <wp:extent cx="6009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09005"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262255</wp:posOffset>
            </wp:positionV>
            <wp:extent cx="60090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type w:val="continuous"/>
        </w:sectPr>
      </w:pPr>
    </w:p>
    <w:bookmarkStart w:id="1" w:name="page2"/>
    <w:bookmarkEnd w:id="1"/>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 and Financial Condition.</w:t>
      </w:r>
    </w:p>
    <w:p>
      <w:pPr>
        <w:spacing w:after="0" w:line="256"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On May 7, 2020, BellRing Brands, Inc. issued a press release announcing results for its second fiscal quarter ended March 31, 2020 and providing a financial outlook for fiscal year 2020. A copy of the press release is attached hereto as Exhibit 99.1 and incorporated herein by reference.</w:t>
      </w:r>
    </w:p>
    <w:p>
      <w:pPr>
        <w:spacing w:after="0" w:line="15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information contained in Item 2.02 and Exhibit 99.1 attached hereto shall not be deemed to be "filed" for purposes of Section 18 of the Securities Exchange Act of 1934, as amended (the "Exchange Act"), or otherwise subject to the liabilities of that Section, nor shall it be deemed incorporated by reference into any filings under the Securities Act of 1933, as amended, or the Exchange Act, except as expressly set forth by specific reference in such filing.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8"/>
              </w:rPr>
              <w:t>Exhibit No.</w:t>
            </w:r>
          </w:p>
        </w:tc>
        <w:tc>
          <w:tcPr>
            <w:tcW w:w="1360" w:type="dxa"/>
            <w:vAlign w:val="bottom"/>
          </w:tcPr>
          <w:p>
            <w:pPr>
              <w:spacing w:after="0"/>
              <w:rPr>
                <w:sz w:val="17"/>
                <w:szCs w:val="17"/>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r>
        <w:trPr>
          <w:trHeight w:val="560"/>
        </w:trPr>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1360" w:type="dxa"/>
            <w:vAlign w:val="bottom"/>
          </w:tcPr>
          <w:p>
            <w:pPr>
              <w:spacing w:after="0"/>
              <w:rPr>
                <w:sz w:val="24"/>
                <w:szCs w:val="24"/>
                <w:color w:val="auto"/>
              </w:rPr>
            </w:pPr>
          </w:p>
        </w:tc>
        <w:tc>
          <w:tcPr>
            <w:tcW w:w="8980" w:type="dxa"/>
            <w:vAlign w:val="bottom"/>
            <w:gridSpan w:val="2"/>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dated May 7, 2020</w:t>
              </w:r>
            </w:hyperlink>
          </w:p>
        </w:tc>
      </w:tr>
      <w:tr>
        <w:trPr>
          <w:trHeight w:val="243"/>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1360" w:type="dxa"/>
            <w:vAlign w:val="bottom"/>
          </w:tcPr>
          <w:p>
            <w:pPr>
              <w:spacing w:after="0"/>
              <w:rPr>
                <w:sz w:val="21"/>
                <w:szCs w:val="21"/>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Cover Page Interactive Data File (the cover page iXBRL tags are embedded within the Inline XBRL document)</w:t>
            </w:r>
          </w:p>
        </w:tc>
      </w:tr>
      <w:tr>
        <w:trPr>
          <w:trHeight w:val="3287"/>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Arial" w:cs="Arial" w:eastAsia="Arial" w:hAnsi="Arial"/>
                <w:sz w:val="18"/>
                <w:szCs w:val="18"/>
                <w:color w:val="auto"/>
              </w:rPr>
              <w:t>Date: May 7, 2020</w:t>
            </w:r>
          </w:p>
        </w:tc>
        <w:tc>
          <w:tcPr>
            <w:tcW w:w="7560" w:type="dxa"/>
            <w:vAlign w:val="bottom"/>
            <w:gridSpan w:val="2"/>
          </w:tcPr>
          <w:p>
            <w:pPr>
              <w:ind w:left="2080"/>
              <w:spacing w:after="0"/>
              <w:rPr>
                <w:sz w:val="20"/>
                <w:szCs w:val="20"/>
                <w:color w:val="auto"/>
              </w:rPr>
            </w:pPr>
            <w:r>
              <w:rPr>
                <w:rFonts w:ascii="Arial" w:cs="Arial" w:eastAsia="Arial" w:hAnsi="Arial"/>
                <w:sz w:val="18"/>
                <w:szCs w:val="18"/>
                <w:b w:val="1"/>
                <w:bCs w:val="1"/>
                <w:color w:val="auto"/>
              </w:rPr>
              <w:t>BellRing Brands, Inc.</w:t>
            </w:r>
          </w:p>
        </w:tc>
      </w:tr>
      <w:tr>
        <w:trPr>
          <w:trHeight w:val="365"/>
        </w:trPr>
        <w:tc>
          <w:tcPr>
            <w:tcW w:w="3440" w:type="dxa"/>
            <w:vAlign w:val="bottom"/>
          </w:tcPr>
          <w:p>
            <w:pPr>
              <w:spacing w:after="0"/>
              <w:rPr>
                <w:sz w:val="24"/>
                <w:szCs w:val="24"/>
                <w:color w:val="auto"/>
              </w:rPr>
            </w:pPr>
          </w:p>
        </w:tc>
        <w:tc>
          <w:tcPr>
            <w:tcW w:w="2980" w:type="dxa"/>
            <w:vAlign w:val="bottom"/>
          </w:tcPr>
          <w:p>
            <w:pPr>
              <w:ind w:left="2080"/>
              <w:spacing w:after="0"/>
              <w:rPr>
                <w:sz w:val="20"/>
                <w:szCs w:val="20"/>
                <w:color w:val="auto"/>
              </w:rPr>
            </w:pPr>
            <w:r>
              <w:rPr>
                <w:rFonts w:ascii="Arial" w:cs="Arial" w:eastAsia="Arial" w:hAnsi="Arial"/>
                <w:sz w:val="18"/>
                <w:szCs w:val="18"/>
                <w:color w:val="auto"/>
                <w:w w:val="93"/>
              </w:rPr>
              <w:t>(Registrant)</w:t>
            </w:r>
          </w:p>
        </w:tc>
        <w:tc>
          <w:tcPr>
            <w:tcW w:w="4580" w:type="dxa"/>
            <w:vAlign w:val="bottom"/>
          </w:tcPr>
          <w:p>
            <w:pPr>
              <w:spacing w:after="0"/>
              <w:rPr>
                <w:sz w:val="24"/>
                <w:szCs w:val="24"/>
                <w:color w:val="auto"/>
              </w:rPr>
            </w:pPr>
          </w:p>
        </w:tc>
      </w:tr>
      <w:tr>
        <w:trPr>
          <w:trHeight w:val="729"/>
        </w:trPr>
        <w:tc>
          <w:tcPr>
            <w:tcW w:w="3440" w:type="dxa"/>
            <w:vAlign w:val="bottom"/>
          </w:tcPr>
          <w:p>
            <w:pPr>
              <w:spacing w:after="0"/>
              <w:rPr>
                <w:sz w:val="24"/>
                <w:szCs w:val="24"/>
                <w:color w:val="auto"/>
              </w:rPr>
            </w:pPr>
          </w:p>
        </w:tc>
        <w:tc>
          <w:tcPr>
            <w:tcW w:w="2980" w:type="dxa"/>
            <w:vAlign w:val="bottom"/>
          </w:tcPr>
          <w:p>
            <w:pPr>
              <w:ind w:left="2080"/>
              <w:spacing w:after="0"/>
              <w:rPr>
                <w:sz w:val="20"/>
                <w:szCs w:val="20"/>
                <w:color w:val="auto"/>
              </w:rPr>
            </w:pPr>
            <w:r>
              <w:rPr>
                <w:rFonts w:ascii="Arial" w:cs="Arial" w:eastAsia="Arial" w:hAnsi="Arial"/>
                <w:sz w:val="18"/>
                <w:szCs w:val="18"/>
                <w:color w:val="auto"/>
              </w:rPr>
              <w:t>By:</w:t>
            </w:r>
          </w:p>
        </w:tc>
        <w:tc>
          <w:tcPr>
            <w:tcW w:w="4580" w:type="dxa"/>
            <w:vAlign w:val="bottom"/>
          </w:tcPr>
          <w:p>
            <w:pPr>
              <w:ind w:left="20"/>
              <w:spacing w:after="0"/>
              <w:rPr>
                <w:sz w:val="20"/>
                <w:szCs w:val="20"/>
                <w:color w:val="auto"/>
              </w:rPr>
            </w:pPr>
            <w:r>
              <w:rPr>
                <w:rFonts w:ascii="Arial" w:cs="Arial" w:eastAsia="Arial" w:hAnsi="Arial"/>
                <w:sz w:val="18"/>
                <w:szCs w:val="18"/>
                <w:color w:val="auto"/>
              </w:rPr>
              <w:t>/s/ Paul A. Rode</w:t>
            </w:r>
          </w:p>
        </w:tc>
      </w:tr>
      <w:tr>
        <w:trPr>
          <w:trHeight w:val="27"/>
        </w:trPr>
        <w:tc>
          <w:tcPr>
            <w:tcW w:w="34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318"/>
        </w:trPr>
        <w:tc>
          <w:tcPr>
            <w:tcW w:w="3440" w:type="dxa"/>
            <w:vAlign w:val="bottom"/>
          </w:tcPr>
          <w:p>
            <w:pPr>
              <w:spacing w:after="0"/>
              <w:rPr>
                <w:sz w:val="24"/>
                <w:szCs w:val="24"/>
                <w:color w:val="auto"/>
              </w:rPr>
            </w:pPr>
          </w:p>
        </w:tc>
        <w:tc>
          <w:tcPr>
            <w:tcW w:w="2980" w:type="dxa"/>
            <w:vAlign w:val="bottom"/>
          </w:tcPr>
          <w:p>
            <w:pPr>
              <w:ind w:left="2080"/>
              <w:spacing w:after="0"/>
              <w:rPr>
                <w:sz w:val="20"/>
                <w:szCs w:val="20"/>
                <w:color w:val="auto"/>
              </w:rPr>
            </w:pPr>
            <w:r>
              <w:rPr>
                <w:rFonts w:ascii="Arial" w:cs="Arial" w:eastAsia="Arial" w:hAnsi="Arial"/>
                <w:sz w:val="18"/>
                <w:szCs w:val="18"/>
                <w:color w:val="auto"/>
              </w:rPr>
              <w:t>Name:</w:t>
            </w:r>
          </w:p>
        </w:tc>
        <w:tc>
          <w:tcPr>
            <w:tcW w:w="4580" w:type="dxa"/>
            <w:vAlign w:val="bottom"/>
          </w:tcPr>
          <w:p>
            <w:pPr>
              <w:ind w:left="20"/>
              <w:spacing w:after="0"/>
              <w:rPr>
                <w:sz w:val="20"/>
                <w:szCs w:val="20"/>
                <w:color w:val="auto"/>
              </w:rPr>
            </w:pPr>
            <w:r>
              <w:rPr>
                <w:rFonts w:ascii="Arial" w:cs="Arial" w:eastAsia="Arial" w:hAnsi="Arial"/>
                <w:sz w:val="18"/>
                <w:szCs w:val="18"/>
                <w:color w:val="auto"/>
              </w:rPr>
              <w:t>Paul A. Rode</w:t>
            </w:r>
          </w:p>
        </w:tc>
      </w:tr>
      <w:tr>
        <w:trPr>
          <w:trHeight w:val="270"/>
        </w:trPr>
        <w:tc>
          <w:tcPr>
            <w:tcW w:w="3440" w:type="dxa"/>
            <w:vAlign w:val="bottom"/>
          </w:tcPr>
          <w:p>
            <w:pPr>
              <w:spacing w:after="0"/>
              <w:rPr>
                <w:sz w:val="23"/>
                <w:szCs w:val="23"/>
                <w:color w:val="auto"/>
              </w:rPr>
            </w:pPr>
          </w:p>
        </w:tc>
        <w:tc>
          <w:tcPr>
            <w:tcW w:w="2980" w:type="dxa"/>
            <w:vAlign w:val="bottom"/>
          </w:tcPr>
          <w:p>
            <w:pPr>
              <w:ind w:left="2080"/>
              <w:spacing w:after="0"/>
              <w:rPr>
                <w:sz w:val="20"/>
                <w:szCs w:val="20"/>
                <w:color w:val="auto"/>
              </w:rPr>
            </w:pPr>
            <w:r>
              <w:rPr>
                <w:rFonts w:ascii="Arial" w:cs="Arial" w:eastAsia="Arial" w:hAnsi="Arial"/>
                <w:sz w:val="18"/>
                <w:szCs w:val="18"/>
                <w:color w:val="auto"/>
              </w:rPr>
              <w:t>Title:</w:t>
            </w:r>
          </w:p>
        </w:tc>
        <w:tc>
          <w:tcPr>
            <w:tcW w:w="45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00"/>
          </w:cols>
          <w:pgMar w:left="320" w:top="1440"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337310" cy="651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3731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BellRing Brands Reports Results for the Second Quarter of Fiscal Year 2020; Reaffirms Fiscal Year 2020 Outlook</w:t>
      </w:r>
    </w:p>
    <w:p>
      <w:pPr>
        <w:spacing w:after="0" w:line="139"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St. Louis - May 7, 2020 </w:t>
      </w:r>
      <w:r>
        <w:rPr>
          <w:rFonts w:ascii="Arial" w:cs="Arial" w:eastAsia="Arial" w:hAnsi="Arial"/>
          <w:sz w:val="18"/>
          <w:szCs w:val="18"/>
          <w:color w:val="auto"/>
        </w:rPr>
        <w:t>- BellRing Brands, Inc. (NYSE:BRBR) (“BellRing”), a holding company operating in the global convenient nutrition category,</w:t>
      </w:r>
      <w:r>
        <w:rPr>
          <w:rFonts w:ascii="Arial" w:cs="Arial" w:eastAsia="Arial" w:hAnsi="Arial"/>
          <w:sz w:val="18"/>
          <w:szCs w:val="18"/>
          <w:b w:val="1"/>
          <w:bCs w:val="1"/>
          <w:color w:val="auto"/>
        </w:rPr>
        <w:t xml:space="preserve"> </w:t>
      </w:r>
      <w:r>
        <w:rPr>
          <w:rFonts w:ascii="Arial" w:cs="Arial" w:eastAsia="Arial" w:hAnsi="Arial"/>
          <w:sz w:val="18"/>
          <w:szCs w:val="18"/>
          <w:color w:val="auto"/>
        </w:rPr>
        <w:t>today reported results for the second fiscal quarter ended March 31, 2020.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for the second quarter of fiscal year 2020:</w:t>
      </w:r>
    </w:p>
    <w:p>
      <w:pPr>
        <w:spacing w:after="0" w:line="11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Net sales of $257.5 million</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profit of $35.1 million</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Net earnings available to Class A common stockholders of $4.2 million</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Adjusted EBITDA of $43.4 million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Operating Results</w:t>
      </w:r>
    </w:p>
    <w:p>
      <w:pPr>
        <w:spacing w:after="0" w:line="175" w:lineRule="exact"/>
        <w:rPr>
          <w:sz w:val="20"/>
          <w:szCs w:val="20"/>
          <w:color w:val="auto"/>
        </w:rPr>
      </w:pPr>
    </w:p>
    <w:p>
      <w:pPr>
        <w:jc w:val="both"/>
        <w:ind w:right="100"/>
        <w:spacing w:after="0" w:line="287" w:lineRule="auto"/>
        <w:rPr>
          <w:sz w:val="20"/>
          <w:szCs w:val="20"/>
          <w:color w:val="auto"/>
        </w:rPr>
      </w:pPr>
      <w:r>
        <w:rPr>
          <w:rFonts w:ascii="Arial" w:cs="Arial" w:eastAsia="Arial" w:hAnsi="Arial"/>
          <w:sz w:val="16"/>
          <w:szCs w:val="16"/>
          <w:color w:val="auto"/>
        </w:rPr>
        <w:t xml:space="preserve">Net sales were $257.5 million, an increase of 18.9%, or $41.0 million, compared to the prior year period.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net sales increased 25.8%, with volumes increasing 27.1%, primarily driven by increased purchases resulting from consumer pantry loading in reaction to the COVID-19 pandemic, along with distribution gains for ready-to-drink (“RTD”) protein shakes and incremental promotional activity in the first half of the second quarter of 2019.</w:t>
      </w:r>
    </w:p>
    <w:p>
      <w:pPr>
        <w:spacing w:after="0" w:line="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 xml:space="preserve">Dollar consumption of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protein shakes increased 33% in the 13-week period ended March 28, 2020 as compared to the same period in 2019 (per Nielsen Total US xAOC including Convenience).</w:t>
      </w:r>
    </w:p>
    <w:p>
      <w:pPr>
        <w:spacing w:after="0" w:line="13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i w:val="1"/>
          <w:iCs w:val="1"/>
          <w:color w:val="auto"/>
        </w:rPr>
        <w:t xml:space="preserve">Dymatize </w:t>
      </w:r>
      <w:r>
        <w:rPr>
          <w:rFonts w:ascii="Arial" w:cs="Arial" w:eastAsia="Arial" w:hAnsi="Arial"/>
          <w:sz w:val="16"/>
          <w:szCs w:val="16"/>
          <w:color w:val="auto"/>
        </w:rPr>
        <w:t>net sales declined 2.4%, with volumes up 1.1%, as strong eCommerce sales were offset by declines in international sales (resulting largely from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temporary specialty retail store closures in reaction to the COVID-19 pandemic) and club sales (resulting from lapping prior year promotional activity that did not recur this year).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net sales declined 19.7%, with volumes declining 26.6%, primarily driven by lower international volumes associated with lapping a prior year distribution center transition and planned product discontinuations of certain products in North America.</w:t>
      </w:r>
    </w:p>
    <w:p>
      <w:pPr>
        <w:spacing w:after="0" w:line="103"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Gross profit was $88.2 million, or 34.3% of net sales, an increase of 11.6%, or $9.2 million, compared to the prior year period gross profit of $79.0 million, or 36.5% of net sales. The lower gross margin was primarily driven by anticipated higher input costs (predominantly milk-based proteins for RTD shakes) and incremental promotional activity.</w:t>
      </w:r>
    </w:p>
    <w:p>
      <w:pPr>
        <w:spacing w:after="0" w:line="13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Selling, general and administrative (“SG&amp;A”) expenses were $47.5 million, or 18.4% of net sales, an increase of $14.9 million compared to the prior year period SG&amp;A expenses of $32.6 million, or 15.1% of net sales. The increase was driven by $9.9 million of higher marketing and consumer advertising expenses and $2.7 million of incremental public company costs. SG&amp;A expenses in the second quarter of 2020 and 2019 included $0.3 million and $1.7 million, respectively, of separation costs to effect BellRing’s separation from Post Holdings, Inc. (“Post”) and to support BellRing’s transition into a separate stand-alone publicly-traded entity, which were treated as adjustments for non-GAAP measures.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$35.1 million, a decrease of 14.0%, or $5.7 million, compared to the prior year period operating profit of $40.8 million.</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Interest expense, net was $14.3 million in the second quarter of 2020 and related to debt borrowed in connection with the creation of BellRing’s capital structure in the first quarter of 2020. No interest expense was recorded in the second quarter of 2019.</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Income tax expense was $2.2 million in the second quarter of 2020, an effective income tax rate of 10.6%, compared to $9.8 million in the second quarter of 2019, an effective income tax rate of 24.0%. In the second quarter of 2020, the effective income tax rate differed significantly from the statutory rate primarily as a result of taking into account for U.S. federal, state and local income tax purposes a 28.8% distributive share of the items of income, gain, loss and deduction of BellRing Brands, LLC (“BellRing LLC”).</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5" w:right="339" w:bottom="1440" w:gutter="0" w:footer="0" w:header="0"/>
        </w:sectPr>
      </w:pPr>
    </w:p>
    <w:bookmarkStart w:id="4" w:name="page5"/>
    <w:bookmarkEnd w:id="4"/>
    <w:p>
      <w:pPr>
        <w:spacing w:after="0" w:line="301" w:lineRule="auto"/>
        <w:rPr>
          <w:sz w:val="20"/>
          <w:szCs w:val="20"/>
          <w:color w:val="auto"/>
        </w:rPr>
      </w:pPr>
      <w:r>
        <w:rPr>
          <w:rFonts w:ascii="Arial" w:cs="Arial" w:eastAsia="Arial" w:hAnsi="Arial"/>
          <w:sz w:val="16"/>
          <w:szCs w:val="16"/>
          <w:color w:val="auto"/>
        </w:rPr>
        <w:t>Net earnings available to Class A common stockholders were $4.2 million in the second quarter of 2020 compared to zero in the prior year period. Net earnings available to Class A common stockholders in the second quarter of 2020 excluded $14.4 million of net earnings attributable to the Company’s redeemable noncontrolling interest (“NCI”) compared to $31.0 million excluded in the prior year period. Net earnings per diluted share of Class A common stock were $0.11. Adjusted net earnings available to Class A common stockholders were $4.5 million, or $0.11 per diluted share of Class A common stock.</w:t>
      </w:r>
    </w:p>
    <w:p>
      <w:pPr>
        <w:spacing w:after="0" w:line="10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Adjusted EBITDA was $43.4 million, a decrease of 12.5%, or $6.2 million, compared to the prior year period Adjusted EBITDA of $49.6 million. Adjusted EBITDA in the second quarter of 2020 included an adjustment for the portion of BellRing LLC’s consolidated net earnings which was allocated to NCI, resulting in the calculation of Adjusted EBITDA including 100% of BellRing.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Operating Results</w:t>
      </w:r>
    </w:p>
    <w:p>
      <w:pPr>
        <w:spacing w:after="0" w:line="17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 xml:space="preserve">Net sales were $501.5 million, an increase of 24.7%, or $99.2 million, compared to the prior year period.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net sales increased 34.4%, with volumes increasing 32.2%.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net sales declined 6.3%, with volumes declining 1.4%.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net sales declined 16.3%, with volumes declining 27.4%.</w:t>
      </w:r>
    </w:p>
    <w:p>
      <w:pPr>
        <w:spacing w:after="0" w:line="13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Gross profit was $179.5 million, or 35.8% of net sales, an increase of 24.1%, or $34.9 million, compared to the prior year period gross profit of $144.6 million, or 35.9% of net sales.</w:t>
      </w:r>
    </w:p>
    <w:p>
      <w:pPr>
        <w:spacing w:after="0" w:line="11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SG&amp;A expenses were $84.0 million, or 16.7% of net sales, an increase of $24.2 million compared to the prior year period SG&amp;A expenses of $59.8 million, or 14.9% of net sales, with the increase partially driven by $11.7 million of higher marketing and consumer advertising expenses and $4.8 million of incremental public company costs. SG&amp;A expenses for the six months ended March 31, 2020 and March 31, 2019 included $1.8 million and $2.9 million, respectively, of separation costs to effect BellRing’s separation from Post and to support BellRing’s transition into a separate stand-alone publicly-traded entity, which were treated as adjustments for non-GAAP measures.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$84.4 million, an increase of 14.5%, or $10.7 million, compared to the prior year period operating profit of $73.7 million.</w:t>
      </w:r>
    </w:p>
    <w:p>
      <w:pPr>
        <w:spacing w:after="0" w:line="17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Interest expense, net was $25.9 million in the six months ended March 31, 2020 and related to debt borrowed in connection with the creation of BellRing’s capital structure in the first quarter of 2020. No interest expense was recorded in the six months ended March 31, 2019.</w:t>
      </w:r>
    </w:p>
    <w:p>
      <w:pPr>
        <w:spacing w:after="0" w:line="92"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Income tax expense was $8.1 million in the six months ended March 31, 2020, an effective income tax rate of 13.8%, compared to $17.6 million in the six months ended March 31, 2019, an effective income tax rate of 23.9%. For the six months ended March 31, 2020, the effective income tax rate differed significantly from the statutory rate primarily as a result of taking into account for U.S. federal, state and local income tax purposes a 28.8% distributive share of the items of income, gain, loss and deduction of BellRing LLC in the period subsequent to the initial public offering (the “IPO”).</w:t>
      </w:r>
    </w:p>
    <w:p>
      <w:pPr>
        <w:spacing w:after="0" w:line="103"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Net earnings available to Class A common stockholders were $10.2 million for the six months ended March 31, 2020 compared to zero in the prior year period. Net earnings available to Class A common stockholders for the six months ended March 31, 2020 excluded $40.2 million of net earnings attributable to the Company’s NCI compared to $56.1 million excluded in the prior year period. Net earnings per diluted share of Class A common stock were $0.26. Adjusted net earnings available to Class A common stockholders were $10.9 million, or $0.28 per diluted share of Class A common stock.</w:t>
      </w:r>
    </w:p>
    <w:p>
      <w:pPr>
        <w:spacing w:after="0" w:line="103"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Adjusted EBITDA was $102.0 million, an increase of 12.6%, or $11.4 million, compared to the prior year period Adjusted EBITDA of $90.6 million. Adjusted EBITDA for the six months ended March 31, 2020 included an adjustment for the portion of BellRing LLC’s consolidated net earnings which was allocated to NCI, resulting in the calculation of Adjusted EBITDA including 100% of BellRing.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On October 21, 2019, BellRing closed its IPO of 39.4 million shares of Class A common stock. Upon completion of the IPO and certain transactions completed in connection with the IPO, BellRing became the holding company for BellRing LLC (which became the holding company for Post’s historical active nutrition business (“Active Nutrition”)). Effective October 21, 2019, BellRing allocates a portion of the consolidated net earnings of BellRing LLC to NCI reflecting the entitlement of Post to a portion of the consolidated net earnings. As of March 31, 2020, Post holds 71.2% of the economic interest of BellRing LLC. Prior to October 21, 2019, Post held 100% of the economic interest of BellRing LLC, which was allocated to the NCI.</w:t>
      </w:r>
    </w:p>
    <w:p>
      <w:pPr>
        <w:spacing w:after="0" w:line="10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period prior to the IPO, BellRing’s financial statements present the combined results of Active Nutrition which have been prepared on a stand-alone basis and are derived from the consolidated financial statements and accounting records of Post.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95" w:right="339" w:bottom="1440" w:gutter="0" w:footer="0" w:header="0"/>
        </w:sectPr>
      </w:pPr>
    </w:p>
    <w:bookmarkStart w:id="5" w:name="page6"/>
    <w:bookmarkEnd w:id="5"/>
    <w:p>
      <w:pPr>
        <w:ind w:right="140"/>
        <w:spacing w:after="0" w:line="257" w:lineRule="auto"/>
        <w:rPr>
          <w:sz w:val="20"/>
          <w:szCs w:val="20"/>
          <w:color w:val="auto"/>
        </w:rPr>
      </w:pPr>
      <w:r>
        <w:rPr>
          <w:rFonts w:ascii="Arial" w:cs="Arial" w:eastAsia="Arial" w:hAnsi="Arial"/>
          <w:sz w:val="18"/>
          <w:szCs w:val="18"/>
          <w:color w:val="auto"/>
        </w:rPr>
        <w:t>The combined financial statements reflect the historical results of operations, financial position and cash flows of Active Nutrition and the allocation of certain Post corporate expenses relating to Active Nutrition based on the historical financial statements and accounting records of Post. In the opinion of management, the assumptions underlying the Active Nutrition historical combined financial statements, including the basis on which the expenses have been allocated from Post, were reasonable. However, the allocations may not reflect the expenses that BellRing may have incurred as a separate company for the period presented.</w:t>
      </w:r>
    </w:p>
    <w:p>
      <w:pPr>
        <w:spacing w:after="0" w:line="13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historical financial results in this release for the three and six months ended March 31, 2019 differ from the results of the BellRing Brands segment for the same period reported by Post. Reconciliations between the operating profit and Adjusted EBITDA as reported by BellRing in this release to</w:t>
      </w:r>
    </w:p>
    <w:p>
      <w:pPr>
        <w:ind w:right="20"/>
        <w:spacing w:after="0" w:line="260" w:lineRule="auto"/>
        <w:rPr>
          <w:sz w:val="20"/>
          <w:szCs w:val="20"/>
          <w:color w:val="auto"/>
        </w:rPr>
      </w:pPr>
      <w:r>
        <w:rPr>
          <w:rFonts w:ascii="Arial" w:cs="Arial" w:eastAsia="Arial" w:hAnsi="Arial"/>
          <w:sz w:val="18"/>
          <w:szCs w:val="18"/>
          <w:color w:val="auto"/>
        </w:rPr>
        <w:t>the BellRing Brands segment profit and segment Adjusted EBITDA as reported by Post in Post’s second quarter 2020 earnings release are included later in this release.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Commentary</w:t>
      </w:r>
    </w:p>
    <w:p>
      <w:pPr>
        <w:spacing w:after="0" w:line="17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BellRing is closely monitoring the impact of the COVID-19 pandemic and is taking actions to ensure its ability to safeguard the health of its employees, maintain the continuity of its supply chain to serve customers and manage its financial performance and liquidity. In March 2020, BellRing LLC borrowed $65.0 million under its $200.0 million revolving credit facility. As of March 31, 2020, the available borrowing capacity under the revolving credit facility was $80.0 million. As of April 30, 2020, BellRing had approximately $100 million in cash and cash equivalents on hand.</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BellRing products sold through food, drug and mass, club and eCommerce generally experienced an uplift in sales in the second quarter of fiscal year 2020 primarily driven by consumer pantry loading in reaction to the COVID-19 pandemic. However, there is no guarantee that such increase in sales will continue. Temporary store closures and domestic and international governmental “stay at home” orders put in place to limit the spread of COVID-19 have negatively impacted sales for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products sold in specialty channels.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BellRing management has affirmed its fiscal year 2020 outlook and continues to expect net sales to range between $1.00-$1.05 billion, Adjusted EBITDA to range between $192-$202 million and capital expenditures to be approximately $4 million.</w:t>
      </w:r>
    </w:p>
    <w:p>
      <w:pPr>
        <w:spacing w:after="0" w:line="11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adjustments that could be made for NCI, separation costs and other charges reflected in BellRing’s reconciliation of historical numbers, the amounts of which, based on historical experience, could be significant. For additional information regarding BellRing’s non-GAAP measures, see the related explanations presented under “Use of Non-GAAP Measures.”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Measures</w:t>
      </w:r>
    </w:p>
    <w:p>
      <w:pPr>
        <w:spacing w:after="0" w:line="17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BellRing uses certain non-GAAP measures in this release to supplement the financial measures prepared in accordance with U.S. generally accepted accounting principles (“GAAP”). These non-GAAP measures include Adjusted net earnings available to Class A common stockholders, Adjusted diluted earnings per share of Class A common stock and Adjusted EBITDA. The reconciliation of each of these non-GAAP measures to the most directly comparable GAAP measure is provided later in this release under “Explanation and Reconciliation of Non-GAAP Measures.”</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Management uses certain of these non-GAAP measures, including Adjusted EBITDA, as key metrics in the evaluation of underlying company performance, in making financial, operating and planning decisions and, in part, in the determination of cash bonuses for its executive officers and employees. Additionally, BellRing LLC is required to comply with certain covenants and limitations that are based on variations of EBITDA in BellRing LLC’s financing documents. Management believes the use of these non-GAAP measures provides increased transparency and assists investors in understanding the underlying operating performance of BellRing and in the analysis of ongoing operating trends. Non-GAAP measures are not prepared in accordance with GAAP, as they exclude certain items as described later in this release. These non-GAAP measures may not be comparable to similarly titled measures of other companies. For additional information regarding BellRing’s non-GAAP measures, see the related explanations provided under “Explanation and Reconciliation of Non-GAAP Measures” later in this release.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BellRing Conference Call to Discuss Earnings Results and Outlook</w:t>
      </w:r>
    </w:p>
    <w:p>
      <w:pPr>
        <w:spacing w:after="0" w:line="17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BellRing will host a conference call on Friday, May 8, 2020 at 10:30 a.m. EDT to discuss financial results for the second quarter of fiscal year 2020 and fiscal year 2020 outlook and to respond to questions. Darcy H. Davenport, President and Chief Executive Officer, and Paul A. Rode, Chief Financial Officer, will participate in the call.</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1057" w:right="379" w:bottom="1440" w:gutter="0" w:footer="0" w:header="0"/>
        </w:sectPr>
      </w:pPr>
    </w:p>
    <w:bookmarkStart w:id="6" w:name="page7"/>
    <w:bookmarkEnd w:id="6"/>
    <w:p>
      <w:pPr>
        <w:ind w:right="20"/>
        <w:spacing w:after="0" w:line="263" w:lineRule="auto"/>
        <w:rPr>
          <w:sz w:val="20"/>
          <w:szCs w:val="20"/>
          <w:color w:val="auto"/>
        </w:rPr>
      </w:pPr>
      <w:r>
        <w:rPr>
          <w:rFonts w:ascii="Arial" w:cs="Arial" w:eastAsia="Arial" w:hAnsi="Arial"/>
          <w:sz w:val="18"/>
          <w:szCs w:val="18"/>
          <w:color w:val="auto"/>
        </w:rPr>
        <w:t>Interested parties may join the conference call by dialing (833) 954-1568 in the United States and (409) 216-6583 from outside of the United States. The conference identification number is 7392288. Interested parties are invited to listen to the webcast of the conference call, which can be accessed by visiting the Investor Relations section of BellRing’s website at www.bellring.com.</w:t>
      </w:r>
    </w:p>
    <w:p>
      <w:pPr>
        <w:spacing w:after="0" w:line="13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 replay of the conference call will be available through Friday, May 22, 2020 by dialing (800) 585-8367 in the United States and (404) 537-3406 from outside of the United States and using the conference identification number 7392288. A webcast replay also will be available for a limited period on BellRing’s website in the Investor Relations section.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Prospective Financial Information</w:t>
      </w:r>
    </w:p>
    <w:p>
      <w:pPr>
        <w:spacing w:after="0" w:line="17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Prospective financial information is necessarily speculative in nature, and it can be expected that some or all of the assumptions underlying the prospective financial information described above will not materialize or will vary significantly from actual results. For further discussion of some of the factors that may cause actual results to vary materially from the information provided above, see “Forward-Looking Statements” below. Accordingly, the prospective financial information provided above is only an estimate of what BellRing’s management believes is realizable as of the date of this release. It also should be recognized that the reliability of any forecasted financial data diminishes the farther in the future that the data is forecast. In light of the foregoing, the information should be viewed in context and undue reliance should not be placed upon it.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Certain matters discussed in this release and on BellRing’s conference call are forward-looking statements, including BellRing’s net sales, Adjusted EBITDA and capital expenditures outlook for fiscal year 2020 and statements regarding the effect of the COVID-19 pandemic on BellRing’s business and BellRing’s continuing response to the COVID-19 pandemic.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and include all statements regarding future performance, earnings projections, events or developments. There are a number of risks and uncertainties that could cause actual results to differ materially from the forward-looking statements made herein. These risks and uncertainties include, but are not limited to, the following:</w:t>
      </w:r>
    </w:p>
    <w:p>
      <w:pPr>
        <w:spacing w:after="0" w:line="2" w:lineRule="exact"/>
        <w:rPr>
          <w:sz w:val="20"/>
          <w:szCs w:val="20"/>
          <w:color w:val="auto"/>
        </w:rPr>
      </w:pPr>
    </w:p>
    <w:p>
      <w:pPr>
        <w:ind w:left="660" w:right="14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including negative impacts on the global economy and capital markets, BellRing’s ability and the ability of its third party manufacturers to manufacture and deliver its products, its supply chain and its operations generally;</w:t>
      </w:r>
    </w:p>
    <w:p>
      <w:pPr>
        <w:jc w:val="both"/>
        <w:ind w:left="660" w:right="4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or inefficiencies in the supply chain, including as a result of BellRing’s reliance on third party suppliers or manufacturers for the manufacturing of many of its products, pandemics, changes in weather conditions, natural disasters, agricultural diseases and pests and other events beyond BellRing’s control;</w:t>
      </w:r>
    </w:p>
    <w:p>
      <w:pPr>
        <w:spacing w:after="0" w:line="1" w:lineRule="exact"/>
        <w:rPr>
          <w:rFonts w:ascii="Arial" w:cs="Arial" w:eastAsia="Arial" w:hAnsi="Arial"/>
          <w:sz w:val="18"/>
          <w:szCs w:val="18"/>
          <w:color w:val="auto"/>
        </w:rPr>
      </w:pPr>
    </w:p>
    <w:p>
      <w:pPr>
        <w:ind w:left="660" w:right="28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volatility in the costs or availability of certain commodities (including raw materials and packaging used to manufacture BellRing’s products), higher freight costs or higher energy costs;</w:t>
      </w: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economic conditions, disruptions in the United States and global capital and credit markets, changes in interest rates and fluctuations in foreign currency exchange rates;</w:t>
      </w: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BellRing’s ability to attract key employees, loss of key employees, employee absenteeism, labor strikes, work stoppages or unionization efforts;</w:t>
      </w:r>
    </w:p>
    <w:p>
      <w:pPr>
        <w:spacing w:after="0" w:line="32" w:lineRule="exact"/>
        <w:rPr>
          <w:rFonts w:ascii="Arial" w:cs="Arial" w:eastAsia="Arial" w:hAnsi="Arial"/>
          <w:sz w:val="16"/>
          <w:szCs w:val="16"/>
          <w:color w:val="auto"/>
        </w:rPr>
      </w:pPr>
    </w:p>
    <w:p>
      <w:pPr>
        <w:ind w:left="660" w:right="60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BellRing’s high leverage, its ability to obtain additional financing (including both secured and unsecured debt) and its ability to service its outstanding debt (including covenants that restrict the operation of BellRing’s business);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BellRing’s dependence on sales from its RTD protein shakes;</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BellRing’s dependence on a limited number of third party contract manufacturers and suppliers for the manufacturing of most of its products, including one manufacturer for the substantial majority of its RTD protein shakes;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BellRing’s operation in a category with strong 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BellRing’s reliance on a limited number of third party suppliers to provide certain ingredients and packaging;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consolidation in BellRing’s distribution channels;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BellRing’s ability to anticipate and respond to changes in consumer and customer preferences and trends and to introduce new products;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BellRing’s ability to maintain favorable perceptions of its brands;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BellRing’s ability to expand existing market penetration and enter into new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allegations that BellRing’s products cause injury or illness, product recalls and withdrawals and product liability claims and other litigation;</w:t>
      </w:r>
    </w:p>
    <w:p>
      <w:pPr>
        <w:spacing w:after="0" w:line="20" w:lineRule="exact"/>
        <w:rPr>
          <w:rFonts w:ascii="Arial" w:cs="Arial" w:eastAsia="Arial" w:hAnsi="Arial"/>
          <w:sz w:val="17"/>
          <w:szCs w:val="17"/>
          <w:color w:val="auto"/>
        </w:rPr>
      </w:pPr>
    </w:p>
    <w:p>
      <w:pPr>
        <w:ind w:left="660" w:right="620" w:hanging="328"/>
        <w:spacing w:after="0" w:line="290"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legal and regulatory factors, such as compliance with existing laws and regulations and changes to and new laws and regulations affecting BellRing’s business, including current and future laws and regulations regarding food safety and advertising;</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895" w:right="379" w:bottom="1440" w:gutter="0" w:footer="0" w:header="0"/>
        </w:sectPr>
      </w:pPr>
    </w:p>
    <w:bookmarkStart w:id="7" w:name="page8"/>
    <w:bookmarkEnd w:id="7"/>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BellRing’s ability to manage its growth and to identify, complete and integrate any acquisitions or other strategic transactions;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BellRing’s business due to changes in its promotional activities and seasonality;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BellRing’s international business;</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BellRing’s ongoing relationship with Post, including Post’s control over BellRing and ability to control the direction of BellRing’s business, conflicts of interest or disputes that may arise between Post and BellRing and BellRing’s obligations under various agreements with Post, including under the tax receivable agreement;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a significant reduction of purchases by or the bankruptcy of a major customer;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ultimate impact litigation or other regulatory matters may have on BellRing;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accuracy of BellRing’s market data and attributes and related information;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downturns that limit customer and consumer demand for BellRing’s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BellRing’s ability to protect its intellectual property and other assets;</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business disruptions and reputational damage associated with information technology failures, cybersecurity incidents and/or information security breaches;</w:t>
      </w:r>
    </w:p>
    <w:p>
      <w:pPr>
        <w:ind w:left="660" w:right="220" w:hanging="328"/>
        <w:spacing w:after="0" w:line="265"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associated with BellRing’s public company status, including BellRing’s ability to operate as a separate public company following the IPO and the additional expenses BellRing will incur to create the corporate infrastructure to operate as a public company;</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estimates in critical accounting judgments;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 in the carrying value of goodwill or other intangibles;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differences in BellRing’s actual operating results from any guidance BellRing may give regarding its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BellRing’s ability to satisfy the requirements of Section 404 of the Sarbanes-Oxley Act of 2002;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described in BellRing’s filings with the Securities and Exchange Commission.</w:t>
      </w:r>
    </w:p>
    <w:p>
      <w:pPr>
        <w:spacing w:after="0" w:line="15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These forward-looking statements represent BellRing’s judgment as of the date of this release. BellRing disclaims, however, any intent or obligation to update these forward-looking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BellRing Brands, Inc.</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BellRing Brands, Inc. is a rapidly growing leader in the global convenient nutrition category. Its primary brands, Premier Protein®, Dymatize® and PowerBar®, appeal to a broad range of consumers across all major product forms, including ready-to-drink protein shakes, powders and nutrition bars, and are distributed across a diverse network of channels including club, food, drug, mass, eCommerce, specialty and convenience. BellRing’s commitment to consumers is to strive to make highly effective products that deliver best-in-class nutritionals and superior taste. For more information, visit www.bellring.com.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Meyer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jennifer.meyer@bellringbrands.com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 644-7665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Lisa Hanly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lisa.hanly@bellringbrands.com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 665-3180</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320" w:top="895" w:right="39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 xml:space="preserve">CONDENSED CONSOLIDATED STATEMENTS OF OPERATIONS </w:t>
      </w:r>
      <w:r>
        <w:rPr>
          <w:rFonts w:ascii="Arial" w:cs="Arial" w:eastAsia="Arial" w:hAnsi="Arial"/>
          <w:sz w:val="16"/>
          <w:szCs w:val="16"/>
          <w:b w:val="1"/>
          <w:bCs w:val="1"/>
          <w:color w:val="auto"/>
        </w:rPr>
        <w:t>(Unaudited)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 except for per share data)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gridSpan w:val="6"/>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4"/>
          </w:tcPr>
          <w:p>
            <w:pPr>
              <w:jc w:val="center"/>
              <w:ind w:right="150"/>
              <w:spacing w:after="0"/>
              <w:rPr>
                <w:sz w:val="20"/>
                <w:szCs w:val="20"/>
                <w:color w:val="auto"/>
              </w:rPr>
            </w:pPr>
            <w:r>
              <w:rPr>
                <w:rFonts w:ascii="Arial" w:cs="Arial" w:eastAsia="Arial" w:hAnsi="Arial"/>
                <w:sz w:val="16"/>
                <w:szCs w:val="16"/>
                <w:b w:val="1"/>
                <w:bCs w:val="1"/>
                <w:color w:val="auto"/>
                <w:w w:val="92"/>
              </w:rPr>
              <w:t>Six Months Ended</w:t>
            </w:r>
          </w:p>
        </w:tc>
      </w:tr>
      <w:tr>
        <w:trPr>
          <w:trHeight w:val="210"/>
        </w:trPr>
        <w:tc>
          <w:tcPr>
            <w:tcW w:w="5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center"/>
              <w:ind w:left="392"/>
              <w:spacing w:after="0"/>
              <w:rPr>
                <w:sz w:val="20"/>
                <w:szCs w:val="20"/>
                <w:color w:val="auto"/>
              </w:rPr>
            </w:pPr>
            <w:r>
              <w:rPr>
                <w:rFonts w:ascii="Arial" w:cs="Arial" w:eastAsia="Arial" w:hAnsi="Arial"/>
                <w:sz w:val="16"/>
                <w:szCs w:val="16"/>
                <w:b w:val="1"/>
                <w:bCs w:val="1"/>
                <w:color w:val="auto"/>
                <w:w w:val="97"/>
              </w:rPr>
              <w:t>March 31,</w:t>
            </w:r>
          </w:p>
        </w:tc>
        <w:tc>
          <w:tcPr>
            <w:tcW w:w="720" w:type="dxa"/>
            <w:vAlign w:val="bottom"/>
          </w:tcPr>
          <w:p>
            <w:pPr>
              <w:spacing w:after="0"/>
              <w:rPr>
                <w:sz w:val="18"/>
                <w:szCs w:val="18"/>
                <w:color w:val="auto"/>
              </w:rPr>
            </w:pPr>
          </w:p>
        </w:tc>
      </w:tr>
      <w:tr>
        <w:trPr>
          <w:trHeight w:val="33"/>
        </w:trPr>
        <w:tc>
          <w:tcPr>
            <w:tcW w:w="5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5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252"/>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ind w:right="250"/>
              <w:spacing w:after="0"/>
              <w:rPr>
                <w:sz w:val="20"/>
                <w:szCs w:val="20"/>
                <w:color w:val="auto"/>
              </w:rPr>
            </w:pPr>
            <w:r>
              <w:rPr>
                <w:rFonts w:ascii="Arial" w:cs="Arial" w:eastAsia="Arial" w:hAnsi="Arial"/>
                <w:sz w:val="16"/>
                <w:szCs w:val="16"/>
                <w:b w:val="1"/>
                <w:bCs w:val="1"/>
                <w:color w:val="auto"/>
                <w:w w:val="95"/>
              </w:rPr>
              <w:t>2019</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52"/>
              <w:spacing w:after="0"/>
              <w:rPr>
                <w:sz w:val="20"/>
                <w:szCs w:val="20"/>
                <w:color w:val="auto"/>
              </w:rPr>
            </w:pPr>
            <w:r>
              <w:rPr>
                <w:rFonts w:ascii="Arial" w:cs="Arial" w:eastAsia="Arial" w:hAnsi="Arial"/>
                <w:sz w:val="16"/>
                <w:szCs w:val="16"/>
                <w:b w:val="1"/>
                <w:bCs w:val="1"/>
                <w:color w:val="auto"/>
              </w:rPr>
              <w:t>2020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250"/>
              <w:spacing w:after="0"/>
              <w:rPr>
                <w:sz w:val="20"/>
                <w:szCs w:val="20"/>
                <w:color w:val="auto"/>
              </w:rPr>
            </w:pPr>
            <w:r>
              <w:rPr>
                <w:rFonts w:ascii="Arial" w:cs="Arial" w:eastAsia="Arial" w:hAnsi="Arial"/>
                <w:sz w:val="16"/>
                <w:szCs w:val="16"/>
                <w:b w:val="1"/>
                <w:bCs w:val="1"/>
                <w:color w:val="auto"/>
              </w:rPr>
              <w:t>2019</w:t>
            </w:r>
          </w:p>
        </w:tc>
      </w:tr>
      <w:tr>
        <w:trPr>
          <w:trHeight w:val="33"/>
        </w:trPr>
        <w:tc>
          <w:tcPr>
            <w:tcW w:w="5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257.5</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216.5</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501.5</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402.3</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169.3</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137.5</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322.0</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257.7</w:t>
            </w:r>
          </w:p>
        </w:tc>
      </w:tr>
      <w:tr>
        <w:trPr>
          <w:trHeight w:val="27"/>
        </w:trPr>
        <w:tc>
          <w:tcPr>
            <w:tcW w:w="5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88.2</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79.0</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179.5</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144.6</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47.5</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32.6</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84.0</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59.8</w:t>
            </w:r>
          </w:p>
        </w:tc>
      </w:tr>
      <w:tr>
        <w:trPr>
          <w:trHeight w:val="27"/>
        </w:trPr>
        <w:tc>
          <w:tcPr>
            <w:tcW w:w="5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1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w:t>
            </w: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11.1</w:t>
            </w:r>
          </w:p>
        </w:tc>
        <w:tc>
          <w:tcPr>
            <w:tcW w:w="2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11.1</w:t>
            </w: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Operating Profit</w:t>
            </w:r>
          </w:p>
        </w:tc>
        <w:tc>
          <w:tcPr>
            <w:tcW w:w="12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35.1</w:t>
            </w:r>
          </w:p>
        </w:tc>
        <w:tc>
          <w:tcPr>
            <w:tcW w:w="2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40.8</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84.4</w:t>
            </w:r>
          </w:p>
        </w:tc>
        <w:tc>
          <w:tcPr>
            <w:tcW w:w="2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73.7</w:t>
            </w:r>
          </w:p>
        </w:tc>
      </w:tr>
      <w:tr>
        <w:trPr>
          <w:trHeight w:val="27"/>
        </w:trPr>
        <w:tc>
          <w:tcPr>
            <w:tcW w:w="5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14.3</w:t>
            </w:r>
          </w:p>
        </w:tc>
        <w:tc>
          <w:tcPr>
            <w:tcW w:w="2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25.9</w:t>
            </w:r>
          </w:p>
        </w:tc>
        <w:tc>
          <w:tcPr>
            <w:tcW w:w="2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Earnings before Income Taxes</w:t>
            </w:r>
          </w:p>
        </w:tc>
        <w:tc>
          <w:tcPr>
            <w:tcW w:w="12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20.8</w:t>
            </w:r>
          </w:p>
        </w:tc>
        <w:tc>
          <w:tcPr>
            <w:tcW w:w="2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40.8</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58.5</w:t>
            </w:r>
          </w:p>
        </w:tc>
        <w:tc>
          <w:tcPr>
            <w:tcW w:w="2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73.7</w:t>
            </w:r>
          </w:p>
        </w:tc>
      </w:tr>
      <w:tr>
        <w:trPr>
          <w:trHeight w:val="27"/>
        </w:trPr>
        <w:tc>
          <w:tcPr>
            <w:tcW w:w="5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w:t>
            </w: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8.1</w:t>
            </w:r>
          </w:p>
        </w:tc>
        <w:tc>
          <w:tcPr>
            <w:tcW w:w="2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17.6</w:t>
            </w: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w w:val="99"/>
              </w:rPr>
              <w:t>Net Earnings Including Redeemable Noncontrolling Interest</w:t>
            </w:r>
          </w:p>
        </w:tc>
        <w:tc>
          <w:tcPr>
            <w:tcW w:w="12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31.0</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50.4</w:t>
            </w:r>
          </w:p>
        </w:tc>
        <w:tc>
          <w:tcPr>
            <w:tcW w:w="2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56.1</w:t>
            </w:r>
          </w:p>
        </w:tc>
      </w:tr>
      <w:tr>
        <w:trPr>
          <w:trHeight w:val="27"/>
        </w:trPr>
        <w:tc>
          <w:tcPr>
            <w:tcW w:w="5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Less: Net earnings attributable to redeemable noncontrolling interest</w:t>
            </w:r>
          </w:p>
        </w:tc>
        <w:tc>
          <w:tcPr>
            <w:tcW w:w="1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14.4</w:t>
            </w:r>
          </w:p>
        </w:tc>
        <w:tc>
          <w:tcPr>
            <w:tcW w:w="2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31.0</w:t>
            </w: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40.2</w:t>
            </w:r>
          </w:p>
        </w:tc>
        <w:tc>
          <w:tcPr>
            <w:tcW w:w="2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56.1</w:t>
            </w:r>
          </w:p>
        </w:tc>
      </w:tr>
      <w:tr>
        <w:trPr>
          <w:trHeight w:val="26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Net Earnings Available to Class A Common Stockholders</w:t>
            </w:r>
          </w:p>
        </w:tc>
        <w:tc>
          <w:tcPr>
            <w:tcW w:w="122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gridSpan w:val="2"/>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3"/>
        </w:trPr>
        <w:tc>
          <w:tcPr>
            <w:tcW w:w="5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Earnings per share of Class A Common Stock:</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0.11</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0.26</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Diluted</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0.26</w:t>
            </w:r>
          </w:p>
        </w:tc>
        <w:tc>
          <w:tcPr>
            <w:tcW w:w="2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6"/>
        </w:trPr>
        <w:tc>
          <w:tcPr>
            <w:tcW w:w="5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w w:val="89"/>
              </w:rPr>
              <w:t>Weighted-Average Shares of Class A Common Stock Outstanding:</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39.4</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39.4</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Diluted</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39.5</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39.4</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715"/>
        </w:trPr>
        <w:tc>
          <w:tcPr>
            <w:tcW w:w="8920" w:type="dxa"/>
            <w:vAlign w:val="bottom"/>
            <w:gridSpan w:val="10"/>
          </w:tcPr>
          <w:p>
            <w:pPr>
              <w:jc w:val="center"/>
              <w:ind w:left="2111"/>
              <w:spacing w:after="0"/>
              <w:rPr>
                <w:sz w:val="20"/>
                <w:szCs w:val="20"/>
                <w:color w:val="auto"/>
              </w:rPr>
            </w:pPr>
            <w:r>
              <w:rPr>
                <w:rFonts w:ascii="Arial" w:cs="Arial" w:eastAsia="Arial" w:hAnsi="Arial"/>
                <w:sz w:val="16"/>
                <w:szCs w:val="16"/>
                <w:b w:val="1"/>
                <w:bCs w:val="1"/>
                <w:color w:val="auto"/>
              </w:rPr>
              <w:t>RECONCILIATION OF OPERATING PROFIT, AS REPORTED BY BELLRING,</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9"/>
        </w:trPr>
        <w:tc>
          <w:tcPr>
            <w:tcW w:w="8920" w:type="dxa"/>
            <w:vAlign w:val="bottom"/>
            <w:gridSpan w:val="10"/>
          </w:tcPr>
          <w:p>
            <w:pPr>
              <w:jc w:val="center"/>
              <w:ind w:left="2111"/>
              <w:spacing w:after="0"/>
              <w:rPr>
                <w:sz w:val="20"/>
                <w:szCs w:val="20"/>
                <w:color w:val="auto"/>
              </w:rPr>
            </w:pPr>
            <w:r>
              <w:rPr>
                <w:rFonts w:ascii="Arial" w:cs="Arial" w:eastAsia="Arial" w:hAnsi="Arial"/>
                <w:sz w:val="16"/>
                <w:szCs w:val="16"/>
                <w:b w:val="1"/>
                <w:bCs w:val="1"/>
                <w:color w:val="auto"/>
                <w:w w:val="99"/>
              </w:rPr>
              <w:t>TO BELLRING BRANDS SEGMENT PROFIT, AS REPORTED BY POST (Unaudited)</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0"/>
        </w:trPr>
        <w:tc>
          <w:tcPr>
            <w:tcW w:w="5120" w:type="dxa"/>
            <w:vAlign w:val="bottom"/>
          </w:tcPr>
          <w:p>
            <w:pPr>
              <w:spacing w:after="0"/>
              <w:rPr>
                <w:sz w:val="18"/>
                <w:szCs w:val="18"/>
                <w:color w:val="auto"/>
              </w:rPr>
            </w:pPr>
          </w:p>
        </w:tc>
        <w:tc>
          <w:tcPr>
            <w:tcW w:w="1480" w:type="dxa"/>
            <w:vAlign w:val="bottom"/>
            <w:gridSpan w:val="3"/>
          </w:tcPr>
          <w:p>
            <w:pPr>
              <w:jc w:val="center"/>
              <w:ind w:right="600"/>
              <w:spacing w:after="0"/>
              <w:rPr>
                <w:sz w:val="20"/>
                <w:szCs w:val="20"/>
                <w:color w:val="auto"/>
              </w:rPr>
            </w:pPr>
            <w:r>
              <w:rPr>
                <w:rFonts w:ascii="Arial" w:cs="Arial" w:eastAsia="Arial" w:hAnsi="Arial"/>
                <w:sz w:val="16"/>
                <w:szCs w:val="16"/>
                <w:b w:val="1"/>
                <w:bCs w:val="1"/>
                <w:color w:val="auto"/>
                <w:w w:val="93"/>
              </w:rPr>
              <w:t>(in millions)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5"/>
        </w:trPr>
        <w:tc>
          <w:tcPr>
            <w:tcW w:w="5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gridSpan w:val="6"/>
          </w:tcPr>
          <w:p>
            <w:pPr>
              <w:jc w:val="center"/>
              <w:ind w:right="520"/>
              <w:spacing w:after="0"/>
              <w:rPr>
                <w:sz w:val="20"/>
                <w:szCs w:val="20"/>
                <w:color w:val="auto"/>
              </w:rPr>
            </w:pPr>
            <w:r>
              <w:rPr>
                <w:rFonts w:ascii="Arial" w:cs="Arial" w:eastAsia="Arial" w:hAnsi="Arial"/>
                <w:sz w:val="16"/>
                <w:szCs w:val="16"/>
                <w:b w:val="1"/>
                <w:bCs w:val="1"/>
                <w:color w:val="auto"/>
                <w:w w:val="93"/>
              </w:rPr>
              <w:t>Three Months Ended</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4"/>
          </w:tcPr>
          <w:p>
            <w:pPr>
              <w:jc w:val="center"/>
              <w:ind w:right="110"/>
              <w:spacing w:after="0"/>
              <w:rPr>
                <w:sz w:val="20"/>
                <w:szCs w:val="20"/>
                <w:color w:val="auto"/>
              </w:rPr>
            </w:pPr>
            <w:r>
              <w:rPr>
                <w:rFonts w:ascii="Arial" w:cs="Arial" w:eastAsia="Arial" w:hAnsi="Arial"/>
                <w:sz w:val="16"/>
                <w:szCs w:val="16"/>
                <w:b w:val="1"/>
                <w:bCs w:val="1"/>
                <w:color w:val="auto"/>
                <w:w w:val="92"/>
              </w:rPr>
              <w:t>Six Months Ended</w:t>
            </w:r>
          </w:p>
        </w:tc>
      </w:tr>
      <w:tr>
        <w:trPr>
          <w:trHeight w:val="210"/>
        </w:trPr>
        <w:tc>
          <w:tcPr>
            <w:tcW w:w="5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20" w:type="dxa"/>
            <w:vAlign w:val="bottom"/>
            <w:gridSpan w:val="6"/>
          </w:tcPr>
          <w:p>
            <w:pPr>
              <w:jc w:val="center"/>
              <w:ind w:right="520"/>
              <w:spacing w:after="0"/>
              <w:rPr>
                <w:sz w:val="20"/>
                <w:szCs w:val="20"/>
                <w:color w:val="auto"/>
              </w:rPr>
            </w:pPr>
            <w:r>
              <w:rPr>
                <w:rFonts w:ascii="Arial" w:cs="Arial" w:eastAsia="Arial" w:hAnsi="Arial"/>
                <w:sz w:val="16"/>
                <w:szCs w:val="16"/>
                <w:b w:val="1"/>
                <w:bCs w:val="1"/>
                <w:color w:val="auto"/>
                <w:w w:val="94"/>
              </w:rPr>
              <w:t>March 31, 2019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4"/>
          </w:tcPr>
          <w:p>
            <w:pPr>
              <w:jc w:val="center"/>
              <w:ind w:right="110"/>
              <w:spacing w:after="0"/>
              <w:rPr>
                <w:sz w:val="20"/>
                <w:szCs w:val="20"/>
                <w:color w:val="auto"/>
              </w:rPr>
            </w:pPr>
            <w:r>
              <w:rPr>
                <w:rFonts w:ascii="Arial" w:cs="Arial" w:eastAsia="Arial" w:hAnsi="Arial"/>
                <w:sz w:val="16"/>
                <w:szCs w:val="16"/>
                <w:b w:val="1"/>
                <w:bCs w:val="1"/>
                <w:color w:val="auto"/>
                <w:w w:val="94"/>
              </w:rPr>
              <w:t>March 31, 2019</w:t>
            </w:r>
          </w:p>
        </w:tc>
      </w:tr>
      <w:tr>
        <w:trPr>
          <w:trHeight w:val="33"/>
        </w:trPr>
        <w:tc>
          <w:tcPr>
            <w:tcW w:w="5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 as reported by BellRing</w:t>
            </w:r>
          </w:p>
        </w:tc>
        <w:tc>
          <w:tcPr>
            <w:tcW w:w="14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73.7</w:t>
            </w:r>
          </w:p>
        </w:tc>
      </w:tr>
      <w:tr>
        <w:trPr>
          <w:trHeight w:val="270"/>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Allocated costs </w:t>
            </w:r>
            <w:r>
              <w:rPr>
                <w:rFonts w:ascii="Arial" w:cs="Arial" w:eastAsia="Arial" w:hAnsi="Arial"/>
                <w:sz w:val="23"/>
                <w:szCs w:val="23"/>
                <w:color w:val="auto"/>
                <w:vertAlign w:val="superscript"/>
              </w:rPr>
              <w:t>(1)</w:t>
            </w:r>
          </w:p>
        </w:tc>
        <w:tc>
          <w:tcPr>
            <w:tcW w:w="12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w:t>
            </w:r>
          </w:p>
        </w:tc>
        <w:tc>
          <w:tcPr>
            <w:tcW w:w="40" w:type="dxa"/>
            <w:vAlign w:val="bottom"/>
            <w:tcBorders>
              <w:bottom w:val="single" w:sz="8" w:color="auto"/>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5.5</w:t>
            </w:r>
          </w:p>
        </w:tc>
      </w:tr>
      <w:tr>
        <w:trPr>
          <w:trHeight w:val="28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BellRing Brands segment profit, as reported by Post</w:t>
            </w:r>
          </w:p>
        </w:tc>
        <w:tc>
          <w:tcPr>
            <w:tcW w:w="1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44.0</w:t>
            </w: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79.2</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20" w:right="280" w:hanging="7"/>
        <w:spacing w:after="0" w:line="216" w:lineRule="auto"/>
        <w:tabs>
          <w:tab w:leader="none" w:pos="201" w:val="left"/>
        </w:tabs>
        <w:numPr>
          <w:ilvl w:val="0"/>
          <w:numId w:val="5"/>
        </w:numPr>
        <w:rPr>
          <w:rFonts w:ascii="Arial" w:cs="Arial" w:eastAsia="Arial" w:hAnsi="Arial"/>
          <w:sz w:val="22"/>
          <w:szCs w:val="22"/>
          <w:color w:val="auto"/>
          <w:vertAlign w:val="superscript"/>
        </w:rPr>
      </w:pPr>
      <w:r>
        <w:rPr>
          <w:rFonts w:ascii="Arial" w:cs="Arial" w:eastAsia="Arial" w:hAnsi="Arial"/>
          <w:sz w:val="17"/>
          <w:szCs w:val="17"/>
          <w:color w:val="auto"/>
        </w:rPr>
        <w:t>Allocated costs are general and administrative costs that are attributable to BellRing and have been allocated by Post to BellRing. BellRing includes these costs in its SG&amp;A expenses and Operating Profit measures in its Condensed Consolidated Statement of Operations. Post classifies these costs as unallocated corporate expenses, which are reported by Post in general corporate expenses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80" w:top="891" w:right="37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2020</w:t>
            </w:r>
          </w:p>
        </w:tc>
        <w:tc>
          <w:tcPr>
            <w:tcW w:w="220" w:type="dxa"/>
            <w:vAlign w:val="bottom"/>
          </w:tcPr>
          <w:p>
            <w:pPr>
              <w:spacing w:after="0"/>
              <w:rPr>
                <w:sz w:val="18"/>
                <w:szCs w:val="18"/>
                <w:color w:val="auto"/>
              </w:rPr>
            </w:pPr>
          </w:p>
        </w:tc>
        <w:tc>
          <w:tcPr>
            <w:tcW w:w="1640" w:type="dxa"/>
            <w:vAlign w:val="bottom"/>
          </w:tcPr>
          <w:p>
            <w:pPr>
              <w:jc w:val="right"/>
              <w:ind w:right="171"/>
              <w:spacing w:after="0"/>
              <w:rPr>
                <w:sz w:val="20"/>
                <w:szCs w:val="20"/>
                <w:color w:val="auto"/>
              </w:rPr>
            </w:pPr>
            <w:r>
              <w:rPr>
                <w:rFonts w:ascii="Arial" w:cs="Arial" w:eastAsia="Arial" w:hAnsi="Arial"/>
                <w:sz w:val="16"/>
                <w:szCs w:val="16"/>
                <w:b w:val="1"/>
                <w:bCs w:val="1"/>
                <w:color w:val="auto"/>
                <w:w w:val="90"/>
              </w:rPr>
              <w:t>September 30, 2019</w:t>
            </w:r>
          </w:p>
        </w:tc>
      </w:tr>
      <w:tr>
        <w:trPr>
          <w:trHeight w:val="33"/>
        </w:trPr>
        <w:tc>
          <w:tcPr>
            <w:tcW w:w="378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71"/>
        </w:trPr>
        <w:tc>
          <w:tcPr>
            <w:tcW w:w="3780" w:type="dxa"/>
            <w:vAlign w:val="bottom"/>
            <w:tcBorders>
              <w:bottom w:val="single" w:sz="8" w:color="CCEEFF"/>
            </w:tcBorders>
            <w:shd w:val="clear" w:color="auto" w:fill="CCEEFF"/>
          </w:tcPr>
          <w:p>
            <w:pPr>
              <w:spacing w:after="0"/>
              <w:rPr>
                <w:sz w:val="23"/>
                <w:szCs w:val="23"/>
                <w:color w:val="auto"/>
              </w:rPr>
            </w:pPr>
          </w:p>
        </w:tc>
        <w:tc>
          <w:tcPr>
            <w:tcW w:w="3660" w:type="dxa"/>
            <w:vAlign w:val="bottom"/>
            <w:tcBorders>
              <w:bottom w:val="single" w:sz="8" w:color="CCEEFF"/>
            </w:tcBorders>
            <w:gridSpan w:val="2"/>
            <w:shd w:val="clear" w:color="auto" w:fill="CCEEFF"/>
          </w:tcPr>
          <w:p>
            <w:pPr>
              <w:jc w:val="right"/>
              <w:ind w:right="1410"/>
              <w:spacing w:after="0"/>
              <w:rPr>
                <w:sz w:val="20"/>
                <w:szCs w:val="20"/>
                <w:color w:val="auto"/>
              </w:rPr>
            </w:pPr>
            <w:r>
              <w:rPr>
                <w:rFonts w:ascii="Arial" w:cs="Arial" w:eastAsia="Arial" w:hAnsi="Arial"/>
                <w:sz w:val="16"/>
                <w:szCs w:val="16"/>
                <w:b w:val="1"/>
                <w:bCs w:val="1"/>
                <w:color w:val="auto"/>
              </w:rPr>
              <w:t>ASSETS</w:t>
            </w:r>
          </w:p>
        </w:tc>
        <w:tc>
          <w:tcPr>
            <w:tcW w:w="15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spacing w:after="0"/>
              <w:rPr>
                <w:sz w:val="23"/>
                <w:szCs w:val="23"/>
                <w:color w:val="auto"/>
              </w:rPr>
            </w:pP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6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76.7</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w:t>
            </w:r>
          </w:p>
        </w:tc>
      </w:tr>
      <w:tr>
        <w:trPr>
          <w:trHeight w:val="243"/>
        </w:trPr>
        <w:tc>
          <w:tcPr>
            <w:tcW w:w="3780" w:type="dxa"/>
            <w:vAlign w:val="bottom"/>
          </w:tcPr>
          <w:p>
            <w:pPr>
              <w:ind w:left="160"/>
              <w:spacing w:after="0"/>
              <w:rPr>
                <w:sz w:val="20"/>
                <w:szCs w:val="20"/>
                <w:color w:val="auto"/>
              </w:rPr>
            </w:pPr>
            <w:r>
              <w:rPr>
                <w:rFonts w:ascii="Arial" w:cs="Arial" w:eastAsia="Arial" w:hAnsi="Arial"/>
                <w:sz w:val="18"/>
                <w:szCs w:val="18"/>
                <w:color w:val="auto"/>
              </w:rPr>
              <w:t>Receivables, net</w:t>
            </w:r>
          </w:p>
        </w:tc>
        <w:tc>
          <w:tcPr>
            <w:tcW w:w="3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111.2</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68.4</w:t>
            </w:r>
          </w:p>
        </w:tc>
      </w:tr>
      <w:tr>
        <w:trPr>
          <w:trHeight w:val="27"/>
        </w:trPr>
        <w:tc>
          <w:tcPr>
            <w:tcW w:w="37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3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151.2</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138.2</w:t>
            </w:r>
          </w:p>
        </w:tc>
      </w:tr>
      <w:tr>
        <w:trPr>
          <w:trHeight w:val="243"/>
        </w:trPr>
        <w:tc>
          <w:tcPr>
            <w:tcW w:w="378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7.4</w:t>
            </w:r>
          </w:p>
        </w:tc>
      </w:tr>
      <w:tr>
        <w:trPr>
          <w:trHeight w:val="27"/>
        </w:trPr>
        <w:tc>
          <w:tcPr>
            <w:tcW w:w="378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3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Current Assets</w:t>
            </w:r>
          </w:p>
        </w:tc>
        <w:tc>
          <w:tcPr>
            <w:tcW w:w="3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349.5</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219.5</w:t>
            </w:r>
          </w:p>
        </w:tc>
      </w:tr>
      <w:tr>
        <w:trPr>
          <w:trHeight w:val="216"/>
        </w:trPr>
        <w:tc>
          <w:tcPr>
            <w:tcW w:w="3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net</w:t>
            </w:r>
          </w:p>
        </w:tc>
        <w:tc>
          <w:tcPr>
            <w:tcW w:w="3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10.3</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11.7</w:t>
            </w: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Goodwill</w:t>
            </w:r>
          </w:p>
        </w:tc>
        <w:tc>
          <w:tcPr>
            <w:tcW w:w="3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65.9</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65.9</w:t>
            </w:r>
          </w:p>
        </w:tc>
      </w:tr>
      <w:tr>
        <w:trPr>
          <w:trHeight w:val="27"/>
        </w:trPr>
        <w:tc>
          <w:tcPr>
            <w:tcW w:w="37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3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285.4</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296.5</w:t>
            </w: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14.5</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0.9</w:t>
            </w:r>
          </w:p>
        </w:tc>
      </w:tr>
      <w:tr>
        <w:trPr>
          <w:trHeight w:val="27"/>
        </w:trPr>
        <w:tc>
          <w:tcPr>
            <w:tcW w:w="378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83"/>
        </w:trPr>
        <w:tc>
          <w:tcPr>
            <w:tcW w:w="37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Assets</w:t>
            </w:r>
          </w:p>
        </w:tc>
        <w:tc>
          <w:tcPr>
            <w:tcW w:w="36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725.6</w:t>
            </w: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594.5</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37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90"/>
        </w:trPr>
        <w:tc>
          <w:tcPr>
            <w:tcW w:w="3780" w:type="dxa"/>
            <w:vAlign w:val="bottom"/>
            <w:tcBorders>
              <w:bottom w:val="single" w:sz="8" w:color="CCEEFF"/>
            </w:tcBorders>
            <w:shd w:val="clear" w:color="auto" w:fill="CCEEFF"/>
          </w:tcPr>
          <w:p>
            <w:pPr>
              <w:spacing w:after="0"/>
              <w:rPr>
                <w:sz w:val="24"/>
                <w:szCs w:val="24"/>
                <w:color w:val="auto"/>
              </w:rPr>
            </w:pPr>
          </w:p>
        </w:tc>
        <w:tc>
          <w:tcPr>
            <w:tcW w:w="3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LIABILITIES AND STOCKHOLDERS’ EQUITY</w:t>
            </w:r>
          </w:p>
        </w:tc>
        <w:tc>
          <w:tcPr>
            <w:tcW w:w="15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spacing w:after="0"/>
              <w:rPr>
                <w:sz w:val="24"/>
                <w:szCs w:val="24"/>
                <w:color w:val="auto"/>
              </w:rPr>
            </w:pP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36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35.0</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56.5</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61.7</w:t>
            </w:r>
          </w:p>
        </w:tc>
      </w:tr>
      <w:tr>
        <w:trPr>
          <w:trHeight w:val="27"/>
        </w:trPr>
        <w:tc>
          <w:tcPr>
            <w:tcW w:w="37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33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36.5</w:t>
            </w:r>
          </w:p>
        </w:tc>
        <w:tc>
          <w:tcPr>
            <w:tcW w:w="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31.0</w:t>
            </w:r>
          </w:p>
        </w:tc>
      </w:tr>
      <w:tr>
        <w:trPr>
          <w:trHeight w:val="237"/>
        </w:trPr>
        <w:tc>
          <w:tcPr>
            <w:tcW w:w="3780" w:type="dxa"/>
            <w:vAlign w:val="bottom"/>
          </w:tcPr>
          <w:p>
            <w:pPr>
              <w:ind w:left="480"/>
              <w:spacing w:after="0"/>
              <w:rPr>
                <w:sz w:val="20"/>
                <w:szCs w:val="20"/>
                <w:color w:val="auto"/>
              </w:rPr>
            </w:pPr>
            <w:r>
              <w:rPr>
                <w:rFonts w:ascii="Arial" w:cs="Arial" w:eastAsia="Arial" w:hAnsi="Arial"/>
                <w:sz w:val="18"/>
                <w:szCs w:val="18"/>
                <w:b w:val="1"/>
                <w:bCs w:val="1"/>
                <w:color w:val="auto"/>
              </w:rPr>
              <w:t>Total Current Liabilities</w:t>
            </w:r>
          </w:p>
        </w:tc>
        <w:tc>
          <w:tcPr>
            <w:tcW w:w="33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128.0</w:t>
            </w:r>
          </w:p>
        </w:tc>
        <w:tc>
          <w:tcPr>
            <w:tcW w:w="3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92.7</w:t>
            </w:r>
          </w:p>
        </w:tc>
      </w:tr>
      <w:tr>
        <w:trPr>
          <w:trHeight w:val="27"/>
        </w:trPr>
        <w:tc>
          <w:tcPr>
            <w:tcW w:w="37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16"/>
        </w:trPr>
        <w:tc>
          <w:tcPr>
            <w:tcW w:w="378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756.4</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12.8</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14.1</w:t>
            </w: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29.7</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1.3</w:t>
            </w:r>
          </w:p>
        </w:tc>
      </w:tr>
      <w:tr>
        <w:trPr>
          <w:trHeight w:val="27"/>
        </w:trPr>
        <w:tc>
          <w:tcPr>
            <w:tcW w:w="378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3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Liabilities</w:t>
            </w:r>
          </w:p>
        </w:tc>
        <w:tc>
          <w:tcPr>
            <w:tcW w:w="3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926.9</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108.1</w:t>
            </w:r>
          </w:p>
        </w:tc>
      </w:tr>
      <w:tr>
        <w:trPr>
          <w:trHeight w:val="256"/>
        </w:trPr>
        <w:tc>
          <w:tcPr>
            <w:tcW w:w="378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50"/>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Redeemable noncontrolling interest</w:t>
            </w:r>
          </w:p>
        </w:tc>
        <w:tc>
          <w:tcPr>
            <w:tcW w:w="3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1,661.9</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160"/>
              <w:spacing w:after="0"/>
              <w:rPr>
                <w:sz w:val="20"/>
                <w:szCs w:val="20"/>
                <w:color w:val="auto"/>
              </w:rPr>
            </w:pPr>
            <w:r>
              <w:rPr>
                <w:rFonts w:ascii="Arial" w:cs="Arial" w:eastAsia="Arial" w:hAnsi="Arial"/>
                <w:sz w:val="18"/>
                <w:szCs w:val="18"/>
                <w:color w:val="auto"/>
              </w:rPr>
              <w:t>Preferred stock</w:t>
            </w:r>
          </w:p>
        </w:tc>
        <w:tc>
          <w:tcPr>
            <w:tcW w:w="3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3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0.4</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3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(1,859.1)</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investment of Post Holdings, Inc.</w:t>
            </w:r>
          </w:p>
        </w:tc>
        <w:tc>
          <w:tcPr>
            <w:tcW w:w="3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489.0</w:t>
            </w:r>
          </w:p>
        </w:tc>
      </w:tr>
      <w:tr>
        <w:trPr>
          <w:trHeight w:val="243"/>
        </w:trPr>
        <w:tc>
          <w:tcPr>
            <w:tcW w:w="378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3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(2.6)</w:t>
            </w:r>
          </w:p>
        </w:tc>
      </w:tr>
      <w:tr>
        <w:trPr>
          <w:trHeight w:val="27"/>
        </w:trPr>
        <w:tc>
          <w:tcPr>
            <w:tcW w:w="378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3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Stockholders’ Equity</w:t>
            </w:r>
          </w:p>
        </w:tc>
        <w:tc>
          <w:tcPr>
            <w:tcW w:w="33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(1,863.2)</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486.4</w:t>
            </w:r>
          </w:p>
        </w:tc>
      </w:tr>
      <w:tr>
        <w:trPr>
          <w:trHeight w:val="263"/>
        </w:trPr>
        <w:tc>
          <w:tcPr>
            <w:tcW w:w="3780" w:type="dxa"/>
            <w:vAlign w:val="bottom"/>
          </w:tcPr>
          <w:p>
            <w:pPr>
              <w:ind w:left="480"/>
              <w:spacing w:after="0"/>
              <w:rPr>
                <w:sz w:val="20"/>
                <w:szCs w:val="20"/>
                <w:color w:val="auto"/>
              </w:rPr>
            </w:pPr>
            <w:r>
              <w:rPr>
                <w:rFonts w:ascii="Arial" w:cs="Arial" w:eastAsia="Arial" w:hAnsi="Arial"/>
                <w:sz w:val="18"/>
                <w:szCs w:val="18"/>
                <w:b w:val="1"/>
                <w:bCs w:val="1"/>
                <w:color w:val="auto"/>
                <w:w w:val="93"/>
              </w:rPr>
              <w:t>Total Liabilities and Stockholders’ Equity</w:t>
            </w:r>
          </w:p>
        </w:tc>
        <w:tc>
          <w:tcPr>
            <w:tcW w:w="33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725.6</w:t>
            </w:r>
          </w:p>
        </w:tc>
        <w:tc>
          <w:tcPr>
            <w:tcW w:w="3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594.5</w:t>
            </w:r>
          </w:p>
        </w:tc>
      </w:tr>
      <w:tr>
        <w:trPr>
          <w:trHeight w:val="20"/>
        </w:trPr>
        <w:tc>
          <w:tcPr>
            <w:tcW w:w="7080" w:type="dxa"/>
            <w:vAlign w:val="bottom"/>
            <w:gridSpan w:val="2"/>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763"/>
        </w:trPr>
        <w:tc>
          <w:tcPr>
            <w:tcW w:w="9280" w:type="dxa"/>
            <w:vAlign w:val="bottom"/>
            <w:gridSpan w:val="5"/>
          </w:tcPr>
          <w:p>
            <w:pPr>
              <w:ind w:left="2320"/>
              <w:spacing w:after="0"/>
              <w:rPr>
                <w:sz w:val="20"/>
                <w:szCs w:val="20"/>
                <w:color w:val="auto"/>
              </w:rPr>
            </w:pPr>
            <w:r>
              <w:rPr>
                <w:rFonts w:ascii="Arial" w:cs="Arial" w:eastAsia="Arial" w:hAnsi="Arial"/>
                <w:sz w:val="16"/>
                <w:szCs w:val="16"/>
                <w:b w:val="1"/>
                <w:bCs w:val="1"/>
                <w:color w:val="auto"/>
              </w:rPr>
              <w:t>SELECTED CONDENSED CONSOLIDATED CASH FLOWS INFORMATION (Unaudited)</w:t>
            </w: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10"/>
        </w:trPr>
        <w:tc>
          <w:tcPr>
            <w:tcW w:w="3780" w:type="dxa"/>
            <w:vAlign w:val="bottom"/>
          </w:tcPr>
          <w:p>
            <w:pPr>
              <w:spacing w:after="0"/>
              <w:rPr>
                <w:sz w:val="18"/>
                <w:szCs w:val="18"/>
                <w:color w:val="auto"/>
              </w:rPr>
            </w:pPr>
          </w:p>
        </w:tc>
        <w:tc>
          <w:tcPr>
            <w:tcW w:w="3660" w:type="dxa"/>
            <w:vAlign w:val="bottom"/>
            <w:gridSpan w:val="2"/>
          </w:tcPr>
          <w:p>
            <w:pPr>
              <w:jc w:val="right"/>
              <w:ind w:right="1370"/>
              <w:spacing w:after="0"/>
              <w:rPr>
                <w:sz w:val="20"/>
                <w:szCs w:val="20"/>
                <w:color w:val="auto"/>
              </w:rPr>
            </w:pPr>
            <w:r>
              <w:rPr>
                <w:rFonts w:ascii="Arial" w:cs="Arial" w:eastAsia="Arial" w:hAnsi="Arial"/>
                <w:sz w:val="16"/>
                <w:szCs w:val="16"/>
                <w:b w:val="1"/>
                <w:bCs w:val="1"/>
                <w:color w:val="auto"/>
              </w:rPr>
              <w:t>(in millions)</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5"/>
        </w:trPr>
        <w:tc>
          <w:tcPr>
            <w:tcW w:w="37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00" w:type="dxa"/>
            <w:vAlign w:val="bottom"/>
            <w:gridSpan w:val="4"/>
          </w:tcPr>
          <w:p>
            <w:pPr>
              <w:jc w:val="right"/>
              <w:ind w:right="1311"/>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3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164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jc w:val="right"/>
              <w:ind w:right="691"/>
              <w:spacing w:after="0"/>
              <w:rPr>
                <w:sz w:val="20"/>
                <w:szCs w:val="20"/>
                <w:color w:val="auto"/>
              </w:rPr>
            </w:pPr>
            <w:r>
              <w:rPr>
                <w:rFonts w:ascii="Arial" w:cs="Arial" w:eastAsia="Arial" w:hAnsi="Arial"/>
                <w:sz w:val="16"/>
                <w:szCs w:val="16"/>
                <w:b w:val="1"/>
                <w:bCs w:val="1"/>
                <w:color w:val="auto"/>
              </w:rPr>
              <w:t>2020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ind w:right="671"/>
              <w:spacing w:after="0"/>
              <w:rPr>
                <w:sz w:val="20"/>
                <w:szCs w:val="20"/>
                <w:color w:val="auto"/>
              </w:rPr>
            </w:pPr>
            <w:r>
              <w:rPr>
                <w:rFonts w:ascii="Arial" w:cs="Arial" w:eastAsia="Arial" w:hAnsi="Arial"/>
                <w:sz w:val="16"/>
                <w:szCs w:val="16"/>
                <w:b w:val="1"/>
                <w:bCs w:val="1"/>
                <w:color w:val="auto"/>
              </w:rPr>
              <w:t>2019</w:t>
            </w:r>
          </w:p>
        </w:tc>
      </w:tr>
      <w:tr>
        <w:trPr>
          <w:trHeight w:val="33"/>
        </w:trPr>
        <w:tc>
          <w:tcPr>
            <w:tcW w:w="378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(used in) provided by:</w:t>
            </w:r>
          </w:p>
        </w:tc>
        <w:tc>
          <w:tcPr>
            <w:tcW w:w="33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43"/>
        </w:trPr>
        <w:tc>
          <w:tcPr>
            <w:tcW w:w="378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36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1.6</w:t>
            </w:r>
          </w:p>
        </w:tc>
      </w:tr>
      <w:tr>
        <w:trPr>
          <w:trHeight w:val="27"/>
        </w:trPr>
        <w:tc>
          <w:tcPr>
            <w:tcW w:w="37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Investing activities</w:t>
            </w:r>
          </w:p>
        </w:tc>
        <w:tc>
          <w:tcPr>
            <w:tcW w:w="3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r>
      <w:tr>
        <w:trPr>
          <w:trHeight w:val="243"/>
        </w:trPr>
        <w:tc>
          <w:tcPr>
            <w:tcW w:w="3780" w:type="dxa"/>
            <w:vAlign w:val="bottom"/>
          </w:tcPr>
          <w:p>
            <w:pPr>
              <w:ind w:left="200"/>
              <w:spacing w:after="0"/>
              <w:rPr>
                <w:sz w:val="20"/>
                <w:szCs w:val="20"/>
                <w:color w:val="auto"/>
              </w:rPr>
            </w:pPr>
            <w:r>
              <w:rPr>
                <w:rFonts w:ascii="Arial" w:cs="Arial" w:eastAsia="Arial" w:hAnsi="Arial"/>
                <w:sz w:val="18"/>
                <w:szCs w:val="18"/>
                <w:color w:val="auto"/>
              </w:rPr>
              <w:t>Financing activities</w:t>
            </w:r>
          </w:p>
        </w:tc>
        <w:tc>
          <w:tcPr>
            <w:tcW w:w="3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77.6</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(8.0)</w:t>
            </w:r>
          </w:p>
        </w:tc>
      </w:tr>
      <w:tr>
        <w:trPr>
          <w:trHeight w:val="27"/>
        </w:trPr>
        <w:tc>
          <w:tcPr>
            <w:tcW w:w="7440" w:type="dxa"/>
            <w:vAlign w:val="bottom"/>
            <w:gridSpan w:val="3"/>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r>
      <w:tr>
        <w:trPr>
          <w:trHeight w:val="236"/>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w w:val="88"/>
              </w:rPr>
              <w:t>Increase (decrease) in cash and cash equivalents</w:t>
            </w:r>
          </w:p>
        </w:tc>
        <w:tc>
          <w:tcPr>
            <w:tcW w:w="33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71.2</w:t>
            </w:r>
          </w:p>
        </w:tc>
        <w:tc>
          <w:tcPr>
            <w:tcW w:w="3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w:t>
            </w:r>
          </w:p>
        </w:tc>
      </w:tr>
      <w:tr>
        <w:trPr>
          <w:trHeight w:val="27"/>
        </w:trPr>
        <w:tc>
          <w:tcPr>
            <w:tcW w:w="37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
        </w:trPr>
        <w:tc>
          <w:tcPr>
            <w:tcW w:w="37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80" w:top="891" w:right="379" w:bottom="42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140"/>
          </w:cols>
          <w:pgMar w:left="380" w:top="891" w:right="379" w:bottom="420" w:gutter="0" w:footer="0" w:header="0"/>
          <w:type w:val="continuous"/>
        </w:sectPr>
      </w:pPr>
    </w:p>
    <w:bookmarkStart w:id="10" w:name="page11"/>
    <w:bookmarkEnd w:id="10"/>
    <w:p>
      <w:pPr>
        <w:jc w:val="center"/>
        <w:ind w:right="-39"/>
        <w:spacing w:after="0"/>
        <w:rPr>
          <w:sz w:val="20"/>
          <w:szCs w:val="20"/>
          <w:color w:val="auto"/>
        </w:rPr>
      </w:pPr>
      <w:r>
        <w:rPr>
          <w:rFonts w:ascii="Arial" w:cs="Arial" w:eastAsia="Arial" w:hAnsi="Arial"/>
          <w:sz w:val="16"/>
          <w:szCs w:val="16"/>
          <w:b w:val="1"/>
          <w:bCs w:val="1"/>
          <w:color w:val="auto"/>
        </w:rPr>
        <w:t>EXPLANATION AND RECONCILIATION OF NON-GAAP MEASURES</w:t>
      </w:r>
    </w:p>
    <w:p>
      <w:pPr>
        <w:spacing w:after="0" w:line="167"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BellRing uses certain non-GAAP measures in this release to supplement the financial measures prepared in accordance with U.S. generally accepted accounting principles (“GAAP”). These non-GAAP measures include Adjusted net earnings available to Class A common stockholders, Adjusted diluted earnings per share of Class A common stock and Adjusted EBITDA. The reconciliation of each of these non-GAAP measures to the most directly comparable GAAP measure is provided in the tables following this section. Non-GAAP measures are not prepared in accordance with GAAP, as they exclude certain items as described below. These non-GAAP measures may not be comparable to similarly titled measures of other companies.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net earnings available to Class A common stockholders and Adjusted diluted earnings per share of Class A common stock</w:t>
      </w:r>
    </w:p>
    <w:p>
      <w:pPr>
        <w:spacing w:after="0" w:line="23"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BellRing believes Adjusted net earnings available to Class A common stockholders and Adjusted diluted earnings per share of Class A common stock are useful to investors in evaluating BellRing’s operating performance because they exclude items that affect the comparability of BellRing’s financial results and could potentially distort an understanding of the trends in business performance.</w:t>
      </w:r>
    </w:p>
    <w:p>
      <w:pPr>
        <w:spacing w:after="0" w:line="136"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Adjusted net earnings available to Class A common stockholders and Adjusted diluted earnings per share of Class A common stock are adjusted for the following items:</w:t>
      </w:r>
    </w:p>
    <w:p>
      <w:pPr>
        <w:spacing w:after="0" w:line="1" w:lineRule="exact"/>
        <w:rPr>
          <w:sz w:val="20"/>
          <w:szCs w:val="20"/>
          <w:color w:val="auto"/>
        </w:rPr>
      </w:pPr>
    </w:p>
    <w:p>
      <w:pPr>
        <w:ind w:left="660" w:right="80" w:hanging="328"/>
        <w:spacing w:after="0" w:line="250" w:lineRule="auto"/>
        <w:tabs>
          <w:tab w:leader="none" w:pos="65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Separation costs</w:t>
      </w:r>
      <w:r>
        <w:rPr>
          <w:rFonts w:ascii="Arial" w:cs="Arial" w:eastAsia="Arial" w:hAnsi="Arial"/>
          <w:sz w:val="18"/>
          <w:szCs w:val="18"/>
          <w:color w:val="auto"/>
        </w:rPr>
        <w:t>: BellRing has excluded certain expenses incurred to effect its separation from Post and to support its transition into a separate</w:t>
      </w:r>
      <w:r>
        <w:rPr>
          <w:rFonts w:ascii="Arial" w:cs="Arial" w:eastAsia="Arial" w:hAnsi="Arial"/>
          <w:sz w:val="18"/>
          <w:szCs w:val="18"/>
          <w:i w:val="1"/>
          <w:iCs w:val="1"/>
          <w:color w:val="auto"/>
        </w:rPr>
        <w:t xml:space="preserve"> </w:t>
      </w:r>
      <w:r>
        <w:rPr>
          <w:rFonts w:ascii="Arial" w:cs="Arial" w:eastAsia="Arial" w:hAnsi="Arial"/>
          <w:sz w:val="18"/>
          <w:szCs w:val="18"/>
          <w:color w:val="auto"/>
        </w:rPr>
        <w:t>stand-alone entity as the amount and frequency of such adjustments are not consistent. 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spacing w:after="0" w:line="1"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Income tax</w:t>
      </w:r>
      <w:r>
        <w:rPr>
          <w:rFonts w:ascii="Arial" w:cs="Arial" w:eastAsia="Arial" w:hAnsi="Arial"/>
          <w:sz w:val="18"/>
          <w:szCs w:val="18"/>
          <w:color w:val="auto"/>
        </w:rPr>
        <w:t>: BellRing has included the income tax impact of the non-GAAP adjustments using a rate described in the footnote of the reconciliation</w:t>
      </w:r>
      <w:r>
        <w:rPr>
          <w:rFonts w:ascii="Arial" w:cs="Arial" w:eastAsia="Arial" w:hAnsi="Arial"/>
          <w:sz w:val="18"/>
          <w:szCs w:val="18"/>
          <w:i w:val="1"/>
          <w:iCs w:val="1"/>
          <w:color w:val="auto"/>
        </w:rPr>
        <w:t xml:space="preserve"> </w:t>
      </w:r>
      <w:r>
        <w:rPr>
          <w:rFonts w:ascii="Arial" w:cs="Arial" w:eastAsia="Arial" w:hAnsi="Arial"/>
          <w:sz w:val="18"/>
          <w:szCs w:val="18"/>
          <w:color w:val="auto"/>
        </w:rPr>
        <w:t>table, as BellRing believes that its GAAP effective income tax rate as reported is not representative of the income tax expense impact of the adjustments.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w:t>
      </w:r>
    </w:p>
    <w:p>
      <w:pPr>
        <w:spacing w:after="0" w:line="2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BellRing believes that Adjusted EBITDA is useful to investors in evaluating BellRing’s operating performance and liquidity because (i) BellRing believes it is widely used to measure a company’s operating performance without regard to items such as depreciation and amortization, which can vary depending upon accounting methods and the book value of assets, (ii) it presents a measure of corporate performance exclusive of BellRing’s capital structure and the method by which the assets were acquired and (iii) it is a financial indicator of a company’s ability to service its debt, as BellRing LLC is required to comply with certain covenants and limitations that are based on variations of EBITDA in BellRing LLC’s financing documents. Management uses Adjusted EBITDA to provide forward-looking guidance to forecast future results.</w:t>
      </w:r>
    </w:p>
    <w:p>
      <w:pPr>
        <w:spacing w:after="0" w:line="124"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Adjusted EBITDA reflects adjustments for income tax expense, interest expense, net and depreciation and amortization and the adjustment for separation costs discussed above. Additionally, Adjusted EBITDA reflects adjustments for the following items:</w:t>
      </w:r>
    </w:p>
    <w:p>
      <w:pPr>
        <w:spacing w:after="0" w:line="1" w:lineRule="exact"/>
        <w:rPr>
          <w:sz w:val="20"/>
          <w:szCs w:val="20"/>
          <w:color w:val="auto"/>
        </w:rPr>
      </w:pPr>
    </w:p>
    <w:p>
      <w:pPr>
        <w:ind w:left="660" w:right="200" w:hanging="328"/>
        <w:spacing w:after="0" w:line="250" w:lineRule="auto"/>
        <w:tabs>
          <w:tab w:leader="none" w:pos="551"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NCI adjustment</w:t>
      </w:r>
      <w:r>
        <w:rPr>
          <w:rFonts w:ascii="Arial" w:cs="Arial" w:eastAsia="Arial" w:hAnsi="Arial"/>
          <w:sz w:val="18"/>
          <w:szCs w:val="18"/>
          <w:color w:val="auto"/>
        </w:rPr>
        <w:t>: BellRing has included adjustments for the portion of its consolidated net earnings/loss which was allocated to NCI, allowing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calculation of Adjusted EBITDA to include 100% of BellRing as BellRing’s management evaluates BellRing’s operating performance on a basis that includes 100% of BellRing.</w:t>
      </w:r>
    </w:p>
    <w:p>
      <w:pPr>
        <w:spacing w:after="0" w:line="1" w:lineRule="exact"/>
        <w:rPr>
          <w:rFonts w:ascii="Arial" w:cs="Arial" w:eastAsia="Arial" w:hAnsi="Arial"/>
          <w:sz w:val="18"/>
          <w:szCs w:val="18"/>
          <w:color w:val="auto"/>
        </w:rPr>
      </w:pPr>
    </w:p>
    <w:p>
      <w:pPr>
        <w:ind w:left="660" w:hanging="328"/>
        <w:spacing w:after="0" w:line="268" w:lineRule="auto"/>
        <w:tabs>
          <w:tab w:leader="none" w:pos="561"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Stock-based compensation</w:t>
      </w:r>
      <w:r>
        <w:rPr>
          <w:rFonts w:ascii="Arial" w:cs="Arial" w:eastAsia="Arial" w:hAnsi="Arial"/>
          <w:sz w:val="17"/>
          <w:szCs w:val="17"/>
          <w:color w:val="auto"/>
        </w:rPr>
        <w:t>: BellRing’s compensation strategy after the IPO includes the use of BellRing stock-based compensation to attract and</w:t>
      </w:r>
      <w:r>
        <w:rPr>
          <w:rFonts w:ascii="Arial" w:cs="Arial" w:eastAsia="Arial" w:hAnsi="Arial"/>
          <w:sz w:val="17"/>
          <w:szCs w:val="17"/>
          <w:i w:val="1"/>
          <w:iCs w:val="1"/>
          <w:color w:val="auto"/>
        </w:rPr>
        <w:t xml:space="preserve"> </w:t>
      </w:r>
      <w:r>
        <w:rPr>
          <w:rFonts w:ascii="Arial" w:cs="Arial" w:eastAsia="Arial" w:hAnsi="Arial"/>
          <w:sz w:val="17"/>
          <w:szCs w:val="17"/>
          <w:color w:val="auto"/>
        </w:rPr>
        <w:t>retain executives and employees by aligning their long-term compensation interests with BellRing’s stockholders’ investment interests. BellRing’s compensation strategy prior to the IPO included the use of Post stock-based compensation to attract and retain executives and employees by aligning their long-term compensation interests with Post’s shareholders’ investment interests; after the IPO, BellRing continues to be charged for Post stock-based compensation through the master services agreement with Post. BellRing has excluded stock-based compensation as stock-based compensation can vary significantly based on reasons such as the timing, size and nature of the awards granted and subjective assumptions which are unrelated to operational decisions and performance in any particular period and do not contribute to meaningful comparisons of BellRing’s operating performance to other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20" w:top="895" w:right="379" w:bottom="1440" w:gutter="0" w:footer="0" w:header="0"/>
        </w:sectPr>
      </w:pPr>
    </w:p>
    <w:bookmarkStart w:id="11" w:name="page12"/>
    <w:bookmarkEnd w:id="11"/>
    <w:p>
      <w:pPr>
        <w:jc w:val="center"/>
        <w:spacing w:after="0" w:line="263" w:lineRule="auto"/>
        <w:rPr>
          <w:sz w:val="20"/>
          <w:szCs w:val="20"/>
          <w:color w:val="auto"/>
        </w:rPr>
      </w:pPr>
      <w:r>
        <w:rPr>
          <w:rFonts w:ascii="Arial" w:cs="Arial" w:eastAsia="Arial" w:hAnsi="Arial"/>
          <w:sz w:val="16"/>
          <w:szCs w:val="16"/>
          <w:b w:val="1"/>
          <w:bCs w:val="1"/>
          <w:color w:val="auto"/>
        </w:rPr>
        <w:t>RECONCILIATION OF NET EARNINGS AVAILABLE TO CLASS A COMMON STOCKHOLDERS TO ADJUSTED NET EARNINGS AVAILABLE TO CLASS A COMMON STOCKHOLDERS (Unaudited) (in millions)</w:t>
      </w:r>
    </w:p>
    <w:p>
      <w:pPr>
        <w:spacing w:after="0" w:line="1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3"/>
              </w:rPr>
              <w:t>Three Months Ended</w:t>
            </w:r>
          </w:p>
        </w:tc>
        <w:tc>
          <w:tcPr>
            <w:tcW w:w="218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October 21, 2019 to March 31,</w:t>
            </w:r>
          </w:p>
        </w:tc>
      </w:tr>
      <w:tr>
        <w:trPr>
          <w:trHeight w:val="210"/>
        </w:trPr>
        <w:tc>
          <w:tcPr>
            <w:tcW w:w="6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4"/>
              </w:rPr>
              <w:t>March 31, 2020</w:t>
            </w:r>
          </w:p>
        </w:tc>
        <w:tc>
          <w:tcPr>
            <w:tcW w:w="500" w:type="dxa"/>
            <w:vAlign w:val="bottom"/>
          </w:tcPr>
          <w:p>
            <w:pPr>
              <w:spacing w:after="0"/>
              <w:rPr>
                <w:sz w:val="18"/>
                <w:szCs w:val="18"/>
                <w:color w:val="auto"/>
              </w:rPr>
            </w:pPr>
          </w:p>
        </w:tc>
        <w:tc>
          <w:tcPr>
            <w:tcW w:w="1680" w:type="dxa"/>
            <w:vAlign w:val="bottom"/>
          </w:tcPr>
          <w:p>
            <w:pPr>
              <w:jc w:val="right"/>
              <w:ind w:right="852"/>
              <w:spacing w:after="0"/>
              <w:rPr>
                <w:sz w:val="20"/>
                <w:szCs w:val="20"/>
                <w:color w:val="auto"/>
              </w:rPr>
            </w:pPr>
            <w:r>
              <w:rPr>
                <w:rFonts w:ascii="Arial" w:cs="Arial" w:eastAsia="Arial" w:hAnsi="Arial"/>
                <w:sz w:val="16"/>
                <w:szCs w:val="16"/>
                <w:b w:val="1"/>
                <w:bCs w:val="1"/>
                <w:color w:val="auto"/>
              </w:rPr>
              <w:t>2020</w:t>
            </w:r>
          </w:p>
        </w:tc>
      </w:tr>
      <w:tr>
        <w:trPr>
          <w:trHeight w:val="33"/>
        </w:trPr>
        <w:tc>
          <w:tcPr>
            <w:tcW w:w="6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Available to Class A Common Stockholders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4.2</w:t>
            </w:r>
          </w:p>
        </w:tc>
        <w:tc>
          <w:tcPr>
            <w:tcW w:w="3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10.2</w:t>
            </w:r>
          </w:p>
        </w:tc>
      </w:tr>
      <w:tr>
        <w:trPr>
          <w:trHeight w:val="257"/>
        </w:trPr>
        <w:tc>
          <w:tcPr>
            <w:tcW w:w="6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Separation costs after the IPO</w:t>
            </w:r>
          </w:p>
        </w:tc>
        <w:tc>
          <w:tcPr>
            <w:tcW w:w="220" w:type="dxa"/>
            <w:vAlign w:val="bottom"/>
          </w:tcPr>
          <w:p>
            <w:pPr>
              <w:spacing w:after="0"/>
              <w:rPr>
                <w:sz w:val="21"/>
                <w:szCs w:val="21"/>
                <w:color w:val="auto"/>
              </w:rPr>
            </w:pPr>
          </w:p>
        </w:tc>
        <w:tc>
          <w:tcPr>
            <w:tcW w:w="1960" w:type="dxa"/>
            <w:vAlign w:val="bottom"/>
          </w:tcPr>
          <w:p>
            <w:pPr>
              <w:jc w:val="right"/>
              <w:ind w:right="73"/>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0.7</w:t>
            </w:r>
          </w:p>
        </w:tc>
      </w:tr>
      <w:tr>
        <w:trPr>
          <w:trHeight w:val="27"/>
        </w:trPr>
        <w:tc>
          <w:tcPr>
            <w:tcW w:w="6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Net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0.3</w:t>
            </w:r>
          </w:p>
        </w:tc>
        <w:tc>
          <w:tcPr>
            <w:tcW w:w="3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0.7</w:t>
            </w:r>
          </w:p>
        </w:tc>
      </w:tr>
      <w:tr>
        <w:trPr>
          <w:trHeight w:val="270"/>
        </w:trPr>
        <w:tc>
          <w:tcPr>
            <w:tcW w:w="6420" w:type="dxa"/>
            <w:vAlign w:val="bottom"/>
          </w:tcPr>
          <w:p>
            <w:pPr>
              <w:ind w:left="20"/>
              <w:spacing w:after="0"/>
              <w:rPr>
                <w:sz w:val="20"/>
                <w:szCs w:val="20"/>
                <w:color w:val="auto"/>
              </w:rPr>
            </w:pPr>
            <w:r>
              <w:rPr>
                <w:rFonts w:ascii="Arial" w:cs="Arial" w:eastAsia="Arial" w:hAnsi="Arial"/>
                <w:sz w:val="18"/>
                <w:szCs w:val="18"/>
                <w:color w:val="auto"/>
              </w:rPr>
              <w:t xml:space="preserve">Income tax effect on separation costs </w:t>
            </w:r>
            <w:r>
              <w:rPr>
                <w:rFonts w:ascii="Arial" w:cs="Arial" w:eastAsia="Arial" w:hAnsi="Arial"/>
                <w:sz w:val="23"/>
                <w:szCs w:val="23"/>
                <w:color w:val="auto"/>
                <w:vertAlign w:val="superscript"/>
              </w:rPr>
              <w:t>(1)</w:t>
            </w:r>
          </w:p>
        </w:tc>
        <w:tc>
          <w:tcPr>
            <w:tcW w:w="220" w:type="dxa"/>
            <w:vAlign w:val="bottom"/>
          </w:tcPr>
          <w:p>
            <w:pPr>
              <w:spacing w:after="0"/>
              <w:rPr>
                <w:sz w:val="23"/>
                <w:szCs w:val="23"/>
                <w:color w:val="auto"/>
              </w:rPr>
            </w:pPr>
          </w:p>
        </w:tc>
        <w:tc>
          <w:tcPr>
            <w:tcW w:w="2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88"/>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Earnings Available to Class A Common Stockholders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4.5</w:t>
            </w:r>
          </w:p>
        </w:tc>
        <w:tc>
          <w:tcPr>
            <w:tcW w:w="360" w:type="dxa"/>
            <w:vAlign w:val="bottom"/>
            <w:tcBorders>
              <w:top w:val="single" w:sz="8" w:color="CCEEFF"/>
              <w:bottom w:val="single" w:sz="8" w:color="CCEEFF"/>
            </w:tcBorders>
            <w:shd w:val="clear" w:color="auto" w:fill="CCEEFF"/>
          </w:tcPr>
          <w:p>
            <w:pPr>
              <w:spacing w:after="0"/>
              <w:rPr>
                <w:sz w:val="24"/>
                <w:szCs w:val="24"/>
                <w:color w:val="auto"/>
              </w:rPr>
            </w:pPr>
          </w:p>
        </w:tc>
        <w:tc>
          <w:tcPr>
            <w:tcW w:w="500" w:type="dxa"/>
            <w:vAlign w:val="bottom"/>
            <w:tcBorders>
              <w:top w:val="single" w:sz="8" w:color="auto"/>
              <w:bottom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10.9</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0" w:right="140" w:hanging="7"/>
        <w:spacing w:after="0" w:line="206" w:lineRule="auto"/>
        <w:tabs>
          <w:tab w:leader="none" w:pos="221"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For both periods, the income tax effect for separation costs was calculated using a rate of 0.0% as the amounts are primarily non-deductible separation costs for income tax purposes.</w:t>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RECONCILIATION OF DILUTED EARNINGS PER SHARE OF CLASS A COMMON STOCK</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TO ADJUSTED DILUTED EARNINGS PER SHARE OF CLASS A COMMON STOCK (Unaudited)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93"/>
              </w:rPr>
              <w:t>Three Months Ended</w:t>
            </w:r>
          </w:p>
        </w:tc>
        <w:tc>
          <w:tcPr>
            <w:tcW w:w="22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October 21, 2019 to March 31,</w:t>
            </w:r>
          </w:p>
        </w:tc>
      </w:tr>
      <w:tr>
        <w:trPr>
          <w:trHeight w:val="210"/>
        </w:trPr>
        <w:tc>
          <w:tcPr>
            <w:tcW w:w="6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94"/>
              </w:rPr>
              <w:t>March 31, 2020</w:t>
            </w:r>
          </w:p>
        </w:tc>
        <w:tc>
          <w:tcPr>
            <w:tcW w:w="520" w:type="dxa"/>
            <w:vAlign w:val="bottom"/>
          </w:tcPr>
          <w:p>
            <w:pPr>
              <w:spacing w:after="0"/>
              <w:rPr>
                <w:sz w:val="18"/>
                <w:szCs w:val="18"/>
                <w:color w:val="auto"/>
              </w:rPr>
            </w:pPr>
          </w:p>
        </w:tc>
        <w:tc>
          <w:tcPr>
            <w:tcW w:w="1680" w:type="dxa"/>
            <w:vAlign w:val="bottom"/>
          </w:tcPr>
          <w:p>
            <w:pPr>
              <w:jc w:val="right"/>
              <w:ind w:right="852"/>
              <w:spacing w:after="0"/>
              <w:rPr>
                <w:sz w:val="20"/>
                <w:szCs w:val="20"/>
                <w:color w:val="auto"/>
              </w:rPr>
            </w:pPr>
            <w:r>
              <w:rPr>
                <w:rFonts w:ascii="Arial" w:cs="Arial" w:eastAsia="Arial" w:hAnsi="Arial"/>
                <w:sz w:val="16"/>
                <w:szCs w:val="16"/>
                <w:b w:val="1"/>
                <w:bCs w:val="1"/>
                <w:color w:val="auto"/>
              </w:rPr>
              <w:t>2020</w:t>
            </w:r>
          </w:p>
        </w:tc>
      </w:tr>
      <w:tr>
        <w:trPr>
          <w:trHeight w:val="33"/>
        </w:trPr>
        <w:tc>
          <w:tcPr>
            <w:tcW w:w="6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 of Class A Common Stock</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0.11</w:t>
            </w:r>
          </w:p>
        </w:tc>
        <w:tc>
          <w:tcPr>
            <w:tcW w:w="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0.26</w:t>
            </w:r>
          </w:p>
        </w:tc>
      </w:tr>
      <w:tr>
        <w:trPr>
          <w:trHeight w:val="257"/>
        </w:trPr>
        <w:tc>
          <w:tcPr>
            <w:tcW w:w="6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5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6440" w:type="dxa"/>
            <w:vAlign w:val="bottom"/>
          </w:tcPr>
          <w:p>
            <w:pPr>
              <w:ind w:left="200"/>
              <w:spacing w:after="0"/>
              <w:rPr>
                <w:sz w:val="20"/>
                <w:szCs w:val="20"/>
                <w:color w:val="auto"/>
              </w:rPr>
            </w:pPr>
            <w:r>
              <w:rPr>
                <w:rFonts w:ascii="Arial" w:cs="Arial" w:eastAsia="Arial" w:hAnsi="Arial"/>
                <w:sz w:val="18"/>
                <w:szCs w:val="18"/>
                <w:color w:val="auto"/>
              </w:rPr>
              <w:t>Separation costs after the IPO</w:t>
            </w:r>
          </w:p>
        </w:tc>
        <w:tc>
          <w:tcPr>
            <w:tcW w:w="240" w:type="dxa"/>
            <w:vAlign w:val="bottom"/>
          </w:tcPr>
          <w:p>
            <w:pPr>
              <w:spacing w:after="0"/>
              <w:rPr>
                <w:sz w:val="21"/>
                <w:szCs w:val="21"/>
                <w:color w:val="auto"/>
              </w:rPr>
            </w:pPr>
          </w:p>
        </w:tc>
        <w:tc>
          <w:tcPr>
            <w:tcW w:w="2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0.02</w:t>
            </w:r>
          </w:p>
        </w:tc>
      </w:tr>
      <w:tr>
        <w:trPr>
          <w:trHeight w:val="27"/>
        </w:trPr>
        <w:tc>
          <w:tcPr>
            <w:tcW w:w="6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6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Net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0.02</w:t>
            </w:r>
          </w:p>
        </w:tc>
      </w:tr>
      <w:tr>
        <w:trPr>
          <w:trHeight w:val="270"/>
        </w:trPr>
        <w:tc>
          <w:tcPr>
            <w:tcW w:w="6440" w:type="dxa"/>
            <w:vAlign w:val="bottom"/>
          </w:tcPr>
          <w:p>
            <w:pPr>
              <w:ind w:left="20"/>
              <w:spacing w:after="0"/>
              <w:rPr>
                <w:sz w:val="20"/>
                <w:szCs w:val="20"/>
                <w:color w:val="auto"/>
              </w:rPr>
            </w:pPr>
            <w:r>
              <w:rPr>
                <w:rFonts w:ascii="Arial" w:cs="Arial" w:eastAsia="Arial" w:hAnsi="Arial"/>
                <w:sz w:val="18"/>
                <w:szCs w:val="18"/>
                <w:color w:val="auto"/>
              </w:rPr>
              <w:t xml:space="preserve">Income tax effect on separation costs </w:t>
            </w:r>
            <w:r>
              <w:rPr>
                <w:rFonts w:ascii="Arial" w:cs="Arial" w:eastAsia="Arial" w:hAnsi="Arial"/>
                <w:sz w:val="23"/>
                <w:szCs w:val="23"/>
                <w:color w:val="auto"/>
                <w:vertAlign w:val="superscript"/>
              </w:rPr>
              <w:t>(1)</w:t>
            </w:r>
          </w:p>
        </w:tc>
        <w:tc>
          <w:tcPr>
            <w:tcW w:w="240" w:type="dxa"/>
            <w:vAlign w:val="bottom"/>
          </w:tcPr>
          <w:p>
            <w:pPr>
              <w:spacing w:after="0"/>
              <w:rPr>
                <w:sz w:val="23"/>
                <w:szCs w:val="23"/>
                <w:color w:val="auto"/>
              </w:rPr>
            </w:pPr>
          </w:p>
        </w:tc>
        <w:tc>
          <w:tcPr>
            <w:tcW w:w="2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62"/>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Diluted Earnings per share of Class A Common Stock</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0.11</w:t>
            </w: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0.28</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0" w:right="160" w:hanging="7"/>
        <w:spacing w:after="0" w:line="206" w:lineRule="auto"/>
        <w:tabs>
          <w:tab w:leader="none" w:pos="201"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For both periods, the income tax effect for separation costs was calculated using a rate of 0.0% as the amounts are primarily non-deductible separation costs for income tax purposes.</w:t>
      </w:r>
    </w:p>
    <w:p>
      <w:pPr>
        <w:sectPr>
          <w:pgSz w:w="11900" w:h="16838" w:orient="portrait"/>
          <w:cols w:equalWidth="0" w:num="1">
            <w:col w:w="11180"/>
          </w:cols>
          <w:pgMar w:left="360" w:top="89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180"/>
          </w:cols>
          <w:pgMar w:left="360" w:top="895" w:right="359" w:bottom="1440" w:gutter="0" w:footer="0" w:header="0"/>
          <w:type w:val="continuous"/>
        </w:sectPr>
      </w:pPr>
    </w:p>
    <w:bookmarkStart w:id="12" w:name="page13"/>
    <w:bookmarkEnd w:id="12"/>
    <w:p>
      <w:pPr>
        <w:jc w:val="center"/>
        <w:ind w:right="20"/>
        <w:spacing w:after="0"/>
        <w:rPr>
          <w:sz w:val="20"/>
          <w:szCs w:val="20"/>
          <w:color w:val="auto"/>
        </w:rPr>
      </w:pPr>
      <w:r>
        <w:rPr>
          <w:rFonts w:ascii="Arial" w:cs="Arial" w:eastAsia="Arial" w:hAnsi="Arial"/>
          <w:sz w:val="16"/>
          <w:szCs w:val="16"/>
          <w:b w:val="1"/>
          <w:bCs w:val="1"/>
          <w:color w:val="auto"/>
        </w:rPr>
        <w:t>RECONCILIATION OF NET EARNINGS AVAILABLE TO CLASS A COMMON STOCKHOLDERS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TO ADJUSTED EBITDA (Unaudited)</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80" w:type="dxa"/>
            <w:vAlign w:val="bottom"/>
            <w:gridSpan w:val="7"/>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5"/>
          </w:tcPr>
          <w:p>
            <w:pPr>
              <w:jc w:val="right"/>
              <w:ind w:right="451"/>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March 31,</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6"/>
                <w:szCs w:val="16"/>
                <w:b w:val="1"/>
                <w:bCs w:val="1"/>
                <w:color w:val="auto"/>
                <w:w w:val="94"/>
              </w:rPr>
              <w:t>March 31,</w:t>
            </w:r>
          </w:p>
        </w:tc>
        <w:tc>
          <w:tcPr>
            <w:tcW w:w="760" w:type="dxa"/>
            <w:vAlign w:val="bottom"/>
          </w:tcPr>
          <w:p>
            <w:pPr>
              <w:spacing w:after="0"/>
              <w:rPr>
                <w:sz w:val="18"/>
                <w:szCs w:val="18"/>
                <w:color w:val="auto"/>
              </w:rPr>
            </w:pPr>
          </w:p>
        </w:tc>
      </w:tr>
      <w:tr>
        <w:trPr>
          <w:trHeight w:val="33"/>
        </w:trPr>
        <w:tc>
          <w:tcPr>
            <w:tcW w:w="5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5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ind w:right="52"/>
              <w:spacing w:after="0"/>
              <w:rPr>
                <w:sz w:val="20"/>
                <w:szCs w:val="20"/>
                <w:color w:val="auto"/>
              </w:rPr>
            </w:pPr>
            <w:r>
              <w:rPr>
                <w:rFonts w:ascii="Arial" w:cs="Arial" w:eastAsia="Arial" w:hAnsi="Arial"/>
                <w:sz w:val="16"/>
                <w:szCs w:val="16"/>
                <w:b w:val="1"/>
                <w:bCs w:val="1"/>
                <w:color w:val="auto"/>
                <w:w w:val="95"/>
              </w:rPr>
              <w:t>2020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29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ind w:right="33"/>
              <w:spacing w:after="0"/>
              <w:rPr>
                <w:sz w:val="20"/>
                <w:szCs w:val="20"/>
                <w:color w:val="auto"/>
              </w:rPr>
            </w:pPr>
            <w:r>
              <w:rPr>
                <w:rFonts w:ascii="Arial" w:cs="Arial" w:eastAsia="Arial" w:hAnsi="Arial"/>
                <w:sz w:val="16"/>
                <w:szCs w:val="16"/>
                <w:b w:val="1"/>
                <w:bCs w:val="1"/>
                <w:color w:val="auto"/>
                <w:w w:val="95"/>
              </w:rPr>
              <w:t>2020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291"/>
              <w:spacing w:after="0"/>
              <w:rPr>
                <w:sz w:val="20"/>
                <w:szCs w:val="20"/>
                <w:color w:val="auto"/>
              </w:rPr>
            </w:pPr>
            <w:r>
              <w:rPr>
                <w:rFonts w:ascii="Arial" w:cs="Arial" w:eastAsia="Arial" w:hAnsi="Arial"/>
                <w:sz w:val="16"/>
                <w:szCs w:val="16"/>
                <w:b w:val="1"/>
                <w:bCs w:val="1"/>
                <w:color w:val="auto"/>
              </w:rPr>
              <w:t>2019</w:t>
            </w:r>
          </w:p>
        </w:tc>
      </w:tr>
      <w:tr>
        <w:trPr>
          <w:trHeight w:val="33"/>
        </w:trPr>
        <w:tc>
          <w:tcPr>
            <w:tcW w:w="50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Available to Class A Common Stockholders</w:t>
            </w:r>
          </w:p>
        </w:tc>
        <w:tc>
          <w:tcPr>
            <w:tcW w:w="1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7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7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151"/>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151"/>
              <w:spacing w:after="0"/>
              <w:rPr>
                <w:sz w:val="20"/>
                <w:szCs w:val="20"/>
                <w:color w:val="auto"/>
              </w:rPr>
            </w:pPr>
            <w:r>
              <w:rPr>
                <w:rFonts w:ascii="Arial" w:cs="Arial" w:eastAsia="Arial" w:hAnsi="Arial"/>
                <w:sz w:val="18"/>
                <w:szCs w:val="18"/>
                <w:color w:val="auto"/>
              </w:rPr>
              <w:t>17.6</w:t>
            </w:r>
          </w:p>
        </w:tc>
      </w:tr>
      <w:tr>
        <w:trPr>
          <w:trHeight w:val="27"/>
        </w:trPr>
        <w:tc>
          <w:tcPr>
            <w:tcW w:w="5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151"/>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151"/>
              <w:spacing w:after="0"/>
              <w:rPr>
                <w:sz w:val="20"/>
                <w:szCs w:val="20"/>
                <w:color w:val="auto"/>
              </w:rPr>
            </w:pPr>
            <w:r>
              <w:rPr>
                <w:rFonts w:ascii="Arial" w:cs="Arial" w:eastAsia="Arial" w:hAnsi="Arial"/>
                <w:sz w:val="18"/>
                <w:szCs w:val="18"/>
                <w:color w:val="auto"/>
              </w:rPr>
              <w:t>12.7</w:t>
            </w:r>
          </w:p>
        </w:tc>
      </w:tr>
      <w:tr>
        <w:trPr>
          <w:trHeight w:val="27"/>
        </w:trPr>
        <w:tc>
          <w:tcPr>
            <w:tcW w:w="5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NCI adjustment</w:t>
            </w:r>
          </w:p>
        </w:tc>
        <w:tc>
          <w:tcPr>
            <w:tcW w:w="1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31.0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56.1</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151"/>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151"/>
              <w:spacing w:after="0"/>
              <w:rPr>
                <w:sz w:val="20"/>
                <w:szCs w:val="20"/>
                <w:color w:val="auto"/>
              </w:rPr>
            </w:pPr>
            <w:r>
              <w:rPr>
                <w:rFonts w:ascii="Arial" w:cs="Arial" w:eastAsia="Arial" w:hAnsi="Arial"/>
                <w:sz w:val="18"/>
                <w:szCs w:val="18"/>
                <w:color w:val="auto"/>
              </w:rPr>
              <w:t>1.3</w:t>
            </w:r>
          </w:p>
        </w:tc>
      </w:tr>
      <w:tr>
        <w:trPr>
          <w:trHeight w:val="27"/>
        </w:trPr>
        <w:tc>
          <w:tcPr>
            <w:tcW w:w="5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Separation costs</w:t>
            </w:r>
          </w:p>
        </w:tc>
        <w:tc>
          <w:tcPr>
            <w:tcW w:w="10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2.9</w:t>
            </w:r>
          </w:p>
        </w:tc>
      </w:tr>
      <w:tr>
        <w:trPr>
          <w:trHeight w:val="263"/>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0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240" w:type="dxa"/>
            <w:vAlign w:val="bottom"/>
            <w:tcBorders>
              <w:top w:val="single" w:sz="8" w:color="auto"/>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240" w:type="dxa"/>
            <w:vAlign w:val="bottom"/>
            <w:tcBorders>
              <w:top w:val="single" w:sz="8" w:color="auto"/>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90.6</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89"/>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as a percentage of Net Sales</w:t>
            </w:r>
          </w:p>
        </w:tc>
        <w:tc>
          <w:tcPr>
            <w:tcW w:w="10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16.9 %</w:t>
            </w:r>
          </w:p>
        </w:tc>
        <w:tc>
          <w:tcPr>
            <w:tcW w:w="2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22.9 %</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20.3 %</w:t>
            </w:r>
          </w:p>
        </w:tc>
        <w:tc>
          <w:tcPr>
            <w:tcW w:w="2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22.5 %</w:t>
            </w:r>
          </w:p>
        </w:tc>
      </w:tr>
      <w:tr>
        <w:trPr>
          <w:trHeight w:val="20"/>
        </w:trPr>
        <w:tc>
          <w:tcPr>
            <w:tcW w:w="610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bottom w:val="single" w:sz="8" w:color="auto"/>
            </w:tcBorders>
            <w:gridSpan w:val="3"/>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662"/>
        </w:trPr>
        <w:tc>
          <w:tcPr>
            <w:tcW w:w="8800" w:type="dxa"/>
            <w:vAlign w:val="bottom"/>
            <w:gridSpan w:val="10"/>
          </w:tcPr>
          <w:p>
            <w:pPr>
              <w:jc w:val="center"/>
              <w:ind w:left="2251"/>
              <w:spacing w:after="0"/>
              <w:rPr>
                <w:sz w:val="20"/>
                <w:szCs w:val="20"/>
                <w:color w:val="auto"/>
              </w:rPr>
            </w:pPr>
            <w:r>
              <w:rPr>
                <w:rFonts w:ascii="Arial" w:cs="Arial" w:eastAsia="Arial" w:hAnsi="Arial"/>
                <w:sz w:val="16"/>
                <w:szCs w:val="16"/>
                <w:b w:val="1"/>
                <w:bCs w:val="1"/>
                <w:color w:val="auto"/>
              </w:rPr>
              <w:t>RECONCILIATION OF ADJUSTED EBITDA, AS REPORTED BY BELLRING,</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9"/>
        </w:trPr>
        <w:tc>
          <w:tcPr>
            <w:tcW w:w="9120" w:type="dxa"/>
            <w:vAlign w:val="bottom"/>
            <w:gridSpan w:val="12"/>
          </w:tcPr>
          <w:p>
            <w:pPr>
              <w:jc w:val="center"/>
              <w:ind w:left="1911"/>
              <w:spacing w:after="0"/>
              <w:rPr>
                <w:sz w:val="20"/>
                <w:szCs w:val="20"/>
                <w:color w:val="auto"/>
              </w:rPr>
            </w:pPr>
            <w:r>
              <w:rPr>
                <w:rFonts w:ascii="Arial" w:cs="Arial" w:eastAsia="Arial" w:hAnsi="Arial"/>
                <w:sz w:val="16"/>
                <w:szCs w:val="16"/>
                <w:b w:val="1"/>
                <w:bCs w:val="1"/>
                <w:color w:val="auto"/>
                <w:w w:val="99"/>
              </w:rPr>
              <w:t>TO BELLRING BRANDS SEGMENT ADJUSTED EBITDA, AS REPORTED BY POST (Unaudited)</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0"/>
        </w:trPr>
        <w:tc>
          <w:tcPr>
            <w:tcW w:w="5080" w:type="dxa"/>
            <w:vAlign w:val="bottom"/>
          </w:tcPr>
          <w:p>
            <w:pPr>
              <w:spacing w:after="0"/>
              <w:rPr>
                <w:sz w:val="18"/>
                <w:szCs w:val="18"/>
                <w:color w:val="auto"/>
              </w:rPr>
            </w:pPr>
          </w:p>
        </w:tc>
        <w:tc>
          <w:tcPr>
            <w:tcW w:w="1340" w:type="dxa"/>
            <w:vAlign w:val="bottom"/>
            <w:gridSpan w:val="2"/>
          </w:tcPr>
          <w:p>
            <w:pPr>
              <w:jc w:val="center"/>
              <w:ind w:right="290"/>
              <w:spacing w:after="0"/>
              <w:rPr>
                <w:sz w:val="20"/>
                <w:szCs w:val="20"/>
                <w:color w:val="auto"/>
              </w:rPr>
            </w:pPr>
            <w:r>
              <w:rPr>
                <w:rFonts w:ascii="Arial" w:cs="Arial" w:eastAsia="Arial" w:hAnsi="Arial"/>
                <w:sz w:val="16"/>
                <w:szCs w:val="16"/>
                <w:b w:val="1"/>
                <w:bCs w:val="1"/>
                <w:color w:val="auto"/>
                <w:w w:val="93"/>
              </w:rPr>
              <w:t>(in millions)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5"/>
        </w:trPr>
        <w:tc>
          <w:tcPr>
            <w:tcW w:w="5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80" w:type="dxa"/>
            <w:vAlign w:val="bottom"/>
            <w:gridSpan w:val="7"/>
          </w:tcPr>
          <w:p>
            <w:pPr>
              <w:jc w:val="center"/>
              <w:ind w:right="220"/>
              <w:spacing w:after="0"/>
              <w:rPr>
                <w:sz w:val="20"/>
                <w:szCs w:val="20"/>
                <w:color w:val="auto"/>
              </w:rPr>
            </w:pPr>
            <w:r>
              <w:rPr>
                <w:rFonts w:ascii="Arial" w:cs="Arial" w:eastAsia="Arial" w:hAnsi="Arial"/>
                <w:sz w:val="16"/>
                <w:szCs w:val="16"/>
                <w:b w:val="1"/>
                <w:bCs w:val="1"/>
                <w:color w:val="auto"/>
                <w:w w:val="93"/>
              </w:rPr>
              <w:t>Three Months Ended</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5"/>
          </w:tcPr>
          <w:p>
            <w:pPr>
              <w:jc w:val="right"/>
              <w:ind w:right="371"/>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80" w:type="dxa"/>
            <w:vAlign w:val="bottom"/>
            <w:gridSpan w:val="6"/>
          </w:tcPr>
          <w:p>
            <w:pPr>
              <w:jc w:val="center"/>
              <w:ind w:right="720"/>
              <w:spacing w:after="0"/>
              <w:rPr>
                <w:sz w:val="20"/>
                <w:szCs w:val="20"/>
                <w:color w:val="auto"/>
              </w:rPr>
            </w:pPr>
            <w:r>
              <w:rPr>
                <w:rFonts w:ascii="Arial" w:cs="Arial" w:eastAsia="Arial" w:hAnsi="Arial"/>
                <w:sz w:val="16"/>
                <w:szCs w:val="16"/>
                <w:b w:val="1"/>
                <w:bCs w:val="1"/>
                <w:color w:val="auto"/>
                <w:w w:val="94"/>
              </w:rPr>
              <w:t>March 31, 2019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5"/>
          </w:tcPr>
          <w:p>
            <w:pPr>
              <w:jc w:val="right"/>
              <w:ind w:right="471"/>
              <w:spacing w:after="0"/>
              <w:rPr>
                <w:sz w:val="20"/>
                <w:szCs w:val="20"/>
                <w:color w:val="auto"/>
              </w:rPr>
            </w:pPr>
            <w:r>
              <w:rPr>
                <w:rFonts w:ascii="Arial" w:cs="Arial" w:eastAsia="Arial" w:hAnsi="Arial"/>
                <w:sz w:val="16"/>
                <w:szCs w:val="16"/>
                <w:b w:val="1"/>
                <w:bCs w:val="1"/>
                <w:color w:val="auto"/>
              </w:rPr>
              <w:t>March 31, 2019</w:t>
            </w:r>
          </w:p>
        </w:tc>
      </w:tr>
      <w:tr>
        <w:trPr>
          <w:trHeight w:val="33"/>
        </w:trPr>
        <w:tc>
          <w:tcPr>
            <w:tcW w:w="50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as reported by BellRing</w:t>
            </w:r>
          </w:p>
        </w:tc>
        <w:tc>
          <w:tcPr>
            <w:tcW w:w="1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90.6</w:t>
            </w:r>
          </w:p>
        </w:tc>
      </w:tr>
      <w:tr>
        <w:trPr>
          <w:trHeight w:val="27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Allocated costs, net of non-GAAP adjustments </w:t>
            </w:r>
            <w:r>
              <w:rPr>
                <w:rFonts w:ascii="Arial" w:cs="Arial" w:eastAsia="Arial" w:hAnsi="Arial"/>
                <w:sz w:val="23"/>
                <w:szCs w:val="23"/>
                <w:color w:val="auto"/>
                <w:vertAlign w:val="superscript"/>
              </w:rPr>
              <w:t>(1)</w:t>
            </w:r>
          </w:p>
        </w:tc>
        <w:tc>
          <w:tcPr>
            <w:tcW w:w="1020" w:type="dxa"/>
            <w:vAlign w:val="bottom"/>
            <w:tcBorders>
              <w:bottom w:val="single" w:sz="8" w:color="CCEEFF"/>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40" w:type="dxa"/>
            <w:vAlign w:val="bottom"/>
            <w:tcBorders>
              <w:bottom w:val="single" w:sz="8" w:color="auto"/>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1.4</w:t>
            </w:r>
          </w:p>
        </w:tc>
      </w:tr>
      <w:tr>
        <w:trPr>
          <w:trHeight w:val="284"/>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1"/>
              </w:rPr>
              <w:t>BellRing Brands segment Adjusted EBITDA, as reported by Post</w:t>
            </w:r>
          </w:p>
        </w:tc>
        <w:tc>
          <w:tcPr>
            <w:tcW w:w="1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92.0</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left="20" w:right="20" w:hanging="7"/>
        <w:spacing w:after="0" w:line="216" w:lineRule="auto"/>
        <w:tabs>
          <w:tab w:leader="none" w:pos="201"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Allocated costs are general and administrative costs that are attributable to BellRing and have been allocated by Post to BellRing. BellRing includes these costs in its SG&amp;A expenses and Operating Profit measures in its Condensed Consolidated Statement of Operations. Post classifies these costs as unallocated corporate expenses, which are reported by Post in general corporate expenses and other. In the above presentation, these costs are shown on a net basis, as they exclude certain items which have been treated as adjustments for the calculation of Adjusted EBITDA as described earlier in this release under “Explanation and Reconciliation of Non-GAAP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sectPr>
      <w:pgSz w:w="11900" w:h="16838" w:orient="portrait"/>
      <w:cols w:equalWidth="0" w:num="1">
        <w:col w:w="11140"/>
      </w:cols>
      <w:pgMar w:left="380" w:top="105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2020-05-07T16:15:14Z</dcterms:created>
  <dcterms:modified xsi:type="dcterms:W3CDTF">2020-05-07T16:15:14Z</dcterms:modified>
</cp:coreProperties>
</file>