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13G/A</w:t>
      </w:r>
    </w:p>
    <w:p>
      <w:pPr>
        <w:spacing w:after="0" w:line="2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BellRing Brands, Inc.</w:t>
      </w:r>
    </w:p>
    <w:p>
      <w:pPr>
        <w:spacing w:after="0" w:line="4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17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Common Stock, $0.01 par value per share</w:t>
      </w:r>
    </w:p>
    <w:p>
      <w:pPr>
        <w:spacing w:after="0" w:line="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7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07831C103</w:t>
      </w:r>
    </w:p>
    <w:p>
      <w:pPr>
        <w:spacing w:after="0" w:line="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17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December 31, 2022</w:t>
      </w:r>
    </w:p>
    <w:p>
      <w:pPr>
        <w:spacing w:after="0" w:line="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33" w:lineRule="exact"/>
        <w:rPr>
          <w:sz w:val="24"/>
          <w:szCs w:val="24"/>
          <w:color w:val="auto"/>
        </w:rPr>
      </w:pPr>
    </w:p>
    <w:p>
      <w:pPr>
        <w:ind w:left="1000" w:hanging="992"/>
        <w:spacing w:after="0"/>
        <w:tabs>
          <w:tab w:leader="none" w:pos="100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Rule 13d-1(b)</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r>
        <w:rPr>
          <w:rFonts w:ascii="Times New Roman" w:cs="Times New Roman" w:eastAsia="Times New Roman" w:hAnsi="Times New Roman"/>
          <w:sz w:val="21"/>
          <w:szCs w:val="21"/>
          <w:color w:val="auto"/>
        </w:rPr>
        <w:t>Rule 13d-1(c)</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r>
        <w:rPr>
          <w:rFonts w:ascii="Times New Roman" w:cs="Times New Roman" w:eastAsia="Times New Roman" w:hAnsi="Times New Roman"/>
          <w:sz w:val="21"/>
          <w:szCs w:val="21"/>
          <w:color w:val="auto"/>
        </w:rPr>
        <w:t>Rule 13d-1(d)</w:t>
      </w:r>
    </w:p>
    <w:p>
      <w:pPr>
        <w:spacing w:after="0" w:line="218" w:lineRule="exact"/>
        <w:rPr>
          <w:sz w:val="24"/>
          <w:szCs w:val="24"/>
          <w:color w:val="auto"/>
        </w:rPr>
      </w:pPr>
    </w:p>
    <w:p>
      <w:pPr>
        <w:ind w:left="460" w:right="220" w:hanging="452"/>
        <w:spacing w:after="0" w:line="282"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2" w:lineRule="exact"/>
        <w:rPr>
          <w:sz w:val="24"/>
          <w:szCs w:val="24"/>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744855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453390</wp:posOffset>
            </wp:positionV>
            <wp:extent cx="534924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49240" cy="25400"/>
                    </a:xfrm>
                    <a:prstGeom prst="rect">
                      <a:avLst/>
                    </a:prstGeom>
                    <a:noFill/>
                  </pic:spPr>
                </pic:pic>
              </a:graphicData>
            </a:graphic>
          </wp:anchor>
        </w:drawing>
      </w:r>
    </w:p>
    <w:p>
      <w:pPr>
        <w:sectPr>
          <w:pgSz w:w="11900" w:h="16838" w:orient="portrait"/>
          <w:cols w:equalWidth="0" w:num="1">
            <w:col w:w="11200"/>
          </w:cols>
          <w:pgMar w:left="320" w:top="1186"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CUSIP No. 07831C103</w:t>
      </w:r>
    </w:p>
    <w:p>
      <w:pPr>
        <w:spacing w:after="0" w:line="242" w:lineRule="exact"/>
        <w:rPr>
          <w:sz w:val="20"/>
          <w:szCs w:val="20"/>
          <w:color w:val="auto"/>
        </w:rPr>
      </w:pPr>
    </w:p>
    <w:p>
      <w:pPr>
        <w:ind w:left="800" w:right="7760" w:hanging="648"/>
        <w:spacing w:after="0" w:line="406" w:lineRule="auto"/>
        <w:tabs>
          <w:tab w:leader="none" w:pos="81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 Aristeia Capital, L.L.C.</w:t>
      </w:r>
    </w:p>
    <w:p>
      <w:pPr>
        <w:spacing w:after="0" w:line="1" w:lineRule="exact"/>
        <w:rPr>
          <w:rFonts w:ascii="Times New Roman" w:cs="Times New Roman" w:eastAsia="Times New Roman" w:hAnsi="Times New Roman"/>
          <w:sz w:val="18"/>
          <w:szCs w:val="18"/>
          <w:color w:val="auto"/>
        </w:rPr>
      </w:pPr>
    </w:p>
    <w:p>
      <w:pPr>
        <w:ind w:left="800" w:hanging="648"/>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-136525</wp:posOffset>
            </wp:positionV>
            <wp:extent cx="654050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40500" cy="17145"/>
                    </a:xfrm>
                    <a:prstGeom prst="rect">
                      <a:avLst/>
                    </a:prstGeom>
                    <a:noFill/>
                  </pic:spPr>
                </pic:pic>
              </a:graphicData>
            </a:graphic>
          </wp:anchor>
        </w:drawing>
      </w:r>
    </w:p>
    <w:p>
      <w:pPr>
        <w:spacing w:after="0" w:line="2" w:lineRule="exact"/>
        <w:rPr>
          <w:sz w:val="20"/>
          <w:szCs w:val="20"/>
          <w:color w:val="auto"/>
        </w:rPr>
      </w:pPr>
    </w:p>
    <w:p>
      <w:pPr>
        <w:ind w:left="800"/>
        <w:spacing w:after="0" w:line="207" w:lineRule="exact"/>
        <w:tabs>
          <w:tab w:leader="none" w:pos="160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163195</wp:posOffset>
            </wp:positionV>
            <wp:extent cx="654050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40500" cy="17145"/>
                    </a:xfrm>
                    <a:prstGeom prst="rect">
                      <a:avLst/>
                    </a:prstGeom>
                    <a:noFill/>
                  </pic:spPr>
                </pic:pic>
              </a:graphicData>
            </a:graphic>
          </wp:anchor>
        </w:drawing>
      </w:r>
    </w:p>
    <w:p>
      <w:pPr>
        <w:spacing w:after="0" w:line="246" w:lineRule="exact"/>
        <w:rPr>
          <w:sz w:val="20"/>
          <w:szCs w:val="20"/>
          <w:color w:val="auto"/>
        </w:rPr>
      </w:pPr>
    </w:p>
    <w:p>
      <w:pPr>
        <w:ind w:left="800" w:hanging="648"/>
        <w:spacing w:after="0"/>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800" w:right="6780" w:hanging="648"/>
        <w:spacing w:after="0" w:line="413" w:lineRule="auto"/>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-457200</wp:posOffset>
            </wp:positionV>
            <wp:extent cx="654050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40500" cy="17145"/>
                    </a:xfrm>
                    <a:prstGeom prst="rect">
                      <a:avLst/>
                    </a:prstGeom>
                    <a:noFill/>
                  </pic:spPr>
                </pic:pic>
              </a:graphicData>
            </a:graphic>
          </wp:anchor>
        </w:drawing>
      </w:r>
    </w:p>
    <w:tbl>
      <w:tblPr>
        <w:tblLayout w:type="fixed"/>
        <w:tblInd w:w="60" w:type="dxa"/>
        <w:tblCellMar>
          <w:top w:w="0" w:type="dxa"/>
          <w:left w:w="0" w:type="dxa"/>
          <w:bottom w:w="0" w:type="dxa"/>
          <w:right w:w="0" w:type="dxa"/>
        </w:tblCellMar>
      </w:tblPr>
      <w:tr>
        <w:trPr>
          <w:trHeight w:val="222"/>
        </w:trPr>
        <w:tc>
          <w:tcPr>
            <w:tcW w:w="75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1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SOLE VOTING POWER</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7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5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 (1)</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7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580" w:type="dxa"/>
            <w:vAlign w:val="bottom"/>
          </w:tcPr>
          <w:p>
            <w:pPr>
              <w:spacing w:after="0"/>
              <w:rPr>
                <w:sz w:val="18"/>
                <w:szCs w:val="18"/>
                <w:color w:val="auto"/>
              </w:rPr>
            </w:pPr>
          </w:p>
        </w:tc>
        <w:tc>
          <w:tcPr>
            <w:tcW w:w="21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58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75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EACH</w:t>
            </w:r>
          </w:p>
        </w:tc>
        <w:tc>
          <w:tcPr>
            <w:tcW w:w="5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7.</w:t>
            </w:r>
          </w:p>
        </w:tc>
        <w:tc>
          <w:tcPr>
            <w:tcW w:w="3060" w:type="dxa"/>
            <w:vAlign w:val="bottom"/>
            <w:gridSpan w:val="2"/>
          </w:tcPr>
          <w:p>
            <w:pPr>
              <w:ind w:left="140"/>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7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580" w:type="dxa"/>
            <w:vAlign w:val="bottom"/>
          </w:tcPr>
          <w:p>
            <w:pPr>
              <w:spacing w:after="0"/>
              <w:rPr>
                <w:sz w:val="19"/>
                <w:szCs w:val="19"/>
                <w:color w:val="auto"/>
              </w:rPr>
            </w:pPr>
          </w:p>
        </w:tc>
        <w:tc>
          <w:tcPr>
            <w:tcW w:w="2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 (1)</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7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580" w:type="dxa"/>
            <w:vAlign w:val="bottom"/>
            <w:tcBorders>
              <w:bottom w:val="single" w:sz="8" w:color="auto"/>
            </w:tcBorders>
          </w:tcPr>
          <w:p>
            <w:pPr>
              <w:spacing w:after="0"/>
              <w:rPr>
                <w:sz w:val="5"/>
                <w:szCs w:val="5"/>
                <w:color w:val="auto"/>
              </w:rPr>
            </w:pPr>
          </w:p>
        </w:tc>
        <w:tc>
          <w:tcPr>
            <w:tcW w:w="21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7540" w:type="dxa"/>
            <w:vAlign w:val="bottom"/>
            <w:vMerge w:val="continue"/>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75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30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1"/>
        </w:trPr>
        <w:tc>
          <w:tcPr>
            <w:tcW w:w="7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740" w:right="3960" w:hanging="588"/>
        <w:spacing w:after="0" w:line="406" w:lineRule="auto"/>
        <w:tabs>
          <w:tab w:leader="none" w:pos="73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0 (1)</w:t>
      </w:r>
    </w:p>
    <w:p>
      <w:pPr>
        <w:spacing w:after="0" w:line="1" w:lineRule="exact"/>
        <w:rPr>
          <w:rFonts w:ascii="Times New Roman" w:cs="Times New Roman" w:eastAsia="Times New Roman" w:hAnsi="Times New Roman"/>
          <w:sz w:val="18"/>
          <w:szCs w:val="18"/>
          <w:color w:val="auto"/>
        </w:rPr>
      </w:pPr>
    </w:p>
    <w:p>
      <w:pPr>
        <w:ind w:left="740" w:hanging="678"/>
        <w:spacing w:after="0"/>
        <w:tabs>
          <w:tab w:leader="none" w:pos="7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223" w:lineRule="exact"/>
        <w:rPr>
          <w:rFonts w:ascii="Times New Roman" w:cs="Times New Roman" w:eastAsia="Times New Roman" w:hAnsi="Times New Roman"/>
          <w:sz w:val="18"/>
          <w:szCs w:val="18"/>
          <w:color w:val="auto"/>
        </w:rPr>
      </w:pPr>
    </w:p>
    <w:p>
      <w:pPr>
        <w:ind w:left="74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740" w:hanging="678"/>
        <w:spacing w:after="0"/>
        <w:tabs>
          <w:tab w:leader="none" w:pos="7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40" w:lineRule="exact"/>
        <w:rPr>
          <w:rFonts w:ascii="Times New Roman" w:cs="Times New Roman" w:eastAsia="Times New Roman" w:hAnsi="Times New Roman"/>
          <w:sz w:val="18"/>
          <w:szCs w:val="18"/>
          <w:color w:val="auto"/>
        </w:rPr>
      </w:pPr>
    </w:p>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0 %</w:t>
      </w:r>
    </w:p>
    <w:p>
      <w:pPr>
        <w:spacing w:after="0" w:line="36" w:lineRule="exact"/>
        <w:rPr>
          <w:rFonts w:ascii="Times New Roman" w:cs="Times New Roman" w:eastAsia="Times New Roman" w:hAnsi="Times New Roman"/>
          <w:sz w:val="18"/>
          <w:szCs w:val="18"/>
          <w:color w:val="auto"/>
        </w:rPr>
      </w:pPr>
    </w:p>
    <w:p>
      <w:pPr>
        <w:ind w:left="740" w:right="6180" w:hanging="678"/>
        <w:spacing w:after="0" w:line="547" w:lineRule="auto"/>
        <w:tabs>
          <w:tab w:leader="none" w:pos="73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IA, OO</w:t>
      </w:r>
    </w:p>
    <w:p>
      <w:pPr>
        <w:spacing w:after="0" w:line="1" w:lineRule="exact"/>
        <w:rPr>
          <w:rFonts w:ascii="Times New Roman" w:cs="Times New Roman" w:eastAsia="Times New Roman" w:hAnsi="Times New Roman"/>
          <w:sz w:val="18"/>
          <w:szCs w:val="18"/>
          <w:color w:val="auto"/>
        </w:rPr>
      </w:pPr>
    </w:p>
    <w:p>
      <w:pPr>
        <w:ind w:left="800" w:right="100" w:hanging="792"/>
        <w:spacing w:after="0" w:line="282" w:lineRule="auto"/>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Aristeia Capital, L.L.C. is the investment manager of, and has voting and investment control with respect to the securities described herein held by, one or more private investment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-1805305</wp:posOffset>
            </wp:positionV>
            <wp:extent cx="654050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40500" cy="1714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-1359535</wp:posOffset>
            </wp:positionV>
            <wp:extent cx="654050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40500" cy="1714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-913765</wp:posOffset>
            </wp:positionV>
            <wp:extent cx="654050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40500" cy="1714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-467995</wp:posOffset>
            </wp:positionV>
            <wp:extent cx="654050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4050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654050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 w:name="page3"/>
    <w:bookmarkEnd w:id="2"/>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w:t>
            </w:r>
          </w:p>
        </w:tc>
        <w:tc>
          <w:tcPr>
            <w:tcW w:w="4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Name of Issuer:</w:t>
            </w:r>
          </w:p>
        </w:tc>
      </w:tr>
      <w:tr>
        <w:trPr>
          <w:trHeight w:val="216"/>
        </w:trPr>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BellRing Brands, Inc. (the “Issuer”)</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w:t>
            </w:r>
          </w:p>
        </w:tc>
        <w:tc>
          <w:tcPr>
            <w:tcW w:w="4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Address of Issuer’s Principal Executive Offices:</w:t>
            </w:r>
          </w:p>
        </w:tc>
      </w:tr>
      <w:tr>
        <w:trPr>
          <w:trHeight w:val="216"/>
        </w:trPr>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2503 S. Hanley Road</w:t>
            </w:r>
          </w:p>
        </w:tc>
      </w:tr>
      <w:tr>
        <w:trPr>
          <w:trHeight w:val="234"/>
        </w:trPr>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 Louis, Missouri 63144</w:t>
            </w:r>
          </w:p>
        </w:tc>
      </w:tr>
      <w:tr>
        <w:trPr>
          <w:trHeight w:val="41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w:t>
            </w:r>
          </w:p>
        </w:tc>
        <w:tc>
          <w:tcPr>
            <w:tcW w:w="4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Name of Person Filing:</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w:t>
            </w:r>
          </w:p>
        </w:tc>
        <w:tc>
          <w:tcPr>
            <w:tcW w:w="44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Address of Principal Business Office or, If None, Residence.</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w:t>
            </w:r>
          </w:p>
        </w:tc>
        <w:tc>
          <w:tcPr>
            <w:tcW w:w="4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Citizenship.</w:t>
            </w:r>
          </w:p>
        </w:tc>
      </w:tr>
      <w:tr>
        <w:trPr>
          <w:trHeight w:val="206"/>
        </w:trPr>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Aristeia Capital, L.L.C.</w:t>
            </w:r>
          </w:p>
        </w:tc>
      </w:tr>
      <w:tr>
        <w:trPr>
          <w:trHeight w:val="226"/>
        </w:trPr>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60" w:type="dxa"/>
            <w:vAlign w:val="bottom"/>
          </w:tcPr>
          <w:p>
            <w:pPr>
              <w:ind w:left="80"/>
              <w:spacing w:after="0" w:line="226" w:lineRule="exact"/>
              <w:rPr>
                <w:sz w:val="20"/>
                <w:szCs w:val="20"/>
                <w:color w:val="auto"/>
              </w:rPr>
            </w:pPr>
            <w:r>
              <w:rPr>
                <w:rFonts w:ascii="Times New Roman" w:cs="Times New Roman" w:eastAsia="Times New Roman" w:hAnsi="Times New Roman"/>
                <w:sz w:val="16"/>
                <w:szCs w:val="16"/>
                <w:color w:val="auto"/>
              </w:rPr>
              <w:t>One Greenwich Plaza,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6"/>
                <w:szCs w:val="16"/>
                <w:color w:val="auto"/>
              </w:rPr>
              <w:t xml:space="preserve"> Floor</w:t>
            </w:r>
          </w:p>
        </w:tc>
      </w:tr>
      <w:tr>
        <w:trPr>
          <w:trHeight w:val="216"/>
        </w:trPr>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Greenwich, CT 06830</w:t>
            </w:r>
          </w:p>
        </w:tc>
      </w:tr>
      <w:tr>
        <w:trPr>
          <w:trHeight w:val="234"/>
        </w:trPr>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41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w:t>
            </w:r>
          </w:p>
        </w:tc>
        <w:tc>
          <w:tcPr>
            <w:tcW w:w="4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Title of Class of Securities:</w:t>
            </w:r>
          </w:p>
        </w:tc>
      </w:tr>
      <w:tr>
        <w:trPr>
          <w:trHeight w:val="216"/>
        </w:trPr>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Common Stock, $0.01 par value per share (“Shares”)</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w:t>
            </w:r>
          </w:p>
        </w:tc>
        <w:tc>
          <w:tcPr>
            <w:tcW w:w="4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CUSIP Number:</w:t>
            </w:r>
          </w:p>
        </w:tc>
      </w:tr>
      <w:tr>
        <w:trPr>
          <w:trHeight w:val="234"/>
        </w:trPr>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07831C103</w:t>
            </w:r>
          </w:p>
        </w:tc>
      </w:tr>
    </w:tbl>
    <w:p>
      <w:pPr>
        <w:spacing w:after="0" w:line="22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8"/>
          <w:szCs w:val="18"/>
          <w:color w:val="auto"/>
        </w:rPr>
        <w:t>If this statement is filed pursuant to §§240.13d-1(b) or (c), check whether the person filing is a:</w:t>
      </w:r>
    </w:p>
    <w:p>
      <w:pPr>
        <w:spacing w:after="0" w:line="22" w:lineRule="exact"/>
        <w:rPr>
          <w:sz w:val="20"/>
          <w:szCs w:val="20"/>
          <w:color w:val="auto"/>
        </w:rPr>
      </w:pPr>
    </w:p>
    <w:p>
      <w:pPr>
        <w:ind w:left="1260" w:hanging="456"/>
        <w:spacing w:after="0" w:line="207" w:lineRule="exact"/>
        <w:tabs>
          <w:tab w:leader="none" w:pos="126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Exchange Act (15 U.S.C. 78c).</w:t>
      </w:r>
    </w:p>
    <w:p>
      <w:pPr>
        <w:spacing w:after="0" w:line="15" w:lineRule="exact"/>
        <w:rPr>
          <w:rFonts w:ascii="Times New Roman" w:cs="Times New Roman" w:eastAsia="Times New Roman" w:hAnsi="Times New Roman"/>
          <w:sz w:val="18"/>
          <w:szCs w:val="18"/>
          <w:color w:val="auto"/>
        </w:rPr>
      </w:pPr>
    </w:p>
    <w:p>
      <w:pPr>
        <w:ind w:left="1260" w:hanging="456"/>
        <w:spacing w:after="0" w:line="207" w:lineRule="exact"/>
        <w:tabs>
          <w:tab w:leader="none" w:pos="126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Exchange Act (15 U.S.C. 78c).</w:t>
      </w:r>
    </w:p>
    <w:p>
      <w:pPr>
        <w:spacing w:after="0" w:line="9" w:lineRule="exact"/>
        <w:rPr>
          <w:rFonts w:ascii="Times New Roman" w:cs="Times New Roman" w:eastAsia="Times New Roman" w:hAnsi="Times New Roman"/>
          <w:sz w:val="18"/>
          <w:szCs w:val="18"/>
          <w:color w:val="auto"/>
        </w:rPr>
      </w:pPr>
    </w:p>
    <w:p>
      <w:pPr>
        <w:ind w:left="1260" w:hanging="456"/>
        <w:spacing w:after="0" w:line="207" w:lineRule="exact"/>
        <w:tabs>
          <w:tab w:leader="none" w:pos="126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Exchange Act (15 U.S.C. 78c).</w:t>
      </w:r>
    </w:p>
    <w:p>
      <w:pPr>
        <w:spacing w:after="0" w:line="9" w:lineRule="exact"/>
        <w:rPr>
          <w:rFonts w:ascii="Times New Roman" w:cs="Times New Roman" w:eastAsia="Times New Roman" w:hAnsi="Times New Roman"/>
          <w:sz w:val="18"/>
          <w:szCs w:val="18"/>
          <w:color w:val="auto"/>
        </w:rPr>
      </w:pPr>
    </w:p>
    <w:p>
      <w:pPr>
        <w:ind w:left="1260" w:hanging="456"/>
        <w:spacing w:after="0" w:line="207" w:lineRule="exact"/>
        <w:tabs>
          <w:tab w:leader="none" w:pos="126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9" w:lineRule="exact"/>
        <w:rPr>
          <w:rFonts w:ascii="Times New Roman" w:cs="Times New Roman" w:eastAsia="Times New Roman" w:hAnsi="Times New Roman"/>
          <w:sz w:val="18"/>
          <w:szCs w:val="18"/>
          <w:color w:val="auto"/>
        </w:rPr>
      </w:pPr>
    </w:p>
    <w:p>
      <w:pPr>
        <w:ind w:left="1260" w:hanging="456"/>
        <w:spacing w:after="0" w:line="207" w:lineRule="exact"/>
        <w:tabs>
          <w:tab w:leader="none" w:pos="126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 240.13d-1(b)(1)(ii)(E);</w:t>
      </w:r>
    </w:p>
    <w:p>
      <w:pPr>
        <w:spacing w:after="0" w:line="9" w:lineRule="exact"/>
        <w:rPr>
          <w:rFonts w:ascii="Times New Roman" w:cs="Times New Roman" w:eastAsia="Times New Roman" w:hAnsi="Times New Roman"/>
          <w:sz w:val="18"/>
          <w:szCs w:val="18"/>
          <w:color w:val="auto"/>
        </w:rPr>
      </w:pPr>
    </w:p>
    <w:p>
      <w:pPr>
        <w:ind w:left="1260" w:hanging="456"/>
        <w:spacing w:after="0" w:line="207" w:lineRule="exact"/>
        <w:tabs>
          <w:tab w:leader="none" w:pos="126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 240.13d-1(b)(1)(ii)(F);</w:t>
      </w:r>
    </w:p>
    <w:p>
      <w:pPr>
        <w:spacing w:after="0" w:line="9" w:lineRule="exact"/>
        <w:rPr>
          <w:rFonts w:ascii="Times New Roman" w:cs="Times New Roman" w:eastAsia="Times New Roman" w:hAnsi="Times New Roman"/>
          <w:sz w:val="18"/>
          <w:szCs w:val="18"/>
          <w:color w:val="auto"/>
        </w:rPr>
      </w:pPr>
    </w:p>
    <w:p>
      <w:pPr>
        <w:ind w:left="1260" w:hanging="456"/>
        <w:spacing w:after="0" w:line="207" w:lineRule="exact"/>
        <w:tabs>
          <w:tab w:leader="none" w:pos="126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Rule 13d-1(b)(1)(ii)(G);</w:t>
      </w:r>
    </w:p>
    <w:p>
      <w:pPr>
        <w:spacing w:after="0" w:line="9" w:lineRule="exact"/>
        <w:rPr>
          <w:rFonts w:ascii="Times New Roman" w:cs="Times New Roman" w:eastAsia="Times New Roman" w:hAnsi="Times New Roman"/>
          <w:sz w:val="18"/>
          <w:szCs w:val="18"/>
          <w:color w:val="auto"/>
        </w:rPr>
      </w:pPr>
    </w:p>
    <w:p>
      <w:pPr>
        <w:ind w:left="1260" w:hanging="456"/>
        <w:spacing w:after="0" w:line="207" w:lineRule="exact"/>
        <w:tabs>
          <w:tab w:leader="none" w:pos="126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 as defined in Section 3(b) of the Federal Deposit Insurance Act (12 U.S.C.1813);</w:t>
      </w:r>
    </w:p>
    <w:p>
      <w:pPr>
        <w:spacing w:after="0" w:line="9" w:lineRule="exact"/>
        <w:rPr>
          <w:rFonts w:ascii="Times New Roman" w:cs="Times New Roman" w:eastAsia="Times New Roman" w:hAnsi="Times New Roman"/>
          <w:sz w:val="18"/>
          <w:szCs w:val="18"/>
          <w:color w:val="auto"/>
        </w:rPr>
      </w:pPr>
    </w:p>
    <w:p>
      <w:pPr>
        <w:ind w:left="1680" w:right="280" w:hanging="876"/>
        <w:spacing w:after="0" w:line="215" w:lineRule="exact"/>
        <w:tabs>
          <w:tab w:leader="none" w:pos="1248"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ind w:left="1260" w:hanging="456"/>
        <w:spacing w:after="0" w:line="207" w:lineRule="exact"/>
        <w:tabs>
          <w:tab w:leader="none" w:pos="126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 240.13d-1(b)(1)(ii)(J).</w:t>
      </w:r>
    </w:p>
    <w:p>
      <w:pPr>
        <w:sectPr>
          <w:pgSz w:w="11900" w:h="16882" w:orient="portrait"/>
          <w:cols w:equalWidth="0" w:num="1">
            <w:col w:w="11240"/>
          </w:cols>
          <w:pgMar w:left="320" w:top="364" w:right="339" w:bottom="0" w:gutter="0" w:footer="0" w:header="0"/>
        </w:sect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information regarding the aggregate number and percentage of the class of securities of the issuer identified in Item 1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12/31/2022.</w:t>
      </w:r>
    </w:p>
    <w:p>
      <w:pPr>
        <w:spacing w:after="0" w:line="200" w:lineRule="exact"/>
        <w:rPr>
          <w:sz w:val="20"/>
          <w:szCs w:val="20"/>
          <w:color w:val="auto"/>
        </w:rPr>
      </w:pPr>
    </w:p>
    <w:p>
      <w:pPr>
        <w:sectPr>
          <w:pgSz w:w="11900" w:h="16882" w:orient="portrait"/>
          <w:cols w:equalWidth="0" w:num="2">
            <w:col w:w="480" w:space="360"/>
            <w:col w:w="10400"/>
          </w:cols>
          <w:pgMar w:left="320" w:top="364" w:right="339" w:bottom="0" w:gutter="0" w:footer="0" w:header="0"/>
          <w:type w:val="continuous"/>
        </w:sectPr>
      </w:pPr>
    </w:p>
    <w:p>
      <w:pPr>
        <w:spacing w:after="0" w:line="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Items 5-9 and 11 of the cover page to this Schedule 13G are incorporated herein by reference.</w:t>
      </w:r>
    </w:p>
    <w:p>
      <w:pPr>
        <w:spacing w:after="0" w:line="237" w:lineRule="exact"/>
        <w:rPr>
          <w:sz w:val="20"/>
          <w:szCs w:val="20"/>
          <w:color w:val="auto"/>
        </w:rPr>
      </w:pPr>
    </w:p>
    <w:p>
      <w:pPr>
        <w:ind w:left="840"/>
        <w:spacing w:after="0"/>
        <w:tabs>
          <w:tab w:leader="none" w:pos="1180" w:val="left"/>
        </w:tabs>
        <w:rPr>
          <w:sz w:val="20"/>
          <w:szCs w:val="20"/>
          <w:color w:val="auto"/>
        </w:rPr>
      </w:pPr>
      <w:r>
        <w:rPr>
          <w:rFonts w:ascii="Times New Roman" w:cs="Times New Roman" w:eastAsia="Times New Roman" w:hAnsi="Times New Roman"/>
          <w:sz w:val="18"/>
          <w:szCs w:val="18"/>
          <w:color w:val="auto"/>
        </w:rPr>
        <w:t>(a)</w:t>
        <w:tab/>
        <w:t>Amount beneficially owned: 0</w:t>
      </w:r>
    </w:p>
    <w:p>
      <w:pPr>
        <w:spacing w:after="0" w:line="27" w:lineRule="exact"/>
        <w:rPr>
          <w:sz w:val="20"/>
          <w:szCs w:val="20"/>
          <w:color w:val="auto"/>
        </w:rPr>
      </w:pPr>
    </w:p>
    <w:p>
      <w:pPr>
        <w:ind w:left="840"/>
        <w:spacing w:after="0"/>
        <w:tabs>
          <w:tab w:leader="none" w:pos="1180" w:val="left"/>
        </w:tabs>
        <w:rPr>
          <w:sz w:val="20"/>
          <w:szCs w:val="20"/>
          <w:color w:val="auto"/>
        </w:rPr>
      </w:pPr>
      <w:r>
        <w:rPr>
          <w:rFonts w:ascii="Times New Roman" w:cs="Times New Roman" w:eastAsia="Times New Roman" w:hAnsi="Times New Roman"/>
          <w:sz w:val="18"/>
          <w:szCs w:val="18"/>
          <w:color w:val="auto"/>
        </w:rPr>
        <w:t>(b)</w:t>
        <w:tab/>
        <w:t>Percent of Class: 0 %</w:t>
      </w:r>
    </w:p>
    <w:p>
      <w:pPr>
        <w:spacing w:after="0" w:line="9" w:lineRule="exact"/>
        <w:rPr>
          <w:sz w:val="20"/>
          <w:szCs w:val="20"/>
          <w:color w:val="auto"/>
        </w:rPr>
      </w:pPr>
    </w:p>
    <w:p>
      <w:pPr>
        <w:ind w:left="840"/>
        <w:spacing w:after="0"/>
        <w:tabs>
          <w:tab w:leader="none" w:pos="1180" w:val="left"/>
        </w:tabs>
        <w:rPr>
          <w:sz w:val="20"/>
          <w:szCs w:val="20"/>
          <w:color w:val="auto"/>
        </w:rPr>
      </w:pPr>
      <w:r>
        <w:rPr>
          <w:rFonts w:ascii="Times New Roman" w:cs="Times New Roman" w:eastAsia="Times New Roman" w:hAnsi="Times New Roman"/>
          <w:sz w:val="18"/>
          <w:szCs w:val="18"/>
          <w:color w:val="auto"/>
        </w:rPr>
        <w:t>(c)</w:t>
        <w:tab/>
        <w:t>Number of shares as to which such person has:</w:t>
      </w:r>
    </w:p>
    <w:p>
      <w:pPr>
        <w:spacing w:after="0" w:line="9" w:lineRule="exact"/>
        <w:rPr>
          <w:sz w:val="20"/>
          <w:szCs w:val="20"/>
          <w:color w:val="auto"/>
        </w:rPr>
      </w:pPr>
    </w:p>
    <w:p>
      <w:pPr>
        <w:ind w:left="1200"/>
        <w:spacing w:after="0"/>
        <w:tabs>
          <w:tab w:leader="none" w:pos="1580" w:val="left"/>
        </w:tabs>
        <w:rPr>
          <w:sz w:val="20"/>
          <w:szCs w:val="20"/>
          <w:color w:val="auto"/>
        </w:rPr>
      </w:pPr>
      <w:r>
        <w:rPr>
          <w:rFonts w:ascii="Times New Roman" w:cs="Times New Roman" w:eastAsia="Times New Roman" w:hAnsi="Times New Roman"/>
          <w:sz w:val="18"/>
          <w:szCs w:val="18"/>
          <w:color w:val="auto"/>
        </w:rPr>
        <w:t>(i)</w:t>
        <w:tab/>
        <w:t>sole power to vote or direct the vote: 0</w:t>
      </w:r>
    </w:p>
    <w:p>
      <w:pPr>
        <w:spacing w:after="0" w:line="9" w:lineRule="exact"/>
        <w:rPr>
          <w:sz w:val="20"/>
          <w:szCs w:val="20"/>
          <w:color w:val="auto"/>
        </w:rPr>
      </w:pPr>
    </w:p>
    <w:p>
      <w:pPr>
        <w:ind w:left="1200"/>
        <w:spacing w:after="0"/>
        <w:tabs>
          <w:tab w:leader="none" w:pos="1580" w:val="left"/>
        </w:tabs>
        <w:rPr>
          <w:sz w:val="20"/>
          <w:szCs w:val="20"/>
          <w:color w:val="auto"/>
        </w:rPr>
      </w:pPr>
      <w:r>
        <w:rPr>
          <w:rFonts w:ascii="Times New Roman" w:cs="Times New Roman" w:eastAsia="Times New Roman" w:hAnsi="Times New Roman"/>
          <w:sz w:val="18"/>
          <w:szCs w:val="18"/>
          <w:color w:val="auto"/>
        </w:rPr>
        <w:t>(ii)</w:t>
        <w:tab/>
        <w:t>shared power to vote or direct the vote: 0</w:t>
      </w:r>
    </w:p>
    <w:p>
      <w:pPr>
        <w:sectPr>
          <w:pgSz w:w="11900" w:h="16882" w:orient="portrait"/>
          <w:cols w:equalWidth="0" w:num="1">
            <w:col w:w="11240"/>
          </w:cols>
          <w:pgMar w:left="320" w:top="364" w:right="339" w:bottom="0" w:gutter="0" w:footer="0" w:header="0"/>
          <w:type w:val="continuous"/>
        </w:sect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Five Percent or Less of a Class.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this statement is being filed to report the fact that as of the date hereof the reporting person has ceased to be the beneficial owner of more than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five percent of the class of securities, check the following [X] .</w:t>
      </w:r>
    </w:p>
    <w:p>
      <w:pPr>
        <w:spacing w:after="0" w:line="200" w:lineRule="exact"/>
        <w:rPr>
          <w:sz w:val="20"/>
          <w:szCs w:val="20"/>
          <w:color w:val="auto"/>
        </w:rPr>
      </w:pPr>
    </w:p>
    <w:p>
      <w:pPr>
        <w:sectPr>
          <w:pgSz w:w="11900" w:h="16882" w:orient="portrait"/>
          <w:cols w:equalWidth="0" w:num="2">
            <w:col w:w="520" w:space="280"/>
            <w:col w:w="10440"/>
          </w:cols>
          <w:pgMar w:left="320" w:top="364" w:right="339" w:bottom="0" w:gutter="0" w:footer="0" w:header="0"/>
          <w:type w:val="continuous"/>
        </w:sectPr>
      </w:pP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6.</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More Than Five Percent on Behalf of Another Person.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any other person is known to have the right to receive or the power to direct the receipt of dividends from, or the proceeds from the sale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securities, a statement to that effect should be included in response to this item and, if such interest relates to more than five percent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class, such person should be identified. A listing of the shareholders of an investment company registered under the Investment Company Act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1940 or the beneficiaries of employee benefit plan, pension fund or endowment fund is not required.</w:t>
      </w:r>
    </w:p>
    <w:p>
      <w:pPr>
        <w:spacing w:after="0" w:line="200" w:lineRule="exact"/>
        <w:rPr>
          <w:sz w:val="20"/>
          <w:szCs w:val="20"/>
          <w:color w:val="auto"/>
        </w:rPr>
      </w:pPr>
    </w:p>
    <w:p>
      <w:pPr>
        <w:sectPr>
          <w:pgSz w:w="11900" w:h="16882" w:orient="portrait"/>
          <w:cols w:equalWidth="0" w:num="2">
            <w:col w:w="520" w:space="300"/>
            <w:col w:w="10420"/>
          </w:cols>
          <w:pgMar w:left="320" w:top="364" w:right="339" w:bottom="0" w:gutter="0" w:footer="0" w:header="0"/>
          <w:type w:val="continuous"/>
        </w:sectPr>
      </w:pPr>
    </w:p>
    <w:p>
      <w:pPr>
        <w:spacing w:after="0" w:line="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N/A</w:t>
      </w:r>
    </w:p>
    <w:p>
      <w:pPr>
        <w:sectPr>
          <w:pgSz w:w="11900" w:h="16882" w:orient="portrait"/>
          <w:cols w:equalWidth="0" w:num="1">
            <w:col w:w="11240"/>
          </w:cols>
          <w:pgMar w:left="320" w:top="364" w:right="339" w:bottom="0" w:gutter="0" w:footer="0" w:header="0"/>
          <w:type w:val="continuous"/>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7.</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Identification and Classification of the Subsidiary Which Acquired the Security Being Reported on by the Parent Holding Company.</w:t>
      </w:r>
    </w:p>
    <w:p>
      <w:pPr>
        <w:spacing w:after="0" w:line="211" w:lineRule="exact"/>
        <w:rPr>
          <w:sz w:val="20"/>
          <w:szCs w:val="20"/>
          <w:color w:val="auto"/>
        </w:rPr>
      </w:pPr>
    </w:p>
    <w:p>
      <w:pPr>
        <w:sectPr>
          <w:pgSz w:w="11900" w:h="16882" w:orient="portrait"/>
          <w:cols w:equalWidth="0" w:num="2">
            <w:col w:w="520" w:space="300"/>
            <w:col w:w="10420"/>
          </w:cols>
          <w:pgMar w:left="320" w:top="364" w:right="339" w:bottom="0" w:gutter="0" w:footer="0" w:header="0"/>
          <w:type w:val="continuous"/>
        </w:sectPr>
      </w:pPr>
    </w:p>
    <w:p>
      <w:pPr>
        <w:spacing w:after="0" w:line="25" w:lineRule="exact"/>
        <w:rPr>
          <w:sz w:val="20"/>
          <w:szCs w:val="20"/>
          <w:color w:val="auto"/>
        </w:rPr>
      </w:pPr>
    </w:p>
    <w:p>
      <w:pPr>
        <w:jc w:val="both"/>
        <w:ind w:left="820"/>
        <w:spacing w:after="0" w:line="266" w:lineRule="auto"/>
        <w:rPr>
          <w:sz w:val="20"/>
          <w:szCs w:val="20"/>
          <w:color w:val="auto"/>
        </w:rPr>
      </w:pPr>
      <w:r>
        <w:rPr>
          <w:rFonts w:ascii="Times New Roman" w:cs="Times New Roman" w:eastAsia="Times New Roman" w:hAnsi="Times New Roman"/>
          <w:sz w:val="18"/>
          <w:szCs w:val="18"/>
          <w:color w:val="auto"/>
        </w:rPr>
        <w:t>If a parent holding company has filed this schedule, pursuant to Rule 13d-1(b)(1)(ii)(G),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ectPr>
          <w:pgSz w:w="11900" w:h="16882" w:orient="portrait"/>
          <w:cols w:equalWidth="0" w:num="1">
            <w:col w:w="11240"/>
          </w:cols>
          <w:pgMar w:left="320" w:top="364" w:right="339" w:bottom="0" w:gutter="0" w:footer="0" w:header="0"/>
          <w:type w:val="continuous"/>
        </w:sect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8.</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Identification and Classification of Members of the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a group has filed this schedule pursuant to §240.13d-1(b)(1)(ii)(J), so indicate under Item 3(j) and attach an exhibit stating the identity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classification of each member of the group. If a group has filed this schedule pursuant to §240.13d-1(c) or §240.13d-1(d), attach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stating the identity of each member of the group.</w:t>
      </w:r>
    </w:p>
    <w:p>
      <w:pPr>
        <w:spacing w:after="0" w:line="200" w:lineRule="exact"/>
        <w:rPr>
          <w:sz w:val="20"/>
          <w:szCs w:val="20"/>
          <w:color w:val="auto"/>
        </w:rPr>
      </w:pPr>
    </w:p>
    <w:p>
      <w:pPr>
        <w:sectPr>
          <w:pgSz w:w="11900" w:h="16882" w:orient="portrait"/>
          <w:cols w:equalWidth="0" w:num="2">
            <w:col w:w="520" w:space="300"/>
            <w:col w:w="10420"/>
          </w:cols>
          <w:pgMar w:left="320" w:top="364" w:right="339" w:bottom="0" w:gutter="0" w:footer="0" w:header="0"/>
          <w:type w:val="continuous"/>
        </w:sect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of Dissolution of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Notice of dissolution of a group may be furnished as an exhibit stating the date of the dissolution and that all further filings with respect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in the security reported on will be filed, if required, by members of the group, in their individual capacity. See Item 5.</w:t>
      </w:r>
    </w:p>
    <w:p>
      <w:pPr>
        <w:spacing w:after="0" w:line="200" w:lineRule="exact"/>
        <w:rPr>
          <w:sz w:val="20"/>
          <w:szCs w:val="20"/>
          <w:color w:val="auto"/>
        </w:rPr>
      </w:pPr>
    </w:p>
    <w:p>
      <w:pPr>
        <w:sectPr>
          <w:pgSz w:w="11900" w:h="16882" w:orient="portrait"/>
          <w:cols w:equalWidth="0" w:num="2">
            <w:col w:w="520" w:space="300"/>
            <w:col w:w="10420"/>
          </w:cols>
          <w:pgMar w:left="320" w:top="364" w:right="339" w:bottom="0" w:gutter="0" w:footer="0" w:header="0"/>
          <w:type w:val="continuous"/>
        </w:sect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w:t>
      </w:r>
    </w:p>
    <w:p>
      <w:pPr>
        <w:sectPr>
          <w:pgSz w:w="11900" w:h="16882" w:orient="portrait"/>
          <w:cols w:equalWidth="0" w:num="2">
            <w:col w:w="600" w:space="220"/>
            <w:col w:w="10420"/>
          </w:cols>
          <w:pgMar w:left="320" w:top="364" w:right="339" w:bottom="0" w:gutter="0" w:footer="0" w:header="0"/>
          <w:type w:val="continuous"/>
        </w:sectPr>
      </w:pPr>
    </w:p>
    <w:bookmarkStart w:id="3" w:name="page4"/>
    <w:bookmarkEnd w:id="3"/>
    <w:p>
      <w:pPr>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254000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00"/>
          </w:cols>
          <w:pgMar w:left="1140" w:top="121" w:right="359" w:bottom="1440" w:gutter="0" w:footer="0" w:header="0"/>
        </w:sectPr>
      </w:pPr>
    </w:p>
    <w:bookmarkStart w:id="4" w:name="page5"/>
    <w:bookmarkEnd w:id="4"/>
    <w:p>
      <w:pPr>
        <w:jc w:val="center"/>
        <w:ind w:right="-339"/>
        <w:spacing w:after="0"/>
        <w:rPr>
          <w:sz w:val="20"/>
          <w:szCs w:val="20"/>
          <w:color w:val="auto"/>
        </w:rPr>
      </w:pPr>
      <w:r>
        <w:rPr>
          <w:rFonts w:ascii="Times New Roman" w:cs="Times New Roman" w:eastAsia="Times New Roman" w:hAnsi="Times New Roman"/>
          <w:sz w:val="22"/>
          <w:szCs w:val="22"/>
          <w:color w:val="auto"/>
        </w:rPr>
        <w:t>SIGNATURE</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February 10, 2023</w:t>
      </w:r>
    </w:p>
    <w:p>
      <w:pPr>
        <w:spacing w:after="0" w:line="2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ARISTEIA CAPITAL, L.L.C.</w:t>
      </w:r>
    </w:p>
    <w:p>
      <w:pPr>
        <w:spacing w:after="0" w:line="198" w:lineRule="exact"/>
        <w:rPr>
          <w:sz w:val="20"/>
          <w:szCs w:val="20"/>
          <w:color w:val="auto"/>
        </w:rPr>
      </w:pPr>
    </w:p>
    <w:p>
      <w:pPr>
        <w:ind w:left="6500"/>
        <w:spacing w:after="0"/>
        <w:tabs>
          <w:tab w:leader="none" w:pos="71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Andrew B. David</w:t>
      </w:r>
    </w:p>
    <w:p>
      <w:pPr>
        <w:spacing w:after="0" w:line="19"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Name: Andrew B. David</w:t>
      </w:r>
    </w:p>
    <w:p>
      <w:pPr>
        <w:spacing w:after="0" w:line="7"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Title:  Chief Operating Officer</w:t>
      </w:r>
    </w:p>
    <w:sectPr>
      <w:pgSz w:w="11900" w:h="16838" w:orient="portrait"/>
      <w:cols w:equalWidth="0" w:num="1">
        <w:col w:w="10900"/>
      </w:cols>
      <w:pgMar w:left="320" w:top="112"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upperLetter"/>
      <w:start w:val="24"/>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3"/>
    </w:lvl>
  </w:abstractNum>
  <w:abstractNum w:abstractNumId="4">
    <w:nsid w:val="507ED7AB"/>
    <w:multiLevelType w:val="hybridMultilevel"/>
    <w:lvl w:ilvl="0">
      <w:lvlJc w:val="left"/>
      <w:lvlText w:val="%1"/>
      <w:numFmt w:val="decimal"/>
      <w:start w:val="1"/>
    </w:lvl>
    <w:lvl w:ilvl="1">
      <w:lvlJc w:val="left"/>
      <w:lvlText w:val="%2."/>
      <w:numFmt w:val="decimal"/>
      <w:start w:val="9"/>
    </w:lvl>
  </w:abstractNum>
  <w:abstractNum w:abstractNumId="5">
    <w:nsid w:val="2EB141F2"/>
    <w:multiLevelType w:val="hybridMultilevel"/>
    <w:lvl w:ilvl="0">
      <w:lvlJc w:val="left"/>
      <w:lvlText w:val="(%1)"/>
      <w:numFmt w:val="decimal"/>
      <w:start w:val="1"/>
    </w:lvl>
    <w:lvl w:ilvl="1">
      <w:lvlJc w:val="left"/>
      <w:lvlText w:val="%2"/>
      <w:numFmt w:val="decimal"/>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2023-02-10T13:20:04Z</dcterms:created>
  <dcterms:modified xsi:type="dcterms:W3CDTF">2023-02-10T13:20:04Z</dcterms:modified>
</cp:coreProperties>
</file>