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3880" w:right="1400" w:hanging="2476"/>
        <w:spacing w:after="0" w:line="290" w:lineRule="auto"/>
        <w:tabs>
          <w:tab w:leader="none" w:pos="16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December 31, 2023</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6900" w:type="dxa"/>
            <w:vAlign w:val="bottom"/>
            <w:gridSpan w:val="6"/>
          </w:tcPr>
          <w:p>
            <w:pPr>
              <w:jc w:val="center"/>
              <w:ind w:right="11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80" w:type="dxa"/>
            <w:vAlign w:val="bottom"/>
            <w:gridSpan w:val="3"/>
          </w:tcPr>
          <w:p>
            <w:pPr>
              <w:jc w:val="center"/>
              <w:ind w:left="434"/>
              <w:spacing w:after="0"/>
              <w:rPr>
                <w:sz w:val="20"/>
                <w:szCs w:val="20"/>
                <w:color w:val="auto"/>
              </w:rPr>
            </w:pPr>
            <w:r>
              <w:rPr>
                <w:rFonts w:ascii="Times New Roman" w:cs="Times New Roman" w:eastAsia="Times New Roman" w:hAnsi="Times New Roman"/>
                <w:sz w:val="18"/>
                <w:szCs w:val="18"/>
                <w:b w:val="1"/>
                <w:bCs w:val="1"/>
                <w:color w:val="auto"/>
                <w:w w:val="99"/>
              </w:rPr>
              <w:t>2503 S. Hanley Road</w:t>
            </w: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80" w:type="dxa"/>
            <w:vAlign w:val="bottom"/>
            <w:gridSpan w:val="3"/>
          </w:tcPr>
          <w:p>
            <w:pPr>
              <w:jc w:val="center"/>
              <w:ind w:left="45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63144</w:t>
            </w: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Times New Roman" w:cs="Times New Roman" w:eastAsia="Times New Roman" w:hAnsi="Times New Roman"/>
                <w:sz w:val="16"/>
                <w:szCs w:val="16"/>
                <w:color w:val="auto"/>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130,979,097 shares as of January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75"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196"/>
        </w:trPr>
        <w:tc>
          <w:tcPr>
            <w:tcW w:w="8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44.2</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70"/>
        </w:trPr>
        <w:tc>
          <w:tcPr>
            <w:tcW w:w="8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4"/>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bl>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86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44.7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
        </w:trPr>
        <w:tc>
          <w:tcPr>
            <w:tcW w:w="88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824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23"/>
        </w:trPr>
        <w:tc>
          <w:tcPr>
            <w:tcW w:w="82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48"/>
        </w:trPr>
        <w:tc>
          <w:tcPr>
            <w:tcW w:w="82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accounts payable and other current liabilities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50"/>
        </w:trPr>
        <w:tc>
          <w:tcPr>
            <w:tcW w:w="8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As of and for the</w:t>
      </w:r>
    </w:p>
    <w:p>
      <w:pPr>
        <w:jc w:val="center"/>
        <w:ind w:left="8840"/>
        <w:spacing w:after="0" w:line="211"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88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1"/>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30"/>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30"/>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3"/>
        </w:trPr>
        <w:tc>
          <w:tcPr>
            <w:tcW w:w="88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convenient nutrition category and is a provider of ready-to-drink (“RTD”) protein shakes, other RTD beverages and powders. The Company has a single operating and reportable segment, with its principal products being protein-based consumer goods. The Company’s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2023. These unaudited condensed consolidated financial statements should be read in conjunction with such audited consolidated financial statements, which are included in the Company’s Annual Report on Form 10-K for the fiscal year ended September 30, 2023, filed with the SEC on November 21, 2023.</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position, cash flows, stockholders’ equity or related disclosures based on current information.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The Company is currently evaluating the impact of this standard.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This ASU is effective for fiscal years beginning after December 15, 2023 (i.e., the Company’s annual financial statements for the year ended September 30, 2025) and for interim periods within fiscal years beginning after December 15, 2024 (i.e., the Company’s interim financial statements for the three months ended December 31, 2025), with early adoption permitted. This ASU requires retrospective adoption. The Company is currently evaluating the impact of this standard.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362.7</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directors serve as officers or directors of Post.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MSA and other related party transactions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uses certain functions and services performed by Post under a master services agreement (the “MSA”). These functions and services include finance, internal audit, treasury, information technology support, insurance and tax matters, the use of office and/or data center space, payroll processing services and tax compliance services. During the three months ended December 31, 2023 and 2022, MSA fees were $0.9 and $1.3, </w:t>
      </w:r>
      <w:r>
        <w:rPr>
          <w:rFonts w:ascii="Times New Roman" w:cs="Times New Roman" w:eastAsia="Times New Roman" w:hAnsi="Times New Roman"/>
          <w:sz w:val="18"/>
          <w:szCs w:val="18"/>
          <w:color w:val="242424"/>
        </w:rPr>
        <w:t>respectively.</w:t>
      </w:r>
      <w:r>
        <w:rPr>
          <w:rFonts w:ascii="Times New Roman" w:cs="Times New Roman" w:eastAsia="Times New Roman" w:hAnsi="Times New Roman"/>
          <w:sz w:val="18"/>
          <w:szCs w:val="18"/>
          <w:color w:val="auto"/>
        </w:rPr>
        <w:t xml:space="preserve"> MSA fees were reported in “Selling, general and administrative expenses” in the Condensed Consolidated Statements of Operations.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certain products to, purchases certain products from and licenses certain intellectual property to and from Post and its subsidiaries based upon prices governed by agreements between the Company and Post and its subsidiaries, consistent with prices of similar arm's-length transactions. During the three months ended December 31, 2023 and 2022, net sales to, purchases from and royalties paid to and received from Post and its subsidiaries were immaterial.</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immaterial receivables, payables and other current liabilities with Post at both December 31, 2023 and September 30, 2023 related to sales, royalty income, purchases, MSA fees and royalty expense with Post and its subsidiaries.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30, 2022, Premier Nutrition Company, LLC (“Premier Nutrition”), a subsidiary of the Company, entered into a co-packing agreement with Comet Processing, Inc. (“Comet”), a wholly-owned subsidiary of Post (the “Co-Packing Agreement”). In December 2023, in accordance with the Co-Packing Agreement, Comet began manufacturing certain RTD shakes for Premier Nutrition. There were no purchases of RTD shakes from Comet during the three months ended December 31, 2023 or during fiscal 2023.</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2023 and 2022, Premier Nutrition incurred $1.0 and zero, respectively, related to start-up costs that are reimbursable to Comet from Premier Nutrition pursuant to the Co-Packing Agreement. As of December 31, 2023 and September 30, 2023, the Company had a payable of $3.5 and $2.5, respectively, related to these costs, which was included in “Accounts payable” on the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Matters Agreement</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Company’s spin-off from Post in fiscal 2022 and the related distribution of Post’s shares of BellRing common stock to Post shareholders (the “Spin-off”), the Company entered into a tax matters agreement (the “Tax Matters Agreement”) with Post. The Tax Matters Agreement (i) governs the parties’ respective rights, responsibilities and obligations with respect to taxes, including taxes arising in the ordinary course of business and taxes, if any, that may be incurred if the Spin-off fails to qualify for its intended tax treatment, (ii) addresses U.S. federal, state, local and non-U.S. tax matters and (iii) sets forth the respective obligations of the parties with respect to the filing of tax returns, the administration of tax contests and assistance and cooperation on tax matters.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Tax Matters Agreement, BellRing is expected to indemnify Post for (i) all taxes for which BellRing is responsible (as described in the Tax Matters Agreement) and (ii) all taxes incurred by reason of certain actions or events, or by reason of any breach by BellRing or any of its subsidiaries of any of their respective representations, warranties or covenants under the Tax Matters Agreement that, in each case, affect the intended tax-free treatment of the Spin-off. Additionally, Post is expected to indemnify BellRing for the (i) taxes for which Post is responsible (as described in the Tax Matters Agreement) and (ii) taxes attributable to a failure of the Spin-off to qualify as tax-free, to the extent incurred by any action or failure to take any action within the control of Post. There were no amounts incurred by BellRing or Post under the Tax Matters Agreement during the three months ended December 31, 2023 or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70"/>
        </w:trPr>
        <w:tc>
          <w:tcPr>
            <w:tcW w:w="8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8"/>
        </w:trPr>
        <w:tc>
          <w:tcPr>
            <w:tcW w:w="8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securities that have been excluded from the calculation of weighted-average shares for diluted earnings per share as they were anti-dilutive.</w:t>
      </w:r>
    </w:p>
    <w:p>
      <w:pPr>
        <w:spacing w:after="0" w:line="95"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25"/>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50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21"/>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December 31, 2023 and September 30, 2023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2023</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August 2023, the Company approved a plan to discontinue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In connection with the discontinuance, the Company updated the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to reflect the remaining period in which the Company expects to sell existing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product inventory in North America. Accelerated amortization of $17.4 was recorded during the three months ended December 31, 2023 resulting from the updated useful lives of the customer relationships and trademark associated with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which were fully amortized as of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long-term debt at fair value on the Condensed Consolidated Balance Sheets. The fair value of outstanding borrowings under the Revolving Credit Facility (as defined in Note 11) as of September 30, 2023 approximated its carrying value. Based on market rates, the fair value (Level 2) of the Company’s debt, excluding any borrowings under the Revolving Credit Facility, was $873.2 and $830.0 as of December 31, 2023 and September 30, 2023, respectively.</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provides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 Any outstanding amounts under the Credit Agreement must be repaid on or before March 10, 2027.</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an annual rate equal to: (i) in the case of loans denominated in U.S. Dollars, at the Company’s option, the base rate (as defined in the Credit Agreement) plus a margin which ranges from 2.00% to 2.75% depending on the Company’s secured net leverage ratio (as defined in the Credit Agreement), or the adjusted term SOFR rate (as defined in the Credit Agreement) for the applicable interest period plus a margin which ranges from 3.00% to 3.75% depending on the Company’s secured net leverage ratio; (ii) in the case of loans denominated in Euros, the adjusted Eurodollar rate (as defined in the Credit Agreement) for the applicable interest period plus a margin which ranges from 3.00% to 3.75% depending on the Company’s secured net leverage ratio; and (iii) in the case of loans denominated in U.K. Pounds Sterling, the adjusted daily simple RFR (as defined in the Credit Agreement) plus a margin which ranges from 3.00% to 3.75% depending on the Company’s secured net leverage ratio. Facility fees on the daily unused amount of commitments under the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will accrue at rates ranging from 0.25% to 0.375% per annum, depending on the Company’s secured net leverage ratio.</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December 31, 2023 and 2022, the Company borrowed zero and $55.0 under the Revolving Credit Facility, respectively, and repaid $25.0 and $40.0 under the Revolving Credit Facility, respectively. The interest rate on the utilized portion of the Revolving Credit Facility was 8.42% as of September 30, 2023, and there were no amounts outstanding under the Revolving Credit Facility as of December 31, 2023. The available borrowing capacity under the Revolving Credit Facility was $250.0 and $225.0 as of December 31, 2023 and September 30, 2023, respectively, and there were no outstanding letters of credit as of December 31, 2023 or September 30, 2023.</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December 31, 2023.</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action on behalf of New York consumers was held beginning in May 2022, and the jury delivered its verdict in favor of plaintiff in June 2022. In August 2022, the Court entered a judgment in that case in favor of plaintiff in the amount of $12.9, which includes statutory damages and prejudgment interest. In October 2022, each plaintiff and Premier Nutrition filed Notices of Appeal to the Ninth Circuit, which appeals are pending. The other eight Related Federal Actions remain pending, and the court has certified individual state classes in each of those cases (except New Mexico).</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April 2018, the district court dismissed the California Federal Class Lawsuit with prejudice. This dismissal was upheld on appeal by the U.S. Court of Appeals for the Ninth Circuit in 2020, and plaintiff’s petition for an en banc rehearing by the Ninth Circuit was denied.</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Court of Appeal, which writ is pending. In November 2023, the Court certified the case as a class action. Trial is anticipated in calendar year 2024.</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In July 2020, the court issued an order certifying a statewide class. Premier Nutrition moved for summary judgment on July 7, 2023, which motion remains pending. Trial is anticipated in calendar year 2024.</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continues to vigorously defend these cases and intends to appeal any adverse judgements and awards of damages. The Company does not believe that the ultimate resolution of these cases will have a material adverse effect on its consolidated financial condition, results of operations or cash flows.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months ended December 31, 2023 or 2022. At both December 31, 2023 and September 30, 2023, the Company had an estimated liability of $21.0 related to these matters that was included in “Other current liabilities” on the Condensed Consolidated Balance Sheets.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Protein Products Class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June 2023, a complaint was filed on behalf of a putative, nationwide class of consumers against the Company and Premier Nutrition in the U.S. District Court for the Northern District of California. The complaint alleges that Premier Nutrition engages in fraud and false advertising (via alleged affirmative representations and omissions) regarding its RTD protein shakes and protein powders by marketing the products as good sources of nutrition and protein when the products contain (or have a material risk of containing) high levels of undisclosed lead (this lawsuit is hereinafter referred to as the “Protein Products Class Lawsuit”). Plaintiffs seek monetary remedies for economic injury (products are allegedly worth less than what was paid for them), as well as injunctive relief. The Protein Products Class Lawsuit alleges that high levels of lead pose serious safety risks, but does not allege that any plaintiff or putative class member suffered personal injuries and does not seek any remedies for personal injuries.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and Premier Nutrition filed a motion to dismiss this case in August 2023, which motion is pending. The Company intends to vigorously defend the case, including appealing any adverse judgement or award. The Company does not believe that the ultimate resolution of the Protein Products Class Lawsuit will have a material adverse effect on its consolidated financial condition, results of operations or cash flows.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Class Lawsuit was incurred during the three months ended December 31, 2023 or 2022.</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California Proposition 65 Notice re Lead in Protein Products</w:t>
      </w:r>
    </w:p>
    <w:p>
      <w:pPr>
        <w:spacing w:after="0" w:line="1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7, 2023, the Fitzgerald Joseph LLP law firm (the same firm that filed the Protein Products Class Lawsuit) issued a 60-Day Notice of Intent to Sue under California’s Safe Water and Toxic Enforcement Act (Proposition 65) for alleged violation of Proposition 65 with respect to lead levels in Premier Nutrition’s RTD protein shakes and protein powders (this matter is hereinafter referred to as the “Protein Products Prop 65 Notice”).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Premier Nutrition intends to vigorously defend against the Protein Products Prop 65 Notice. The Company does not believe that the ultimate resolution of the Protein Products Prop 65 Notice will have a material adverse effect on its consolidated financial condition, results of operations or cash flows.</w:t>
      </w:r>
    </w:p>
    <w:p>
      <w:pPr>
        <w:spacing w:after="0" w:line="4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the Protein Products Prop 65 Notice was incurred during the three months ended December 31, 2023 or 2022.</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58"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accrued excise tax and broker’s commissions, which are included in “Total share repurchase cost” within this table.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0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2023 and the “Cautionary Statement on Forward-Looking Statements” section included below. The terms “our,” “we,” “us,” the “Company” and “BellRing” refer to BellRing Brands, Inc. and its consolidated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convenient nutrition category and are a provider of ready-to-drink (“RTD”) protein shakes, other RTD beverages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fiscal 2023, input cost inflation, including raw material, packaging and manufacturing costs, impacted our supply chain and put downward pressure on profit margins. As a result, we took pricing actions on certain products in the prior fiscal year. During the first quarter of fiscal 2024, inflationary pressures on protein costs eased while other costs, such as packaging and manufacturing, have continued to face inflationary pressures. We expect this trend to continue during fiscal 2024, and inflation could have a materially adverse impact on our business in the future if inflation rates were to significantly exceed our ability to achieve price increases or cost savings or if such price increases impact demand for our products.</w:t>
      </w:r>
    </w:p>
    <w:p>
      <w:pPr>
        <w:spacing w:after="0" w:line="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6"/>
                <w:szCs w:val="16"/>
                <w:color w:val="auto"/>
              </w:rPr>
            </w:pPr>
          </w:p>
        </w:tc>
        <w:tc>
          <w:tcPr>
            <w:tcW w:w="2160" w:type="dxa"/>
            <w:vAlign w:val="bottom"/>
            <w:gridSpan w:val="3"/>
            <w:vMerge w:val="restart"/>
          </w:tcPr>
          <w:p>
            <w:pPr>
              <w:jc w:val="right"/>
              <w:ind w:right="715"/>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0" w:type="dxa"/>
            <w:vAlign w:val="bottom"/>
          </w:tcPr>
          <w:p>
            <w:pPr>
              <w:spacing w:after="0"/>
              <w:rPr>
                <w:sz w:val="1"/>
                <w:szCs w:val="1"/>
                <w:color w:val="auto"/>
              </w:rPr>
            </w:pPr>
          </w:p>
        </w:tc>
      </w:tr>
      <w:tr>
        <w:trPr>
          <w:trHeight w:val="214"/>
        </w:trPr>
        <w:tc>
          <w:tcPr>
            <w:tcW w:w="6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0" w:type="dxa"/>
            <w:vAlign w:val="bottom"/>
          </w:tcPr>
          <w:p>
            <w:pPr>
              <w:spacing w:after="0"/>
              <w:rPr>
                <w:sz w:val="1"/>
                <w:szCs w:val="1"/>
                <w:color w:val="auto"/>
              </w:rPr>
            </w:pPr>
          </w:p>
        </w:tc>
      </w:tr>
      <w:tr>
        <w:trPr>
          <w:trHeight w:val="225"/>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8"/>
              </w:rPr>
              <w:t>(0.1)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8"/>
              </w:rPr>
              <w:t>(0.3)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Net sales increased $67.7 million, or 19%, during the three months ended December 31, 2023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up $58.2 million, or 19%, on 20% higher volumes. Volumes increased primarily due to distribution gains and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promotional activity. 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$9.6 million, or 21%, on 32% higher volumes. Volumes increased primarily due to the timing of quarterly shipments in the prior year period and distribution gains, which were partially offset by lower average net selling prices. Average net selling prices decreased in the three months ended December 31, 2023 due to increased promotional spending and unfavorable mix. Sales of all other products were down $0.1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Operating profit decreased $2.2 million, or 3%, during the three months ended December 31, 2023 compared to the prior year period. This decrease was driven by higher accelerated amortization of $17.4 million related to the discontinuance of the </w:t>
      </w:r>
      <w:r>
        <w:rPr>
          <w:rFonts w:ascii="Times New Roman" w:cs="Times New Roman" w:eastAsia="Times New Roman" w:hAnsi="Times New Roman"/>
          <w:sz w:val="18"/>
          <w:szCs w:val="18"/>
          <w:i w:val="1"/>
          <w:iCs w:val="1"/>
          <w:color w:val="auto"/>
        </w:rPr>
        <w:t>PowerBar</w:t>
      </w:r>
      <w:r>
        <w:rPr>
          <w:rFonts w:ascii="Times New Roman" w:cs="Times New Roman" w:eastAsia="Times New Roman" w:hAnsi="Times New Roman"/>
          <w:sz w:val="18"/>
          <w:szCs w:val="18"/>
          <w:color w:val="auto"/>
        </w:rPr>
        <w:t xml:space="preserve"> business in North America, higher employee related expenses of $5.3 million and higher professional fees of $2.6 million. These negative impacts were partially offset by higher net sales, as previously discussed, and lower net product costs of $7.4 million (driven by lower raw material and freight costs and partially offset by higher manufacturing costs).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decreased $1.8 million during the three months ended December 31, 2023 compared to the prior year period primarily due to lower borrowings outstanding under our revolving credit facility. As a result, the weighted-average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rate on our total outstanding debt decreased to 7.0% for the three months ended December 31, 2023 from 7.1% for the three months ended December 31, 2022</w:t>
      </w:r>
      <w:r>
        <w:rPr>
          <w:rFonts w:ascii="Times New Roman" w:cs="Times New Roman" w:eastAsia="Times New Roman" w:hAnsi="Times New Roman"/>
          <w:sz w:val="18"/>
          <w:szCs w:val="18"/>
          <w:color w:val="EE2724"/>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effective income tax rate was 24.4% for both the three months ended December 31, 2023 and 2022.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2023, we repaid $25.0 million under our revolving credit facility, which is provided under our credit agreement entered into on March 10, 2022 (as amended, the “Credit Agreement”) in an aggregate principal amount of $250.0 million (the “Revolving Credit Facility”). As of December 31, 2023, there were no outstanding borrowings or letters of credit under the Revolving Credit Facility, providing us available borrowing capacity of $250.0 million.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2023, we repurchased 0.2 million shares of our common stock at an average share price of $44.27 per share and at a total cost, including accrued excise tax and broker’s commissions, of $9.4 million.</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and interest payments on our 7.00% senior notes maturing in March 2030 (the “7.00% Senior Notes”). Long-term financing needs include the repayment of our 7.00% Senior Notes.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for fiscal 2024. Additionally, we may seek to repurchase shares of our common stock. Such repurchases, if any, will depend on prevailing market conditions, our liquidity requirements, contractual restrictions and other factors. The amounts involved may be material.</w:t>
      </w: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for the three months ended December 31, 2023 increased $37.9 million compared to the prior year period. This increase was primarily due to moderated inventory levels in the current year period (compared to increased inventory levels in the prior year period). Additionally, interest payments decreased $1.4 million due to lower borrowings outstanding under our Revolving Credit Facility. These positive impacts were partially offset by increased tax payments (net of refunds) of $0.8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December 31, 2023 decreased $0.1 million compared to the prior year period resulting from a decrease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2023</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December 31, 2023 was $37.8 million. We paid $9.4 million, including broker’s commissions, for the repurchase of shares of our common stock and repaid $25.0 million under the Revolving Credit Facility.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December 31, 2022</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December 31, 2022 was $28.4 million. We paid $41.2 million, including broker’s commissions, for the repurchase of shares of our common stock and borrowed and repaid $55.0 million and $40.0 million, respectively, under the Revolving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December 31, 2023,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2023, as filed with the Securities and Exchange Commission (the “SEC”) on November 21, 2023. There have been no significant changes to our critical accounting estimates since September 30, 2023.</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assumptions and involve risks and uncertainties that could affect expected results. Those risks and uncertainties include, but are not limited to, the following:</w:t>
      </w:r>
    </w:p>
    <w:p>
      <w:pPr>
        <w:spacing w:after="0" w:line="5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third-party contract manufacturers for the manufacturing of most of our products, including one manufacturer for the majority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following the Spin-off, including our obligations under various agreements with Post;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or directors of Post;</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 including our inability to take certain actions because such actions could jeopardize the tax-free status of the Spin-off and our possible responsibility for U.S. federal tax liabilities related to the Spin-off;</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2023, filed with the SEC on November 21, 2023.</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7"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spacing w:after="0" w:line="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both December 31, 2023 and September 30, 2023, the Company had outstanding principal value indebtedness of $840.0 million related to its 7.00% Senior Notes. Additionally, the Company had an aggregate principal amount of $25.0 million outstanding under its Revolving Credit Facility as of September 30, 2023. The Company had no amounts outstanding under its Revolving Credit Facility as of December 31, 2023. Borrowings under the Revolving Credit Facility bear interest at variable rates.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2023 and September 30, 2023, the fair value of the Company’s debt, excluding any borrowings under its Revolving Credit Facility, was $873.2 million and $830.0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increased the fair value of the fixed rate debt by approximately $15 million and $19 million as of December 31, 2023 and September 30, 2023, respectively. A hypothetical 10% increase in interest rates would have had an immaterial impact on both interest expense and interest paid during the three months ended December 31, 2023 and 2022. For additional information regarding the Company’s debt, see Note 11 within “Notes to Condensed Consolidated Financial Statements.”</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end of the period covered by this report, the Company’s disclosure controls and procedures were effective to provide reasonable assurance of achieving the desired control objectives.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December 31,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12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December 31, 2023.</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21, 2023, as of and for the year ended September 30, 2023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December 31, 2023 and our common stock repurchase authorization.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6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5"/>
        </w:trPr>
        <w:tc>
          <w:tcPr>
            <w:tcW w:w="3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161,079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161,079</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$16,378,427</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28,462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28,462</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$14,941,256</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22,307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$13,741,342</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211,848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211,848</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$13,741,342</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 2023, the Company’s Board of Directors approved an $80,000,000 repurchase authorization (the “Authorization”) with respect to shares of our common stock effective May 3, 2023. The Authorization expires on May 3, 2025. Repurchases may be made from time to time in the open market, private purchases, through forward, derivative, alternative, accelerated repurchase or automatic purchase transactions, or otherwise.</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2023, no director or “officer,” as defined in Rule 16a-1(f) under the Securities Exchange Act of 1934, as amended,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0"/>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0"/>
          </w:tcPr>
          <w:p>
            <w:pPr>
              <w:spacing w:after="0" w:line="195"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18"/>
          </w:tcPr>
          <w:p>
            <w:pPr>
              <w:spacing w:after="0" w:line="169"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5"/>
        </w:trPr>
        <w:tc>
          <w:tcPr>
            <w:tcW w:w="1300" w:type="dxa"/>
            <w:vAlign w:val="bottom"/>
          </w:tcPr>
          <w:p>
            <w:pPr>
              <w:spacing w:after="0"/>
              <w:rPr>
                <w:sz w:val="13"/>
                <w:szCs w:val="13"/>
                <w:color w:val="auto"/>
              </w:rPr>
            </w:pPr>
          </w:p>
        </w:tc>
        <w:tc>
          <w:tcPr>
            <w:tcW w:w="89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BellRing Brands, Inc. Certificate of Incorporation (Incorporated by reference to Exhibit 3.1 to the Company’s Second Form</w:t>
              </w:r>
            </w:hyperlink>
          </w:p>
        </w:tc>
      </w:tr>
      <w:tr>
        <w:trPr>
          <w:trHeight w:val="156"/>
        </w:trPr>
        <w:tc>
          <w:tcPr>
            <w:tcW w:w="130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8-K filed on March 10, 2022)</w:t>
              </w:r>
            </w:hyperlink>
          </w:p>
        </w:tc>
        <w:tc>
          <w:tcPr>
            <w:tcW w:w="6780" w:type="dxa"/>
            <w:vAlign w:val="bottom"/>
            <w:tcBorders>
              <w:top w:val="single" w:sz="8" w:color="0000FF"/>
            </w:tcBorders>
            <w:gridSpan w:val="11"/>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BellRing Brands, Inc. Bylaws (Incorporated by reference to Exhibit 3.2 to the Company’s Second Form 8-K filed on March</w:t>
              </w:r>
            </w:hyperlink>
          </w:p>
        </w:tc>
      </w:tr>
      <w:tr>
        <w:trPr>
          <w:trHeight w:val="155"/>
        </w:trPr>
        <w:tc>
          <w:tcPr>
            <w:tcW w:w="130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40">
              <w:r>
                <w:rPr>
                  <w:rFonts w:ascii="Times New Roman" w:cs="Times New Roman" w:eastAsia="Times New Roman" w:hAnsi="Times New Roman"/>
                  <w:sz w:val="18"/>
                  <w:szCs w:val="18"/>
                  <w:color w:val="0000FF"/>
                  <w:w w:val="98"/>
                </w:rPr>
                <w:t>10, 2022)</w:t>
              </w:r>
            </w:hyperlink>
          </w:p>
        </w:tc>
        <w:tc>
          <w:tcPr>
            <w:tcW w:w="1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1220" w:type="dxa"/>
            <w:vAlign w:val="bottom"/>
            <w:tcBorders>
              <w:top w:val="single" w:sz="8" w:color="0000FF"/>
            </w:tcBorders>
          </w:tcPr>
          <w:p>
            <w:pPr>
              <w:spacing w:after="0"/>
              <w:rPr>
                <w:sz w:val="13"/>
                <w:szCs w:val="13"/>
                <w:color w:val="auto"/>
              </w:rPr>
            </w:pPr>
          </w:p>
        </w:tc>
        <w:tc>
          <w:tcPr>
            <w:tcW w:w="164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0"/>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88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of 2002, dated February 6, 2024</w:t>
            </w: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888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2002, dated February 6, 2024</w:t>
            </w:r>
          </w:p>
        </w:tc>
        <w:tc>
          <w:tcPr>
            <w:tcW w:w="160" w:type="dxa"/>
            <w:vAlign w:val="bottom"/>
            <w:gridSpan w:val="8"/>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5"/>
        </w:trPr>
        <w:tc>
          <w:tcPr>
            <w:tcW w:w="1300" w:type="dxa"/>
            <w:vAlign w:val="bottom"/>
          </w:tcPr>
          <w:p>
            <w:pPr>
              <w:spacing w:after="0"/>
              <w:rPr>
                <w:sz w:val="13"/>
                <w:szCs w:val="13"/>
                <w:color w:val="auto"/>
              </w:rPr>
            </w:pPr>
          </w:p>
        </w:tc>
        <w:tc>
          <w:tcPr>
            <w:tcW w:w="882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 dated February 6, 2024</w:t>
            </w:r>
          </w:p>
        </w:tc>
        <w:tc>
          <w:tcPr>
            <w:tcW w:w="22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1180" w:hanging="900"/>
        <w:spacing w:after="0" w:line="231"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December 31, 2023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240" w:hanging="900"/>
        <w:spacing w:after="0" w:line="234" w:lineRule="auto"/>
        <w:tabs>
          <w:tab w:leader="none" w:pos="13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December 31, 2023,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right="1200" w:hanging="1034"/>
        <w:spacing w:after="0" w:line="237"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in accordance with Regulation S-K, Item 601(b)(10).</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720" w:right="2040" w:hanging="7437"/>
        <w:spacing w:after="0" w:line="273" w:lineRule="auto"/>
        <w:tabs>
          <w:tab w:leader="none" w:pos="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6, 2024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-3175</wp:posOffset>
            </wp:positionV>
            <wp:extent cx="24085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1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80"/>
          </w:cols>
          <w:pgMar w:left="320" w:top="121" w:right="39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2024</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2024</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2023,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2024</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6" w:name="page27"/>
    <w:bookmarkEnd w:id="26"/>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2023,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6, 2024</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decimal"/>
      <w:start w:val="10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37" Type="http://schemas.openxmlformats.org/officeDocument/2006/relationships/hyperlink" Target="http://www.sec.gov/Archives/edgar/data/1772016/000119312521308736/d232418dex21.htm" TargetMode="External"/><Relationship Id="rId38" Type="http://schemas.openxmlformats.org/officeDocument/2006/relationships/hyperlink" Target="http://www.sec.gov/Archives/edgar/data/1772016/000119312522055719/d405795dex21.htm" TargetMode="External"/><Relationship Id="rId39" Type="http://schemas.openxmlformats.org/officeDocument/2006/relationships/hyperlink" Target="http://www.sec.gov/Archives/edgar/data/1772016/000119312522072132/d319129dex31.htm" TargetMode="External"/><Relationship Id="rId40" Type="http://schemas.openxmlformats.org/officeDocument/2006/relationships/hyperlink" Target="http://www.sec.gov/Archives/edgar/data/1772016/000119312522072132/d319129dex32.htm" TargetMode="External"/><Relationship Id="rId41" Type="http://schemas.openxmlformats.org/officeDocument/2006/relationships/hyperlink" Target="http://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2024-02-06T10:59:00Z</dcterms:created>
  <dcterms:modified xsi:type="dcterms:W3CDTF">2024-02-06T10:59:00Z</dcterms:modified>
</cp:coreProperties>
</file>