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466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66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Mollere Marc S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2503 S. HANLEY RD.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ST. LOUIS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63144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INTERNATIONAL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4,305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11/11/2023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1,846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(2)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30,189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11/12/2023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11/13/2023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1,206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(3)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46.68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28,983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60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contingent right to receive one share of Common Stock of Issuer. The restricted stock units were granted under the BellRing Brands, Inc. 2019 Long-Term Incentive Plan in a transaction exempt under Rule 16b-3 and vest in equal annual installments over three years subject to the terms of the award agreement.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4,690 RSUs in accordance with Rule 16b-3.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Surrender of shares in payment of tax withholding due as a result of the vesting of 3,063 RSUs in accordance with Rule 16b-3.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Craig L. Rosenthal,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4837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2023-11-14T19:35:25Z</dcterms:created>
  <dcterms:modified xsi:type="dcterms:W3CDTF">2023-11-14T19:35:25Z</dcterms:modified>
</cp:coreProperties>
</file>