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14"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______________________</w:t>
      </w:r>
    </w:p>
    <w:p>
      <w:pPr>
        <w:spacing w:after="0" w:line="5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116" w:lineRule="exact"/>
        <w:rPr>
          <w:sz w:val="24"/>
          <w:szCs w:val="24"/>
          <w:color w:val="auto"/>
        </w:rPr>
      </w:pPr>
    </w:p>
    <w:p>
      <w:pPr>
        <w:ind w:left="4980"/>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ind w:left="4640"/>
        <w:spacing w:after="0"/>
        <w:rPr>
          <w:sz w:val="20"/>
          <w:szCs w:val="20"/>
          <w:color w:val="auto"/>
        </w:rPr>
      </w:pPr>
      <w:r>
        <w:rPr>
          <w:rFonts w:ascii="Arial" w:cs="Arial" w:eastAsia="Arial" w:hAnsi="Arial"/>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Securities Exchange Act of 1934</w:t>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auto"/>
        </w:rPr>
        <w:t>Date of Report (Date of earliest event reported): August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78105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BellRing Brands, Inc.</w:t>
      </w:r>
    </w:p>
    <w:p>
      <w:pPr>
        <w:spacing w:after="0" w:line="110" w:lineRule="exact"/>
        <w:rPr>
          <w:sz w:val="24"/>
          <w:szCs w:val="24"/>
          <w:color w:val="auto"/>
        </w:rPr>
      </w:pPr>
    </w:p>
    <w:tbl>
      <w:tblPr>
        <w:tblLayout w:type="fixed"/>
        <w:tblInd w:w="1280" w:type="dxa"/>
        <w:tblCellMar>
          <w:top w:w="0" w:type="dxa"/>
          <w:left w:w="0" w:type="dxa"/>
          <w:bottom w:w="0" w:type="dxa"/>
          <w:right w:w="0" w:type="dxa"/>
        </w:tblCellMar>
      </w:tblPr>
      <w:tr>
        <w:trPr>
          <w:trHeight w:val="153"/>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Arial" w:cs="Arial" w:eastAsia="Arial" w:hAnsi="Arial"/>
                <w:sz w:val="12"/>
                <w:szCs w:val="12"/>
                <w:color w:val="auto"/>
                <w:w w:val="90"/>
              </w:rPr>
              <w:t>(Exact name of registrant as specified in its charter)</w:t>
            </w:r>
          </w:p>
        </w:tc>
        <w:tc>
          <w:tcPr>
            <w:tcW w:w="2280" w:type="dxa"/>
            <w:vAlign w:val="bottom"/>
          </w:tcPr>
          <w:p>
            <w:pPr>
              <w:spacing w:after="0"/>
              <w:rPr>
                <w:sz w:val="13"/>
                <w:szCs w:val="13"/>
                <w:color w:val="auto"/>
              </w:rPr>
            </w:pPr>
          </w:p>
        </w:tc>
      </w:tr>
      <w:tr>
        <w:trPr>
          <w:trHeight w:val="180"/>
        </w:trPr>
        <w:tc>
          <w:tcPr>
            <w:tcW w:w="2620" w:type="dxa"/>
            <w:vAlign w:val="bottom"/>
          </w:tcPr>
          <w:p>
            <w:pPr>
              <w:jc w:val="center"/>
              <w:ind w:right="457"/>
              <w:spacing w:after="0"/>
              <w:rPr>
                <w:sz w:val="20"/>
                <w:szCs w:val="20"/>
                <w:color w:val="auto"/>
              </w:rPr>
            </w:pPr>
            <w:r>
              <w:rPr>
                <w:rFonts w:ascii="Arial" w:cs="Arial" w:eastAsia="Arial" w:hAnsi="Arial"/>
                <w:sz w:val="13"/>
                <w:szCs w:val="13"/>
                <w:b w:val="1"/>
                <w:bCs w:val="1"/>
                <w:color w:val="auto"/>
                <w:w w:val="94"/>
              </w:rPr>
              <w:t>Delaware</w:t>
            </w:r>
          </w:p>
        </w:tc>
        <w:tc>
          <w:tcPr>
            <w:tcW w:w="1340" w:type="dxa"/>
            <w:vAlign w:val="bottom"/>
          </w:tcPr>
          <w:p>
            <w:pPr>
              <w:spacing w:after="0"/>
              <w:rPr>
                <w:sz w:val="15"/>
                <w:szCs w:val="15"/>
                <w:color w:val="auto"/>
              </w:rPr>
            </w:pPr>
          </w:p>
        </w:tc>
        <w:tc>
          <w:tcPr>
            <w:tcW w:w="2260" w:type="dxa"/>
            <w:vAlign w:val="bottom"/>
          </w:tcPr>
          <w:p>
            <w:pPr>
              <w:jc w:val="center"/>
              <w:ind w:right="1394"/>
              <w:spacing w:after="0"/>
              <w:rPr>
                <w:sz w:val="20"/>
                <w:szCs w:val="20"/>
                <w:color w:val="auto"/>
              </w:rPr>
            </w:pPr>
            <w:r>
              <w:rPr>
                <w:rFonts w:ascii="Arial" w:cs="Arial" w:eastAsia="Arial" w:hAnsi="Arial"/>
                <w:sz w:val="13"/>
                <w:szCs w:val="13"/>
                <w:b w:val="1"/>
                <w:bCs w:val="1"/>
                <w:color w:val="auto"/>
                <w:w w:val="90"/>
              </w:rPr>
              <w:t>001-39093</w:t>
            </w:r>
          </w:p>
        </w:tc>
        <w:tc>
          <w:tcPr>
            <w:tcW w:w="2280" w:type="dxa"/>
            <w:vAlign w:val="bottom"/>
          </w:tcPr>
          <w:p>
            <w:pPr>
              <w:jc w:val="right"/>
              <w:ind w:right="437"/>
              <w:spacing w:after="0"/>
              <w:rPr>
                <w:sz w:val="20"/>
                <w:szCs w:val="20"/>
                <w:color w:val="auto"/>
              </w:rPr>
            </w:pPr>
            <w:r>
              <w:rPr>
                <w:rFonts w:ascii="Arial" w:cs="Arial" w:eastAsia="Arial" w:hAnsi="Arial"/>
                <w:sz w:val="13"/>
                <w:szCs w:val="13"/>
                <w:b w:val="1"/>
                <w:bCs w:val="1"/>
                <w:color w:val="auto"/>
              </w:rPr>
              <w:t>87-3296749</w:t>
            </w:r>
          </w:p>
        </w:tc>
      </w:tr>
      <w:tr>
        <w:trPr>
          <w:trHeight w:val="153"/>
        </w:trPr>
        <w:tc>
          <w:tcPr>
            <w:tcW w:w="2620" w:type="dxa"/>
            <w:vAlign w:val="bottom"/>
          </w:tcPr>
          <w:p>
            <w:pPr>
              <w:jc w:val="center"/>
              <w:ind w:right="457"/>
              <w:spacing w:after="0"/>
              <w:rPr>
                <w:sz w:val="20"/>
                <w:szCs w:val="20"/>
                <w:color w:val="auto"/>
              </w:rPr>
            </w:pPr>
            <w:r>
              <w:rPr>
                <w:rFonts w:ascii="Arial" w:cs="Arial" w:eastAsia="Arial" w:hAnsi="Arial"/>
                <w:sz w:val="12"/>
                <w:szCs w:val="12"/>
                <w:color w:val="auto"/>
                <w:w w:val="92"/>
              </w:rPr>
              <w:t>(State or other jurisdiction of incorporation)</w:t>
            </w:r>
          </w:p>
        </w:tc>
        <w:tc>
          <w:tcPr>
            <w:tcW w:w="3600" w:type="dxa"/>
            <w:vAlign w:val="bottom"/>
            <w:gridSpan w:val="2"/>
          </w:tcPr>
          <w:p>
            <w:pPr>
              <w:jc w:val="center"/>
              <w:ind w:right="54"/>
              <w:spacing w:after="0"/>
              <w:rPr>
                <w:sz w:val="20"/>
                <w:szCs w:val="20"/>
                <w:color w:val="auto"/>
              </w:rPr>
            </w:pPr>
            <w:r>
              <w:rPr>
                <w:rFonts w:ascii="Arial" w:cs="Arial" w:eastAsia="Arial" w:hAnsi="Arial"/>
                <w:sz w:val="12"/>
                <w:szCs w:val="12"/>
                <w:color w:val="auto"/>
                <w:w w:val="92"/>
              </w:rPr>
              <w:t>(Commission File Number)</w:t>
            </w:r>
          </w:p>
        </w:tc>
        <w:tc>
          <w:tcPr>
            <w:tcW w:w="2280" w:type="dxa"/>
            <w:vAlign w:val="bottom"/>
          </w:tcPr>
          <w:p>
            <w:pPr>
              <w:jc w:val="center"/>
              <w:ind w:left="557"/>
              <w:spacing w:after="0"/>
              <w:rPr>
                <w:sz w:val="20"/>
                <w:szCs w:val="20"/>
                <w:color w:val="auto"/>
              </w:rPr>
            </w:pPr>
            <w:r>
              <w:rPr>
                <w:rFonts w:ascii="Arial" w:cs="Arial" w:eastAsia="Arial" w:hAnsi="Arial"/>
                <w:sz w:val="12"/>
                <w:szCs w:val="12"/>
                <w:color w:val="auto"/>
                <w:w w:val="94"/>
              </w:rPr>
              <w:t>(IRS Employer Identification No.)</w:t>
            </w:r>
          </w:p>
        </w:tc>
      </w:tr>
      <w:tr>
        <w:trPr>
          <w:trHeight w:val="387"/>
        </w:trPr>
        <w:tc>
          <w:tcPr>
            <w:tcW w:w="2620" w:type="dxa"/>
            <w:vAlign w:val="bottom"/>
          </w:tcPr>
          <w:p>
            <w:pPr>
              <w:jc w:val="center"/>
              <w:ind w:right="457"/>
              <w:spacing w:after="0"/>
              <w:rPr>
                <w:sz w:val="20"/>
                <w:szCs w:val="20"/>
                <w:color w:val="auto"/>
              </w:rPr>
            </w:pPr>
            <w:r>
              <w:rPr>
                <w:rFonts w:ascii="Arial" w:cs="Arial" w:eastAsia="Arial" w:hAnsi="Arial"/>
                <w:sz w:val="13"/>
                <w:szCs w:val="13"/>
                <w:b w:val="1"/>
                <w:bCs w:val="1"/>
                <w:color w:val="auto"/>
                <w:w w:val="92"/>
              </w:rPr>
              <w:t>2503 S. Hanley Road</w:t>
            </w:r>
          </w:p>
        </w:tc>
        <w:tc>
          <w:tcPr>
            <w:tcW w:w="1340" w:type="dxa"/>
            <w:vAlign w:val="bottom"/>
          </w:tcPr>
          <w:p>
            <w:pPr>
              <w:ind w:left="740"/>
              <w:spacing w:after="0"/>
              <w:rPr>
                <w:sz w:val="20"/>
                <w:szCs w:val="20"/>
                <w:color w:val="auto"/>
              </w:rPr>
            </w:pPr>
            <w:r>
              <w:rPr>
                <w:rFonts w:ascii="Arial" w:cs="Arial" w:eastAsia="Arial" w:hAnsi="Arial"/>
                <w:sz w:val="13"/>
                <w:szCs w:val="13"/>
                <w:b w:val="1"/>
                <w:bCs w:val="1"/>
                <w:color w:val="auto"/>
              </w:rPr>
              <w:t>St. Louis</w:t>
            </w:r>
          </w:p>
        </w:tc>
        <w:tc>
          <w:tcPr>
            <w:tcW w:w="2260" w:type="dxa"/>
            <w:vAlign w:val="bottom"/>
          </w:tcPr>
          <w:p>
            <w:pPr>
              <w:ind w:left="1060"/>
              <w:spacing w:after="0"/>
              <w:rPr>
                <w:sz w:val="20"/>
                <w:szCs w:val="20"/>
                <w:color w:val="auto"/>
              </w:rPr>
            </w:pPr>
            <w:r>
              <w:rPr>
                <w:rFonts w:ascii="Arial" w:cs="Arial" w:eastAsia="Arial" w:hAnsi="Arial"/>
                <w:sz w:val="13"/>
                <w:szCs w:val="13"/>
                <w:b w:val="1"/>
                <w:bCs w:val="1"/>
                <w:color w:val="auto"/>
              </w:rPr>
              <w:t>Missouri</w:t>
            </w:r>
          </w:p>
        </w:tc>
        <w:tc>
          <w:tcPr>
            <w:tcW w:w="2280" w:type="dxa"/>
            <w:vAlign w:val="bottom"/>
          </w:tcPr>
          <w:p>
            <w:pPr>
              <w:jc w:val="right"/>
              <w:ind w:right="597"/>
              <w:spacing w:after="0"/>
              <w:rPr>
                <w:sz w:val="20"/>
                <w:szCs w:val="20"/>
                <w:color w:val="auto"/>
              </w:rPr>
            </w:pPr>
            <w:r>
              <w:rPr>
                <w:rFonts w:ascii="Arial" w:cs="Arial" w:eastAsia="Arial" w:hAnsi="Arial"/>
                <w:sz w:val="13"/>
                <w:szCs w:val="13"/>
                <w:b w:val="1"/>
                <w:bCs w:val="1"/>
                <w:color w:val="auto"/>
              </w:rPr>
              <w:t>63144</w:t>
            </w:r>
          </w:p>
        </w:tc>
      </w:tr>
      <w:tr>
        <w:trPr>
          <w:trHeight w:val="153"/>
        </w:trPr>
        <w:tc>
          <w:tcPr>
            <w:tcW w:w="3960" w:type="dxa"/>
            <w:vAlign w:val="bottom"/>
            <w:gridSpan w:val="2"/>
          </w:tcPr>
          <w:p>
            <w:pPr>
              <w:ind w:left="1720"/>
              <w:spacing w:after="0"/>
              <w:rPr>
                <w:sz w:val="20"/>
                <w:szCs w:val="20"/>
                <w:color w:val="auto"/>
              </w:rPr>
            </w:pPr>
            <w:r>
              <w:rPr>
                <w:rFonts w:ascii="Arial" w:cs="Arial" w:eastAsia="Arial" w:hAnsi="Arial"/>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Arial" w:cs="Arial" w:eastAsia="Arial" w:hAnsi="Arial"/>
                <w:sz w:val="12"/>
                <w:szCs w:val="12"/>
                <w:color w:val="auto"/>
                <w:w w:val="91"/>
              </w:rPr>
              <w:t>(Zip Code)</w:t>
            </w:r>
          </w:p>
        </w:tc>
      </w:tr>
    </w:tbl>
    <w:p>
      <w:pPr>
        <w:spacing w:after="0" w:line="120" w:lineRule="exact"/>
        <w:rPr>
          <w:sz w:val="24"/>
          <w:szCs w:val="24"/>
          <w:color w:val="auto"/>
        </w:rPr>
      </w:pPr>
    </w:p>
    <w:p>
      <w:pPr>
        <w:ind w:left="3980"/>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700" w:type="dxa"/>
            <w:vAlign w:val="bottom"/>
            <w:gridSpan w:val="3"/>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280" w:type="dxa"/>
            <w:vAlign w:val="bottom"/>
            <w:gridSpan w:val="2"/>
          </w:tcPr>
          <w:p>
            <w:pPr>
              <w:jc w:val="center"/>
              <w:ind w:right="1420"/>
              <w:spacing w:after="0"/>
              <w:rPr>
                <w:sz w:val="20"/>
                <w:szCs w:val="20"/>
                <w:color w:val="auto"/>
              </w:rPr>
            </w:pPr>
            <w:r>
              <w:rPr>
                <w:rFonts w:ascii="Arial" w:cs="Arial" w:eastAsia="Arial" w:hAnsi="Arial"/>
                <w:sz w:val="12"/>
                <w:szCs w:val="12"/>
                <w:color w:val="auto"/>
                <w:w w:val="89"/>
              </w:rPr>
              <w:t>Title of each class</w:t>
            </w:r>
          </w:p>
        </w:tc>
        <w:tc>
          <w:tcPr>
            <w:tcW w:w="2480" w:type="dxa"/>
            <w:vAlign w:val="bottom"/>
            <w:gridSpan w:val="3"/>
          </w:tcPr>
          <w:p>
            <w:pPr>
              <w:jc w:val="center"/>
              <w:ind w:right="20"/>
              <w:spacing w:after="0"/>
              <w:rPr>
                <w:sz w:val="20"/>
                <w:szCs w:val="20"/>
                <w:color w:val="auto"/>
              </w:rPr>
            </w:pPr>
            <w:r>
              <w:rPr>
                <w:rFonts w:ascii="Arial" w:cs="Arial" w:eastAsia="Arial" w:hAnsi="Arial"/>
                <w:sz w:val="12"/>
                <w:szCs w:val="12"/>
                <w:color w:val="auto"/>
                <w:w w:val="91"/>
              </w:rPr>
              <w:t>Trading Symbol(s)</w:t>
            </w:r>
          </w:p>
        </w:tc>
        <w:tc>
          <w:tcPr>
            <w:tcW w:w="2920" w:type="dxa"/>
            <w:vAlign w:val="bottom"/>
            <w:gridSpan w:val="2"/>
          </w:tcPr>
          <w:p>
            <w:pPr>
              <w:jc w:val="center"/>
              <w:ind w:left="740"/>
              <w:spacing w:after="0"/>
              <w:rPr>
                <w:sz w:val="20"/>
                <w:szCs w:val="20"/>
                <w:color w:val="auto"/>
              </w:rPr>
            </w:pPr>
            <w:r>
              <w:rPr>
                <w:rFonts w:ascii="Arial" w:cs="Arial" w:eastAsia="Arial" w:hAnsi="Arial"/>
                <w:sz w:val="12"/>
                <w:szCs w:val="12"/>
                <w:color w:val="auto"/>
                <w:w w:val="8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7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9"/>
              </w:rPr>
              <w:t>Common Stock, $0.01 par value per share</w:t>
            </w:r>
          </w:p>
        </w:tc>
        <w:tc>
          <w:tcPr>
            <w:tcW w:w="7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2"/>
                <w:szCs w:val="12"/>
                <w:b w:val="1"/>
                <w:bCs w:val="1"/>
                <w:color w:val="auto"/>
                <w:w w:val="97"/>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2"/>
                <w:szCs w:val="12"/>
                <w:b w:val="1"/>
                <w:bCs w:val="1"/>
                <w:color w:val="auto"/>
                <w:w w:val="90"/>
              </w:rPr>
              <w:t>New York Stock Exchange</w:t>
            </w:r>
          </w:p>
        </w:tc>
      </w:tr>
    </w:tbl>
    <w:p>
      <w:pPr>
        <w:spacing w:after="0" w:line="126" w:lineRule="exact"/>
        <w:rPr>
          <w:sz w:val="24"/>
          <w:szCs w:val="24"/>
          <w:color w:val="auto"/>
        </w:rPr>
      </w:pPr>
    </w:p>
    <w:p>
      <w:pPr>
        <w:ind w:right="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0" w:lineRule="exact"/>
        <w:rPr>
          <w:sz w:val="24"/>
          <w:szCs w:val="24"/>
          <w:color w:val="auto"/>
        </w:rPr>
      </w:pPr>
    </w:p>
    <w:p>
      <w:pPr>
        <w:spacing w:after="0"/>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214"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869315</wp:posOffset>
            </wp:positionH>
            <wp:positionV relativeFrom="paragraph">
              <wp:posOffset>-44450</wp:posOffset>
            </wp:positionV>
            <wp:extent cx="60636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-27305</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9" w:right="399" w:bottom="1440" w:gutter="0" w:footer="0" w:header="0"/>
        </w:sectPr>
      </w:pPr>
    </w:p>
    <w:bookmarkStart w:id="1" w:name="page2"/>
    <w:bookmarkEnd w:id="1"/>
    <w:p>
      <w:pPr>
        <w:spacing w:after="0"/>
        <w:tabs>
          <w:tab w:leader="none" w:pos="60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 and Financial Condition.</w:t>
      </w:r>
    </w:p>
    <w:p>
      <w:pPr>
        <w:spacing w:after="0" w:line="172" w:lineRule="exact"/>
        <w:rPr>
          <w:sz w:val="20"/>
          <w:szCs w:val="20"/>
          <w:color w:val="auto"/>
        </w:rPr>
      </w:pPr>
    </w:p>
    <w:p>
      <w:pPr>
        <w:ind w:right="140"/>
        <w:spacing w:after="0" w:line="298" w:lineRule="auto"/>
        <w:rPr>
          <w:sz w:val="20"/>
          <w:szCs w:val="20"/>
          <w:color w:val="auto"/>
        </w:rPr>
      </w:pPr>
      <w:r>
        <w:rPr>
          <w:rFonts w:ascii="Arial" w:cs="Arial" w:eastAsia="Arial" w:hAnsi="Arial"/>
          <w:sz w:val="11"/>
          <w:szCs w:val="11"/>
          <w:color w:val="auto"/>
        </w:rPr>
        <w:t>On August 4, 2022, BellRing Brands, Inc. (the "Company") issued a press release announcing results for its third fiscal quarter ended June 30, 2022 and providing a financial outlook for fiscal year 2022. A copy of the press release is attached hereto as Exhibit 99.1 and incorporated herein by reference. In addition, on August 4, 2022, the Company published to the "Investor Relations" section of its website, www.bellringbrands.com, a supplemental presentation related to results for its third fiscal quarter ended June 30, 2022. A copy of the presentation is attached hereto as Exhibit 99.2 and incorporated herein by reference.</w:t>
      </w:r>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6"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60" w:type="dxa"/>
            <w:vAlign w:val="bottom"/>
            <w:gridSpan w:val="2"/>
          </w:tcPr>
          <w:p>
            <w:pPr>
              <w:spacing w:after="0"/>
              <w:rPr>
                <w:sz w:val="20"/>
                <w:szCs w:val="20"/>
                <w:color w:val="auto"/>
              </w:rPr>
            </w:pPr>
            <w:r>
              <w:rPr>
                <w:rFonts w:ascii="Arial" w:cs="Arial" w:eastAsia="Arial" w:hAnsi="Arial"/>
                <w:sz w:val="12"/>
                <w:szCs w:val="12"/>
                <w:b w:val="1"/>
                <w:bCs w:val="1"/>
                <w:color w:val="auto"/>
              </w:rPr>
              <w:t>(d) Exhibits</w:t>
            </w: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306"/>
        </w:trPr>
        <w:tc>
          <w:tcPr>
            <w:tcW w:w="2260" w:type="dxa"/>
            <w:vAlign w:val="bottom"/>
            <w:gridSpan w:val="2"/>
          </w:tcPr>
          <w:p>
            <w:pPr>
              <w:spacing w:after="0"/>
              <w:rPr>
                <w:sz w:val="20"/>
                <w:szCs w:val="20"/>
                <w:color w:val="auto"/>
              </w:rPr>
            </w:pPr>
            <w:r>
              <w:rPr>
                <w:rFonts w:ascii="Arial" w:cs="Arial" w:eastAsia="Arial" w:hAnsi="Arial"/>
                <w:sz w:val="12"/>
                <w:szCs w:val="12"/>
                <w:color w:val="auto"/>
              </w:rPr>
              <w:t>Exhibit No.</w:t>
            </w:r>
          </w:p>
        </w:tc>
        <w:tc>
          <w:tcPr>
            <w:tcW w:w="5360" w:type="dxa"/>
            <w:vAlign w:val="bottom"/>
            <w:gridSpan w:val="4"/>
          </w:tcPr>
          <w:p>
            <w:pPr>
              <w:spacing w:after="0"/>
              <w:rPr>
                <w:sz w:val="20"/>
                <w:szCs w:val="20"/>
                <w:color w:val="auto"/>
              </w:rPr>
            </w:pPr>
            <w:r>
              <w:rPr>
                <w:rFonts w:ascii="Arial" w:cs="Arial" w:eastAsia="Arial" w:hAnsi="Arial"/>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Arial" w:cs="Arial" w:eastAsia="Arial" w:hAnsi="Arial"/>
                <w:sz w:val="12"/>
                <w:szCs w:val="12"/>
                <w:color w:val="auto"/>
              </w:rPr>
              <w:t>99.1</w:t>
            </w:r>
          </w:p>
        </w:tc>
        <w:tc>
          <w:tcPr>
            <w:tcW w:w="1700" w:type="dxa"/>
            <w:vAlign w:val="bottom"/>
          </w:tcPr>
          <w:p>
            <w:pPr>
              <w:spacing w:after="0"/>
              <w:rPr>
                <w:sz w:val="20"/>
                <w:szCs w:val="20"/>
                <w:color w:val="auto"/>
              </w:rPr>
            </w:pPr>
          </w:p>
        </w:tc>
        <w:tc>
          <w:tcPr>
            <w:tcW w:w="5360" w:type="dxa"/>
            <w:vAlign w:val="bottom"/>
            <w:gridSpan w:val="4"/>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Press Release dated August 4, 2022</w:t>
              </w:r>
            </w:hyperlink>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33"/>
        </w:trPr>
        <w:tc>
          <w:tcPr>
            <w:tcW w:w="560" w:type="dxa"/>
            <w:vAlign w:val="bottom"/>
          </w:tcPr>
          <w:p>
            <w:pPr>
              <w:spacing w:after="0" w:line="133" w:lineRule="exact"/>
              <w:rPr>
                <w:sz w:val="20"/>
                <w:szCs w:val="20"/>
                <w:color w:val="auto"/>
              </w:rPr>
            </w:pPr>
            <w:r>
              <w:rPr>
                <w:rFonts w:ascii="Arial" w:cs="Arial" w:eastAsia="Arial" w:hAnsi="Arial"/>
                <w:sz w:val="12"/>
                <w:szCs w:val="12"/>
                <w:color w:val="auto"/>
              </w:rPr>
              <w:t>99.2</w:t>
            </w:r>
          </w:p>
        </w:tc>
        <w:tc>
          <w:tcPr>
            <w:tcW w:w="1700" w:type="dxa"/>
            <w:vAlign w:val="bottom"/>
          </w:tcPr>
          <w:p>
            <w:pPr>
              <w:spacing w:after="0"/>
              <w:rPr>
                <w:sz w:val="11"/>
                <w:szCs w:val="11"/>
                <w:color w:val="auto"/>
              </w:rPr>
            </w:pPr>
          </w:p>
        </w:tc>
        <w:tc>
          <w:tcPr>
            <w:tcW w:w="5360" w:type="dxa"/>
            <w:vAlign w:val="bottom"/>
            <w:gridSpan w:val="4"/>
          </w:tcPr>
          <w:p>
            <w:pPr>
              <w:spacing w:after="0" w:line="133" w:lineRule="exact"/>
              <w:rPr>
                <w:rFonts w:ascii="Arial" w:cs="Arial" w:eastAsia="Arial" w:hAnsi="Arial"/>
                <w:sz w:val="12"/>
                <w:szCs w:val="12"/>
                <w:color w:val="0000FF"/>
              </w:rPr>
            </w:pPr>
            <w:hyperlink w:anchor="page16">
              <w:r>
                <w:rPr>
                  <w:rFonts w:ascii="Arial" w:cs="Arial" w:eastAsia="Arial" w:hAnsi="Arial"/>
                  <w:sz w:val="12"/>
                  <w:szCs w:val="12"/>
                  <w:color w:val="0000FF"/>
                </w:rPr>
                <w:t>Third Fiscal Quarter Ended June 30, 2022 Supplemental Presentation</w:t>
              </w:r>
            </w:hyperlink>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60"/>
        </w:trPr>
        <w:tc>
          <w:tcPr>
            <w:tcW w:w="560" w:type="dxa"/>
            <w:vAlign w:val="bottom"/>
          </w:tcPr>
          <w:p>
            <w:pPr>
              <w:spacing w:after="0"/>
              <w:rPr>
                <w:sz w:val="20"/>
                <w:szCs w:val="20"/>
                <w:color w:val="auto"/>
              </w:rPr>
            </w:pPr>
            <w:r>
              <w:rPr>
                <w:rFonts w:ascii="Arial" w:cs="Arial" w:eastAsia="Arial" w:hAnsi="Arial"/>
                <w:sz w:val="12"/>
                <w:szCs w:val="12"/>
                <w:color w:val="auto"/>
              </w:rPr>
              <w:t>104</w:t>
            </w:r>
          </w:p>
        </w:tc>
        <w:tc>
          <w:tcPr>
            <w:tcW w:w="1700" w:type="dxa"/>
            <w:vAlign w:val="bottom"/>
          </w:tcPr>
          <w:p>
            <w:pPr>
              <w:spacing w:after="0"/>
              <w:rPr>
                <w:sz w:val="13"/>
                <w:szCs w:val="13"/>
                <w:color w:val="auto"/>
              </w:rPr>
            </w:pPr>
          </w:p>
        </w:tc>
        <w:tc>
          <w:tcPr>
            <w:tcW w:w="5360" w:type="dxa"/>
            <w:vAlign w:val="bottom"/>
            <w:gridSpan w:val="4"/>
          </w:tcPr>
          <w:p>
            <w:pPr>
              <w:spacing w:after="0"/>
              <w:rPr>
                <w:sz w:val="20"/>
                <w:szCs w:val="20"/>
                <w:color w:val="auto"/>
              </w:rPr>
            </w:pPr>
            <w:r>
              <w:rPr>
                <w:rFonts w:ascii="Arial" w:cs="Arial" w:eastAsia="Arial" w:hAnsi="Arial"/>
                <w:sz w:val="12"/>
                <w:szCs w:val="12"/>
                <w:color w:val="auto"/>
                <w:w w:val="91"/>
              </w:rPr>
              <w:t>Cover Page Interactive Data File (the cover page iXBRL tags are embedded within the Inline XBRL document)</w:t>
            </w:r>
          </w:p>
        </w:tc>
      </w:tr>
    </w:tbl>
    <w:p>
      <w:pPr>
        <w:sectPr>
          <w:pgSz w:w="11900" w:h="16838" w:orient="portrait"/>
          <w:cols w:equalWidth="0" w:num="1">
            <w:col w:w="11300"/>
          </w:cols>
          <w:pgMar w:left="300" w:top="1162"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80" w:type="dxa"/>
            <w:vAlign w:val="bottom"/>
          </w:tcPr>
          <w:p>
            <w:pPr>
              <w:spacing w:after="0"/>
              <w:rPr>
                <w:sz w:val="20"/>
                <w:szCs w:val="20"/>
                <w:color w:val="auto"/>
              </w:rPr>
            </w:pPr>
            <w:r>
              <w:rPr>
                <w:rFonts w:ascii="Arial" w:cs="Arial" w:eastAsia="Arial" w:hAnsi="Arial"/>
                <w:sz w:val="12"/>
                <w:szCs w:val="12"/>
                <w:color w:val="auto"/>
              </w:rPr>
              <w:t>Date: August 4, 2022</w:t>
            </w:r>
          </w:p>
        </w:tc>
        <w:tc>
          <w:tcPr>
            <w:tcW w:w="7800" w:type="dxa"/>
            <w:vAlign w:val="bottom"/>
            <w:gridSpan w:val="2"/>
          </w:tcPr>
          <w:p>
            <w:pPr>
              <w:ind w:left="2260"/>
              <w:spacing w:after="0"/>
              <w:rPr>
                <w:sz w:val="20"/>
                <w:szCs w:val="20"/>
                <w:color w:val="auto"/>
              </w:rPr>
            </w:pPr>
            <w:r>
              <w:rPr>
                <w:rFonts w:ascii="Arial" w:cs="Arial" w:eastAsia="Arial" w:hAnsi="Arial"/>
                <w:sz w:val="12"/>
                <w:szCs w:val="12"/>
                <w:b w:val="1"/>
                <w:bCs w:val="1"/>
                <w:color w:val="auto"/>
              </w:rPr>
              <w:t>BellRing Brands, Inc.</w:t>
            </w:r>
          </w:p>
        </w:tc>
      </w:tr>
      <w:tr>
        <w:trPr>
          <w:trHeight w:val="225"/>
        </w:trPr>
        <w:tc>
          <w:tcPr>
            <w:tcW w:w="3280" w:type="dxa"/>
            <w:vAlign w:val="bottom"/>
          </w:tcPr>
          <w:p>
            <w:pPr>
              <w:spacing w:after="0"/>
              <w:rPr>
                <w:sz w:val="19"/>
                <w:szCs w:val="19"/>
                <w:color w:val="auto"/>
              </w:rPr>
            </w:pPr>
          </w:p>
        </w:tc>
        <w:tc>
          <w:tcPr>
            <w:tcW w:w="3180" w:type="dxa"/>
            <w:vAlign w:val="bottom"/>
          </w:tcPr>
          <w:p>
            <w:pPr>
              <w:ind w:left="2260"/>
              <w:spacing w:after="0"/>
              <w:rPr>
                <w:sz w:val="20"/>
                <w:szCs w:val="20"/>
                <w:color w:val="auto"/>
              </w:rPr>
            </w:pPr>
            <w:r>
              <w:rPr>
                <w:rFonts w:ascii="Arial" w:cs="Arial" w:eastAsia="Arial" w:hAnsi="Arial"/>
                <w:sz w:val="12"/>
                <w:szCs w:val="12"/>
                <w:color w:val="auto"/>
              </w:rPr>
              <w:t>(Registrant)</w:t>
            </w:r>
          </w:p>
        </w:tc>
        <w:tc>
          <w:tcPr>
            <w:tcW w:w="4620" w:type="dxa"/>
            <w:vAlign w:val="bottom"/>
          </w:tcPr>
          <w:p>
            <w:pPr>
              <w:spacing w:after="0"/>
              <w:rPr>
                <w:sz w:val="19"/>
                <w:szCs w:val="19"/>
                <w:color w:val="auto"/>
              </w:rPr>
            </w:pPr>
          </w:p>
        </w:tc>
      </w:tr>
      <w:tr>
        <w:trPr>
          <w:trHeight w:val="450"/>
        </w:trPr>
        <w:tc>
          <w:tcPr>
            <w:tcW w:w="3280" w:type="dxa"/>
            <w:vAlign w:val="bottom"/>
          </w:tcPr>
          <w:p>
            <w:pPr>
              <w:spacing w:after="0"/>
              <w:rPr>
                <w:sz w:val="24"/>
                <w:szCs w:val="24"/>
                <w:color w:val="auto"/>
              </w:rPr>
            </w:pPr>
          </w:p>
        </w:tc>
        <w:tc>
          <w:tcPr>
            <w:tcW w:w="3180" w:type="dxa"/>
            <w:vAlign w:val="bottom"/>
          </w:tcPr>
          <w:p>
            <w:pPr>
              <w:ind w:left="2260"/>
              <w:spacing w:after="0"/>
              <w:rPr>
                <w:sz w:val="20"/>
                <w:szCs w:val="20"/>
                <w:color w:val="auto"/>
              </w:rPr>
            </w:pPr>
            <w:r>
              <w:rPr>
                <w:rFonts w:ascii="Arial" w:cs="Arial" w:eastAsia="Arial" w:hAnsi="Arial"/>
                <w:sz w:val="12"/>
                <w:szCs w:val="12"/>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Paul A. Rode</w:t>
            </w:r>
          </w:p>
        </w:tc>
      </w:tr>
      <w:tr>
        <w:trPr>
          <w:trHeight w:val="205"/>
        </w:trPr>
        <w:tc>
          <w:tcPr>
            <w:tcW w:w="3280" w:type="dxa"/>
            <w:vAlign w:val="bottom"/>
          </w:tcPr>
          <w:p>
            <w:pPr>
              <w:spacing w:after="0"/>
              <w:rPr>
                <w:sz w:val="17"/>
                <w:szCs w:val="17"/>
                <w:color w:val="auto"/>
              </w:rPr>
            </w:pPr>
          </w:p>
        </w:tc>
        <w:tc>
          <w:tcPr>
            <w:tcW w:w="3180" w:type="dxa"/>
            <w:vAlign w:val="bottom"/>
          </w:tcPr>
          <w:p>
            <w:pPr>
              <w:ind w:left="2260"/>
              <w:spacing w:after="0"/>
              <w:rPr>
                <w:sz w:val="20"/>
                <w:szCs w:val="20"/>
                <w:color w:val="auto"/>
              </w:rPr>
            </w:pPr>
            <w:r>
              <w:rPr>
                <w:rFonts w:ascii="Arial" w:cs="Arial" w:eastAsia="Arial" w:hAnsi="Arial"/>
                <w:sz w:val="12"/>
                <w:szCs w:val="12"/>
                <w:color w:val="auto"/>
              </w:rPr>
              <w:t>Name:</w:t>
            </w:r>
          </w:p>
        </w:tc>
        <w:tc>
          <w:tcPr>
            <w:tcW w:w="4620" w:type="dxa"/>
            <w:vAlign w:val="bottom"/>
          </w:tcPr>
          <w:p>
            <w:pPr>
              <w:spacing w:after="0"/>
              <w:rPr>
                <w:sz w:val="20"/>
                <w:szCs w:val="20"/>
                <w:color w:val="auto"/>
              </w:rPr>
            </w:pPr>
            <w:r>
              <w:rPr>
                <w:rFonts w:ascii="Arial" w:cs="Arial" w:eastAsia="Arial" w:hAnsi="Arial"/>
                <w:sz w:val="12"/>
                <w:szCs w:val="12"/>
                <w:color w:val="auto"/>
              </w:rPr>
              <w:t>Paul A. Rode</w:t>
            </w:r>
          </w:p>
        </w:tc>
      </w:tr>
      <w:tr>
        <w:trPr>
          <w:trHeight w:val="153"/>
        </w:trPr>
        <w:tc>
          <w:tcPr>
            <w:tcW w:w="3280" w:type="dxa"/>
            <w:vAlign w:val="bottom"/>
          </w:tcPr>
          <w:p>
            <w:pPr>
              <w:spacing w:after="0"/>
              <w:rPr>
                <w:sz w:val="13"/>
                <w:szCs w:val="13"/>
                <w:color w:val="auto"/>
              </w:rPr>
            </w:pPr>
          </w:p>
        </w:tc>
        <w:tc>
          <w:tcPr>
            <w:tcW w:w="3180" w:type="dxa"/>
            <w:vAlign w:val="bottom"/>
          </w:tcPr>
          <w:p>
            <w:pPr>
              <w:ind w:left="2260"/>
              <w:spacing w:after="0"/>
              <w:rPr>
                <w:sz w:val="20"/>
                <w:szCs w:val="20"/>
                <w:color w:val="auto"/>
              </w:rPr>
            </w:pPr>
            <w:r>
              <w:rPr>
                <w:rFonts w:ascii="Arial" w:cs="Arial" w:eastAsia="Arial" w:hAnsi="Arial"/>
                <w:sz w:val="12"/>
                <w:szCs w:val="12"/>
                <w:color w:val="auto"/>
              </w:rPr>
              <w:t>Title:</w:t>
            </w:r>
          </w:p>
        </w:tc>
        <w:tc>
          <w:tcPr>
            <w:tcW w:w="462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ectPr>
          <w:pgSz w:w="11900" w:h="16838" w:orient="portrait"/>
          <w:cols w:equalWidth="0" w:num="1">
            <w:col w:w="11080"/>
          </w:cols>
          <w:pgMar w:left="300" w:top="1157"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000125"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012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BellRing Brands Reports Results for the Third Quarter of Fiscal Year 2022; Updates Fiscal Year 2022 Outlook</w:t>
      </w:r>
    </w:p>
    <w:p>
      <w:pPr>
        <w:spacing w:after="0" w:line="14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St. Louis - August 4, 2022 </w:t>
      </w:r>
      <w:r>
        <w:rPr>
          <w:rFonts w:ascii="Arial" w:cs="Arial" w:eastAsia="Arial" w:hAnsi="Arial"/>
          <w:sz w:val="11"/>
          <w:szCs w:val="11"/>
          <w:color w:val="auto"/>
        </w:rPr>
        <w:t>- BellRing Brands, Inc. (NYSE:BRBR) (“BellRing”), a holding company operating in the global convenient nutrition category, today reported results for the third fiscal quarter ended June 30, 2022.</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Third quarter net sales of $370.6 million</w:t>
      </w:r>
    </w:p>
    <w:p>
      <w:pPr>
        <w:spacing w:after="0" w:line="18" w:lineRule="exact"/>
        <w:rPr>
          <w:rFonts w:ascii="Arial" w:cs="Arial" w:eastAsia="Arial" w:hAnsi="Arial"/>
          <w:sz w:val="12"/>
          <w:szCs w:val="12"/>
          <w:b w:val="1"/>
          <w:bCs w:val="1"/>
          <w:color w:val="auto"/>
        </w:rPr>
      </w:pP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Operating profit of $67.5 million; net earnings available to common stockholders of $39.1 million and Adjusted EBITDA of $80.8 million</w:t>
      </w:r>
    </w:p>
    <w:p>
      <w:pPr>
        <w:spacing w:after="0" w:line="6" w:lineRule="exact"/>
        <w:rPr>
          <w:rFonts w:ascii="Arial" w:cs="Arial" w:eastAsia="Arial" w:hAnsi="Arial"/>
          <w:sz w:val="12"/>
          <w:szCs w:val="12"/>
          <w:b w:val="1"/>
          <w:bCs w:val="1"/>
          <w:color w:val="auto"/>
        </w:rPr>
      </w:pP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Updated fiscal year 2022 net sales guidance of $1.39-$1.42 billion and Adjusted EBITDA (non-GAAP) guidance of $262-$268 million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Third Quarter Operating Results</w:t>
      </w:r>
    </w:p>
    <w:p>
      <w:pPr>
        <w:spacing w:after="0" w:line="118" w:lineRule="exact"/>
        <w:rPr>
          <w:sz w:val="20"/>
          <w:szCs w:val="20"/>
          <w:color w:val="auto"/>
        </w:rPr>
      </w:pPr>
    </w:p>
    <w:p>
      <w:pPr>
        <w:ind w:right="200"/>
        <w:spacing w:after="0" w:line="255" w:lineRule="auto"/>
        <w:rPr>
          <w:sz w:val="20"/>
          <w:szCs w:val="20"/>
          <w:color w:val="auto"/>
        </w:rPr>
      </w:pPr>
      <w:r>
        <w:rPr>
          <w:rFonts w:ascii="Arial" w:cs="Arial" w:eastAsia="Arial" w:hAnsi="Arial"/>
          <w:sz w:val="12"/>
          <w:szCs w:val="12"/>
          <w:color w:val="auto"/>
        </w:rPr>
        <w:t xml:space="preserve">Net sales were $370.6 million, an increase of 8.2%, or $28.0 million, compared to the prior year period.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net sales increased 7.3% and volumes declined 9.4%;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ready-to-drink (“RTD”) shake net sales increased 6.3% and volumes declined 9.6%.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net sales benefited from higher average net selling prices driven by price increases and reduced promotional activity. As discussed in previous earnings releases, capacity constraints across the broader shake contract manufacturer network have resulted in the allocation of certain products and reduced demand-driving promotional activity. Additionally, the business lapped a prior year period where shipments outpaced production, which, as expected, caused a sales volume reduction when compared to the prior year period. </w:t>
      </w:r>
      <w:r>
        <w:rPr>
          <w:rFonts w:ascii="Arial" w:cs="Arial" w:eastAsia="Arial" w:hAnsi="Arial"/>
          <w:sz w:val="12"/>
          <w:szCs w:val="12"/>
          <w:i w:val="1"/>
          <w:iCs w:val="1"/>
          <w:color w:val="auto"/>
        </w:rPr>
        <w:t>Dymatize</w:t>
      </w:r>
      <w:r>
        <w:rPr>
          <w:rFonts w:ascii="Arial" w:cs="Arial" w:eastAsia="Arial" w:hAnsi="Arial"/>
          <w:sz w:val="12"/>
          <w:szCs w:val="12"/>
          <w:color w:val="auto"/>
        </w:rPr>
        <w:t xml:space="preserve"> net sales increased 16.8% and benefited from higher average net selling prices (driven by price increases) and favorable product mix. </w:t>
      </w:r>
      <w:r>
        <w:rPr>
          <w:rFonts w:ascii="Arial" w:cs="Arial" w:eastAsia="Arial" w:hAnsi="Arial"/>
          <w:sz w:val="12"/>
          <w:szCs w:val="12"/>
          <w:i w:val="1"/>
          <w:iCs w:val="1"/>
          <w:color w:val="auto"/>
        </w:rPr>
        <w:t>Dymatize</w:t>
      </w:r>
      <w:r>
        <w:rPr>
          <w:rFonts w:ascii="Arial" w:cs="Arial" w:eastAsia="Arial" w:hAnsi="Arial"/>
          <w:sz w:val="12"/>
          <w:szCs w:val="12"/>
          <w:color w:val="auto"/>
        </w:rPr>
        <w:t xml:space="preserve"> volumes declined 28.0% driven by elasticities due to inflation-driven price increases, reduction in trade inventory, and lapping prior year promotional activities. Net sales of all other products decreased 1.1%.</w:t>
      </w:r>
    </w:p>
    <w:p>
      <w:pPr>
        <w:spacing w:after="0" w:line="9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 xml:space="preserve">Dollar consumption of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RTD shakes decreased 2.3% and </w:t>
      </w:r>
      <w:r>
        <w:rPr>
          <w:rFonts w:ascii="Arial" w:cs="Arial" w:eastAsia="Arial" w:hAnsi="Arial"/>
          <w:sz w:val="12"/>
          <w:szCs w:val="12"/>
          <w:i w:val="1"/>
          <w:iCs w:val="1"/>
          <w:color w:val="auto"/>
        </w:rPr>
        <w:t>Dymatize</w:t>
      </w:r>
      <w:r>
        <w:rPr>
          <w:rFonts w:ascii="Arial" w:cs="Arial" w:eastAsia="Arial" w:hAnsi="Arial"/>
          <w:sz w:val="12"/>
          <w:szCs w:val="12"/>
          <w:color w:val="auto"/>
        </w:rPr>
        <w:t xml:space="preserve"> United States (“U.S.”) powder products increased 21.3% in the 13-week period ended July 2, 2022, as compared to the same period in 2021 (inclusive of NielsenIQ Total US xAOC including Convenience and management estimates of untracked channels).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Gross profit was $120.2 million, or 32.4% of net sales, an increase of 8.0%, or $8.9 million compared to $111.3 million, or 32.5% of net sales, in the prior year period.</w:t>
      </w:r>
    </w:p>
    <w:p>
      <w:pPr>
        <w:spacing w:after="0" w:line="114" w:lineRule="exact"/>
        <w:rPr>
          <w:sz w:val="20"/>
          <w:szCs w:val="20"/>
          <w:color w:val="auto"/>
        </w:rPr>
      </w:pPr>
    </w:p>
    <w:p>
      <w:pPr>
        <w:ind w:right="200"/>
        <w:spacing w:after="0" w:line="259" w:lineRule="auto"/>
        <w:rPr>
          <w:sz w:val="20"/>
          <w:szCs w:val="20"/>
          <w:color w:val="auto"/>
        </w:rPr>
      </w:pPr>
      <w:r>
        <w:rPr>
          <w:rFonts w:ascii="Arial" w:cs="Arial" w:eastAsia="Arial" w:hAnsi="Arial"/>
          <w:sz w:val="12"/>
          <w:szCs w:val="12"/>
          <w:color w:val="auto"/>
        </w:rPr>
        <w:t>Selling, general and administrative (“SG&amp;A”) expenses were $47.8 million, or 12.9% of net sales, an increase of $5.2 million compared to $42.6 million, or 12.4% of net sales, in the prior year period. SG&amp;A expenses in the third quarter of 2022 included a write-off of $2.3 million recorded in connection with the settlement of a previous dispute with a former contract manufacturer and $0.9 million of separation costs related to Post Holdings, Inc.’s (“Post”) distribution to its shareholders of 80.1% of Post’s interest in BellRing (the “Distribution” and, together with the transactions related thereto, the “Spin-off”). The settlement of the previous dispute with a former contract manufacturer and separation costs were treated as adjustments for non-GAAP measures.</w:t>
      </w:r>
    </w:p>
    <w:p>
      <w:pPr>
        <w:spacing w:after="0" w:line="88"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Operating profit was $67.5 million, an increase of 31.1%, or $16.0 million, compared to $51.5 million in the prior year period. Operating profit in the third quarter of 2021 was negatively impacted by $11.8 million of accelerated amortization, which was incurred in connection with the discontinuance of a brand and was treated as an adjustment for non-GAAP measures.</w:t>
      </w:r>
    </w:p>
    <w:p>
      <w:pPr>
        <w:spacing w:after="0" w:line="79" w:lineRule="exact"/>
        <w:rPr>
          <w:sz w:val="20"/>
          <w:szCs w:val="20"/>
          <w:color w:val="auto"/>
        </w:rPr>
      </w:pPr>
    </w:p>
    <w:p>
      <w:pPr>
        <w:jc w:val="both"/>
        <w:ind w:right="200"/>
        <w:spacing w:after="0" w:line="298" w:lineRule="auto"/>
        <w:rPr>
          <w:sz w:val="20"/>
          <w:szCs w:val="20"/>
          <w:color w:val="auto"/>
        </w:rPr>
      </w:pPr>
      <w:r>
        <w:rPr>
          <w:rFonts w:ascii="Arial" w:cs="Arial" w:eastAsia="Arial" w:hAnsi="Arial"/>
          <w:sz w:val="11"/>
          <w:szCs w:val="11"/>
          <w:color w:val="auto"/>
        </w:rPr>
        <w:t>Net earnings available to common stockholders were $39.1 million, an increase of 311.6%, or $29.6 million, compared to $9.5 million in the prior year period. Net earnings available to common stockholders in the prior year period excluded $29.0 million of net earnings attributable to the Company’s redeemable noncontrolling interest (“NCI”). Net earnings per diluted share of common stock were $0.29, compared to $0.24 in the prior year period. Adjusted net earnings available to common stockholders were $42.5 million, or $0.31 per diluted share of common stock, compared to $11.8 million, or $0.30 per diluted share of common stock, in the prior year period.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644" w:right="299" w:bottom="1440" w:gutter="0" w:footer="0" w:header="0"/>
        </w:sectPr>
      </w:pPr>
    </w:p>
    <w:bookmarkStart w:id="4" w:name="page5"/>
    <w:bookmarkEnd w:id="4"/>
    <w:p>
      <w:pPr>
        <w:ind w:right="160"/>
        <w:spacing w:after="0" w:line="276" w:lineRule="auto"/>
        <w:rPr>
          <w:sz w:val="20"/>
          <w:szCs w:val="20"/>
          <w:color w:val="auto"/>
        </w:rPr>
      </w:pPr>
      <w:r>
        <w:rPr>
          <w:rFonts w:ascii="Arial" w:cs="Arial" w:eastAsia="Arial" w:hAnsi="Arial"/>
          <w:sz w:val="12"/>
          <w:szCs w:val="12"/>
          <w:color w:val="auto"/>
        </w:rPr>
        <w:t>Adjusted EBITDA was $80.8 million, an increase of 14.6%, or $10.3 million, compared to $70.5 million in the prior year period. Adjusted EBITDA in the prior year period included an adjustment for the portion of BellRing Brands, LLC’s (“BellRing LLC”) consolidated net earnings which was allocated to NCI in the periods prior to the Spin-off, resulting in the calculation of Adjusted EBITDA including 100% of BellRing.</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Nine Month Operating Results</w:t>
      </w:r>
    </w:p>
    <w:p>
      <w:pPr>
        <w:spacing w:after="0" w:line="118"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 xml:space="preserve">Net sales were $992.3 million, an increase of 9.4%, or $85.2 million, compared to the prior year period.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net sales increased 6.2%, with volumes down 7.0%. </w:t>
      </w:r>
      <w:r>
        <w:rPr>
          <w:rFonts w:ascii="Arial" w:cs="Arial" w:eastAsia="Arial" w:hAnsi="Arial"/>
          <w:sz w:val="12"/>
          <w:szCs w:val="12"/>
          <w:i w:val="1"/>
          <w:iCs w:val="1"/>
          <w:color w:val="auto"/>
        </w:rPr>
        <w:t>Dymatize</w:t>
      </w:r>
      <w:r>
        <w:rPr>
          <w:rFonts w:ascii="Arial" w:cs="Arial" w:eastAsia="Arial" w:hAnsi="Arial"/>
          <w:sz w:val="12"/>
          <w:szCs w:val="12"/>
          <w:color w:val="auto"/>
        </w:rPr>
        <w:t xml:space="preserve"> net sales increased 35.9%, with volumes flat. Net sales of all other products decreased 3.7%.</w:t>
      </w:r>
    </w:p>
    <w:p>
      <w:pPr>
        <w:spacing w:after="0" w:line="79"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Gross profit was $299.5 million, or 30.2% of net sales, an increase of 3.2%, or $9.3 million, compared to $290.2 million, or 32.0% of net sales, in the prior year period. The lower gross profit margin was driven by higher raw material costs (predominantly dairy-based proteins) and freight, as well as logistics inefficiencies (which resulted from capacity constraints).</w:t>
      </w:r>
    </w:p>
    <w:p>
      <w:pPr>
        <w:spacing w:after="0" w:line="79"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SG&amp;A expenses were $133.5 million, or 13.5% of net sales, an increase of $4.4 million compared to $129.1 million, or 14.2% of net sales, in the prior year period. SG&amp;A expenses in the nine months ended June 30, 2022 included $13.2 million of separation costs related to the Spin-off. SG&amp;A expenses in the nine months ended June 30, 2021 included $5.3 million of restructuring and facility closure costs. Separation costs and restructuring and facility closure costs were treated as adjustments for non-GAAP measures.</w:t>
      </w:r>
    </w:p>
    <w:p>
      <w:pPr>
        <w:spacing w:after="0" w:line="86"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Operating profit was $151.3 million, an increase of 31.7%, or $36.4 million, compared to $114.9 million in the prior year period. Operating profit in the nine months ended June 30, 2021 was negatively impacted by $29.9 million of accelerated amortization, which was incurred in connection with the discontinuance of a brand and was treated as an adjustment for non-GAAP measures.</w:t>
      </w:r>
    </w:p>
    <w:p>
      <w:pPr>
        <w:spacing w:after="0" w:line="79"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Net earnings available to common stockholders were $48.6 million, an increase of 171.5%, or $30.7 million, compared to $17.9 million in the prior year period. Net earnings included loss on extinguishment and refinancing of debt, net of $17.6 million and $1.6 million in the nine months ended June 30, 2022 and 2021, respectively, which is discussed later in this release and was treated as an adjustment for non-GAAP measures. Net earnings available to common stockholders excluded $33.7 million of net earnings attributable to the Company’s redeemable NCI, compared to $56.0 million excluded in the prior year period. Net earnings per diluted share of common stock were $0.61, compared to $0.45 in the prior year period. Adjusted net earnings available to common stockholders were $67.0 million, or $0.84 per diluted share of common stock, compared to $25.7 million, or $0.65 per diluted share of common stock, in the prior year period.</w:t>
      </w:r>
    </w:p>
    <w:p>
      <w:pPr>
        <w:spacing w:after="0" w:line="92" w:lineRule="exact"/>
        <w:rPr>
          <w:sz w:val="20"/>
          <w:szCs w:val="20"/>
          <w:color w:val="auto"/>
        </w:rPr>
      </w:pPr>
    </w:p>
    <w:p>
      <w:pPr>
        <w:ind w:right="500"/>
        <w:spacing w:after="0" w:line="276" w:lineRule="auto"/>
        <w:rPr>
          <w:sz w:val="20"/>
          <w:szCs w:val="20"/>
          <w:color w:val="auto"/>
        </w:rPr>
      </w:pPr>
      <w:r>
        <w:rPr>
          <w:rFonts w:ascii="Arial" w:cs="Arial" w:eastAsia="Arial" w:hAnsi="Arial"/>
          <w:sz w:val="12"/>
          <w:szCs w:val="12"/>
          <w:color w:val="auto"/>
        </w:rPr>
        <w:t>Adjusted EBITDA was $191.5 million, an increase of 10.4%, or $18.1 million, compared to $173.4 million in the prior year period. Adjusted EBITDA in both periods included an adjustment for the portion of BellRing LLC’s consolidated net earnings which was allocated to NCI in the periods prior to the Spin-off, resulting in the calculation of Adjusted EBITDA including 100% of BellRing.</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Loss on Extinguishment and Refinancing of Debt and Income Tax</w:t>
      </w:r>
    </w:p>
    <w:p>
      <w:pPr>
        <w:spacing w:after="0" w:line="118"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Interest expense, net was $15.9 million in the third quarter of 2022, compared to $9.5 million in the third quarter of 2021, with the increase driven by an increase in the aggregate principal amount of debt outstanding resulting from the Spin-off transactions. Interest expense, net was $32.8 million in the nine months ended June 30, 2022, compared to $33.6 million in the nine months ended June 30, 2021.</w:t>
      </w:r>
    </w:p>
    <w:p>
      <w:pPr>
        <w:spacing w:after="0" w:line="79"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Loss on extinguishment of debt, net of $17.6 million was recorded in the nine months ended June 30, 2022 in connection with BellRing LLC’s repayment of the entire principal balance of its term loan and termination of its prior credit agreement in the second quarter of 2022. Loss on refinancing of debt, net of $1.6 million was recorded in the nine months ended June 30, 2021 in connection with an opportunistic repricing of BellRing LLC’s term loan in the second quarter of 2021.</w:t>
      </w:r>
    </w:p>
    <w:p>
      <w:pPr>
        <w:spacing w:after="0" w:line="86"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Income tax expense was $12.5 million in the third quarter of 2022, an effective income tax rate of 24.2%, compared to $3.4 million in the third quarter of 2021, an effective income tax rate of 8.1%. Income tax expense was $18.6 million in the nine months ended June 30, 2022, an effective income tax rate of 18.4%, compared to $5.8 million in the nine months ended June 30, 2021, an effective income tax rate of 7.3% in the prior year period. In the three and nine months ended June 30, 2022, the increase in the effective income tax rate was driven primarily by inclusion of 100% of the items of income, gain, loss and deduction of BellRing LLC in the periods subsequent to the Spin-off, and in the nine months ended June 30, 2022 by certain separation-related expenses incurred in connection with the Spin-off that were treated as non-deductible. In the three and nine months ended June 30, 2021, the effective income tax rate differed significantly from the statutory rate as a result of taking into</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80"/>
          </w:cols>
          <w:pgMar w:left="300" w:top="644" w:right="319" w:bottom="1440" w:gutter="0" w:footer="0" w:header="0"/>
        </w:sectPr>
      </w:pPr>
    </w:p>
    <w:bookmarkStart w:id="5" w:name="page6"/>
    <w:bookmarkEnd w:id="5"/>
    <w:p>
      <w:pPr>
        <w:spacing w:after="0"/>
        <w:rPr>
          <w:sz w:val="20"/>
          <w:szCs w:val="20"/>
          <w:color w:val="auto"/>
        </w:rPr>
      </w:pPr>
      <w:r>
        <w:rPr>
          <w:rFonts w:ascii="Arial" w:cs="Arial" w:eastAsia="Arial" w:hAnsi="Arial"/>
          <w:sz w:val="12"/>
          <w:szCs w:val="12"/>
          <w:color w:val="auto"/>
        </w:rPr>
        <w:t>account for U.S. federal, state and local income tax purposes its distributive share of the items of income, gain, loss and deduction of BellRing LLC in the periods prior to the Spin-off.</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 Repurchases</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color w:val="auto"/>
        </w:rPr>
        <w:t>During the three months ended June 30, 2022, BellRing repurchased 0.1 million shares for $2.4 million at an average price of $22.94 per share. Prior to the Spin-off, BellRing repurchased 0.8 million shares of its common stock for</w:t>
      </w:r>
    </w:p>
    <w:p>
      <w:pPr>
        <w:spacing w:after="0" w:line="26"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$18.1 million at an average price of $23.34 per share; in connection with the Spin-off, these 0.8 million shares held in treasury stock were cancelled. As of June 30, 2022, BellRing had $47.6 million remaining under its share repurchase authorization.</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18" w:lineRule="exact"/>
        <w:rPr>
          <w:sz w:val="20"/>
          <w:szCs w:val="20"/>
          <w:color w:val="auto"/>
        </w:rPr>
      </w:pPr>
    </w:p>
    <w:p>
      <w:pPr>
        <w:ind w:right="120"/>
        <w:spacing w:after="0" w:line="323" w:lineRule="auto"/>
        <w:rPr>
          <w:sz w:val="20"/>
          <w:szCs w:val="20"/>
          <w:color w:val="auto"/>
        </w:rPr>
      </w:pPr>
      <w:r>
        <w:rPr>
          <w:rFonts w:ascii="Arial" w:cs="Arial" w:eastAsia="Arial" w:hAnsi="Arial"/>
          <w:sz w:val="11"/>
          <w:szCs w:val="11"/>
          <w:color w:val="auto"/>
        </w:rPr>
        <w:t>On March 10, 2022, Post’s distribution to its shareholders of 80.1% of its interest in BellRing was completed. From October 21, 2019 through March 10, 2022, BellRing allocated a portion of the consolidated net earnings of BellRing LLC to its redeemable NCI, reflecting the entitlement of Post to a portion of the consolidated net earnings. Subsequent to the Spin-off, there was no NCI in the consolidated net earnings of BellRing LLC.</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18"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For fiscal year 2022, BellRing management has updated its guidance range for net sales to range between $1.39-$1.42 billion and Adjusted EBITDA to range between $262-$268 million (resulting in net sales and Adjusted EBITDA growth of 11%-14% and 12%-15%, respectively, over fiscal year 2021). BellRing management expects fiscal year 2022 capital expenditures of approximately $3 million.</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loss on extinguishment and refinancing of debt, separation costs, restructuring and facility closures costs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Non-GAAP Measures</w:t>
      </w:r>
    </w:p>
    <w:p>
      <w:pPr>
        <w:spacing w:after="0" w:line="118"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common stockholders, Adjusted diluted earnings per share of common stock and Adjusted EBITDA. The reconciliation of each of these non-GAAP measures to the most directly comparable GAAP measure is provided later in this release under “Explanation and Reconciliation of Non-GAAP Measures.”</w:t>
      </w:r>
    </w:p>
    <w:p>
      <w:pPr>
        <w:spacing w:after="0" w:line="86" w:lineRule="exact"/>
        <w:rPr>
          <w:sz w:val="20"/>
          <w:szCs w:val="20"/>
          <w:color w:val="auto"/>
        </w:rPr>
      </w:pPr>
    </w:p>
    <w:p>
      <w:pPr>
        <w:ind w:right="140"/>
        <w:spacing w:after="0" w:line="285" w:lineRule="auto"/>
        <w:rPr>
          <w:sz w:val="20"/>
          <w:szCs w:val="20"/>
          <w:color w:val="auto"/>
        </w:rPr>
      </w:pPr>
      <w:r>
        <w:rPr>
          <w:rFonts w:ascii="Arial" w:cs="Arial" w:eastAsia="Arial" w:hAnsi="Arial"/>
          <w:sz w:val="11"/>
          <w:szCs w:val="11"/>
          <w:color w:val="auto"/>
        </w:rPr>
        <w:t>Management uses certain of these non-GAAP measures, including Adjusted EBITDA, as key metrics in the evaluation of underlying company performance, in making financial, operating and planning decisions and, in part, in the determination of bonuses for its executive officers and employees. Additionally, BellRing is required to comply with certain covenants and limitations that are based on variations of EBITDA in its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 to Discuss Earnings Results and Outlook</w:t>
      </w:r>
    </w:p>
    <w:p>
      <w:pPr>
        <w:spacing w:after="0" w:line="118"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BellRing will host a conference call on Friday, August 5, 2022 at 10:30 a.m. EDT to discuss financial results for the third quarter of fiscal year 2022 and fiscal year 2022 outlook and to respond to questions. Darcy H. Davenport, President and Chief Executive Officer, and Paul A. Rode, Chief Financial Officer, will participate in the call.</w:t>
      </w:r>
    </w:p>
    <w:p>
      <w:pPr>
        <w:spacing w:after="0" w:line="79"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Interested parties may join the conference call by dialing (800) 459-5346 in the United States and (203) 518-9544 from outside of the United States. The conference identification number is BRBRQ322.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80"/>
          </w:cols>
          <w:pgMar w:left="300" w:top="644" w:right="319" w:bottom="1440" w:gutter="0" w:footer="0" w:header="0"/>
        </w:sectPr>
      </w:pPr>
    </w:p>
    <w:bookmarkStart w:id="6" w:name="page7"/>
    <w:bookmarkEnd w:id="6"/>
    <w:p>
      <w:pPr>
        <w:ind w:right="160"/>
        <w:spacing w:after="0" w:line="276" w:lineRule="auto"/>
        <w:rPr>
          <w:sz w:val="20"/>
          <w:szCs w:val="20"/>
          <w:color w:val="auto"/>
        </w:rPr>
      </w:pPr>
      <w:r>
        <w:rPr>
          <w:rFonts w:ascii="Arial" w:cs="Arial" w:eastAsia="Arial" w:hAnsi="Arial"/>
          <w:sz w:val="12"/>
          <w:szCs w:val="12"/>
          <w:color w:val="auto"/>
        </w:rPr>
        <w:t>A replay of the conference call will be available through Saturday, August 13, 2022 by dialing (800) 839-5241 in the United States and (402) 220-2698 from outside of the United States. A webcast replay also will be available for a limited period on BellRing’s website in the Investor Relations section.</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Prospective Financial Information</w:t>
      </w:r>
    </w:p>
    <w:p>
      <w:pPr>
        <w:spacing w:after="0" w:line="118" w:lineRule="exact"/>
        <w:rPr>
          <w:sz w:val="20"/>
          <w:szCs w:val="20"/>
          <w:color w:val="auto"/>
        </w:rPr>
      </w:pPr>
    </w:p>
    <w:p>
      <w:pPr>
        <w:ind w:right="140"/>
        <w:spacing w:after="0" w:line="289" w:lineRule="auto"/>
        <w:rPr>
          <w:sz w:val="20"/>
          <w:szCs w:val="20"/>
          <w:color w:val="auto"/>
        </w:rPr>
      </w:pPr>
      <w:r>
        <w:rPr>
          <w:rFonts w:ascii="Arial" w:cs="Arial" w:eastAsia="Arial" w:hAnsi="Arial"/>
          <w:sz w:val="11"/>
          <w:szCs w:val="11"/>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18" w:lineRule="exact"/>
        <w:rPr>
          <w:sz w:val="20"/>
          <w:szCs w:val="20"/>
          <w:color w:val="auto"/>
        </w:rPr>
      </w:pPr>
    </w:p>
    <w:p>
      <w:pPr>
        <w:ind w:right="40"/>
        <w:spacing w:after="0" w:line="277" w:lineRule="auto"/>
        <w:rPr>
          <w:sz w:val="20"/>
          <w:szCs w:val="20"/>
          <w:color w:val="auto"/>
        </w:rPr>
      </w:pPr>
      <w:r>
        <w:rPr>
          <w:rFonts w:ascii="Arial" w:cs="Arial" w:eastAsia="Arial" w:hAnsi="Arial"/>
          <w:sz w:val="11"/>
          <w:szCs w:val="11"/>
          <w:color w:val="auto"/>
        </w:rPr>
        <w:t>Certain matters discussed in this release and on BellRing’s conference call are forward-looking statements, including BellRing’s net sales and Adjusted EBITDA and capital expenditures outlook for fiscal year 2022.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spacing w:after="0" w:line="1"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dependence on sales from its RTD protein shakes;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ability to continue to compete in its product categories and its ability to retain its market position and favorable perceptions of its brands;</w:t>
      </w:r>
    </w:p>
    <w:p>
      <w:pPr>
        <w:spacing w:after="0" w:line="6" w:lineRule="exact"/>
        <w:rPr>
          <w:rFonts w:ascii="Arial" w:cs="Arial" w:eastAsia="Arial" w:hAnsi="Arial"/>
          <w:sz w:val="12"/>
          <w:szCs w:val="12"/>
          <w:color w:val="auto"/>
        </w:rPr>
      </w:pPr>
    </w:p>
    <w:p>
      <w:pPr>
        <w:jc w:val="both"/>
        <w:ind w:left="420" w:hanging="212"/>
        <w:spacing w:after="0" w:line="250"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disruptions or inefficiencies in BellRing’s supply chain, including as a result of BellRing’s reliance on third party suppliers or manufacturers for the manufacturing of many of its products, pandemics (including the COVID-19 pandemic) and other outbreaks of contagious diseases, labor shortages,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BellRing’s dependence on a limited number of third party contract manufacturers for the manufacturing of most of its products, including one manufacturer for the substantial majority of its RTD protein shakes;</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of BellRing’s third party contract manufacturers to produce an amount of BellRing’s products that enables BellRing to meet customer and consumer demand for the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reliance on a limited number of third party suppliers to provide certain ingredients and packaging;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significant volatility in the cost or availability of inputs to BellRing’s business (including freight, raw materials, packaging, energy, labor and other supplies);</w:t>
      </w:r>
    </w:p>
    <w:p>
      <w:pPr>
        <w:spacing w:after="0" w:line="6" w:lineRule="exact"/>
        <w:rPr>
          <w:rFonts w:ascii="Arial" w:cs="Arial" w:eastAsia="Arial" w:hAnsi="Arial"/>
          <w:sz w:val="12"/>
          <w:szCs w:val="12"/>
          <w:color w:val="auto"/>
        </w:rPr>
      </w:pPr>
    </w:p>
    <w:p>
      <w:pPr>
        <w:ind w:left="420" w:right="40" w:hanging="212"/>
        <w:spacing w:after="0" w:line="250"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impact of the COVID-19 pandemic, including negative impacts on the global economy and capital markets, the health of BellRing’s employees, BellRing’s ability and the ability of its third party contract manufacturers to manufacture and deliver its products, operating costs, demand for its on-the-go products and its operations generally;</w:t>
      </w: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ability to anticipate and respond to changes in consumer and customer preferences and behaviors and introduce new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consolidation in BellRing’s distribution channels;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ability to expand existing market penetration and enter into new markets;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loss of, a significant reduction of purchases by or the bankruptcy of a major customer;</w:t>
      </w:r>
    </w:p>
    <w:p>
      <w:pPr>
        <w:spacing w:after="0" w:line="6" w:lineRule="exact"/>
        <w:rPr>
          <w:rFonts w:ascii="Arial" w:cs="Arial" w:eastAsia="Arial" w:hAnsi="Arial"/>
          <w:sz w:val="12"/>
          <w:szCs w:val="12"/>
          <w:color w:val="auto"/>
        </w:rPr>
      </w:pPr>
    </w:p>
    <w:p>
      <w:pPr>
        <w:ind w:left="420" w:right="100" w:hanging="212"/>
        <w:spacing w:after="0" w:line="250"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fluctuations in BellRing’s business due to changes in its promotional activities and seasonality;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ability to maintain the net selling prices of its products and manage promotional activities with respect to its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BellRing’s high leverage, its ability to obtain additional financing (including both secured and unsecured debt) and its ability to service its outstanding debt (including covenants that restrict the operation of its business);</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accuracy of BellRing’s market data and attributes and related information;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estimates in critical accounting judgments;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economic downturns that limit customer and consumer demand for BellRing’s products;</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20"/>
          </w:cols>
          <w:pgMar w:left="300" w:top="644" w:right="379" w:bottom="1440" w:gutter="0" w:footer="0" w:header="0"/>
        </w:sectPr>
      </w:pPr>
    </w:p>
    <w:bookmarkStart w:id="7" w:name="page8"/>
    <w:bookmarkEnd w:id="7"/>
    <w:p>
      <w:pPr>
        <w:ind w:left="420" w:right="160" w:hanging="212"/>
        <w:spacing w:after="0" w:line="258"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economic conditions, including as a result of the ongoing conflict in Ukraine, disruptions in the U.S. and global capital and credit markets, changes in interest rates, volatility in the market value of derivatives and fluctuations in foreign currency exchange rates;</w:t>
      </w: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risks related to BellRing’s ongoing relationship with Post following the Spin-off, including BellRing’s obligations under various agreements with Post;</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conflicting interests or the appearance of conflicting interests resulting from certain of BellRing’s directors also serving as officers or directors of Post;</w:t>
      </w:r>
    </w:p>
    <w:p>
      <w:pPr>
        <w:spacing w:after="0" w:line="6" w:lineRule="exact"/>
        <w:rPr>
          <w:rFonts w:ascii="Arial" w:cs="Arial" w:eastAsia="Arial" w:hAnsi="Arial"/>
          <w:sz w:val="12"/>
          <w:szCs w:val="12"/>
          <w:color w:val="auto"/>
        </w:rPr>
      </w:pPr>
    </w:p>
    <w:p>
      <w:pPr>
        <w:ind w:left="420" w:hanging="212"/>
        <w:spacing w:after="0" w:line="250"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risks related to the previously completed Spin-off, including BellRing’s inability to take certain actions because such actions could jeopardize the tax-free status of the Distribution and BellRing’s possible responsibility for U.S. federal tax liabilities related to the Distribution;</w:t>
      </w: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ultimate impact litigation or other regulatory matters may have on BellRing;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risks associated with BellRing’s international business;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protect its intellectual property and other assets and to continue to use third party intellectual property subject to intellectual property licenses;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costs, business disruptions and reputational damage associated with information technology failures, cybersecurity incidents and/or information security breaches;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impairment in the carrying value of goodwill or other intangibles;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satisfy the requirements of Section 404 of the Sarbanes-Oxley Act of 2002;</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significant differences in BellRing’s actual operating results from BellRing’s guidance regarding its performance;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hire and retain talented personnel, employee absenteeism, labor strikes, work stoppages or unionization efforts;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risks and uncertainties described in BellRing’s filings with the Securities and Exchange Commission.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BellRing Brands, Inc.</w:t>
      </w:r>
    </w:p>
    <w:p>
      <w:pPr>
        <w:spacing w:after="0" w:line="114" w:lineRule="exact"/>
        <w:rPr>
          <w:sz w:val="20"/>
          <w:szCs w:val="20"/>
          <w:color w:val="auto"/>
        </w:rPr>
      </w:pPr>
    </w:p>
    <w:p>
      <w:pPr>
        <w:ind w:right="120"/>
        <w:spacing w:after="0" w:line="237" w:lineRule="auto"/>
        <w:rPr>
          <w:sz w:val="20"/>
          <w:szCs w:val="20"/>
          <w:color w:val="auto"/>
        </w:rPr>
      </w:pPr>
      <w:r>
        <w:rPr>
          <w:rFonts w:ascii="Arial" w:cs="Arial" w:eastAsia="Arial" w:hAnsi="Arial"/>
          <w:sz w:val="12"/>
          <w:szCs w:val="12"/>
          <w:color w:val="auto"/>
        </w:rPr>
        <w:t xml:space="preserve">BellRing Brands, Inc. is a rapidly growing leader in the global convenient nutrition category offering ready-to-drink shake and powder protein products. Its primary brands, </w:t>
      </w:r>
      <w:r>
        <w:rPr>
          <w:rFonts w:ascii="Arial" w:cs="Arial" w:eastAsia="Arial" w:hAnsi="Arial"/>
          <w:sz w:val="12"/>
          <w:szCs w:val="12"/>
          <w:i w:val="1"/>
          <w:iCs w:val="1"/>
          <w:color w:val="auto"/>
        </w:rPr>
        <w:t>Premier Protein</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w:t>
      </w:r>
      <w:r>
        <w:rPr>
          <w:rFonts w:ascii="Arial" w:cs="Arial" w:eastAsia="Arial" w:hAnsi="Arial"/>
          <w:sz w:val="12"/>
          <w:szCs w:val="12"/>
          <w:i w:val="1"/>
          <w:iCs w:val="1"/>
          <w:color w:val="auto"/>
        </w:rPr>
        <w:t>Dymatize</w:t>
      </w:r>
      <w:r>
        <w:rPr>
          <w:rFonts w:ascii="Arial" w:cs="Arial" w:eastAsia="Arial" w:hAnsi="Arial"/>
          <w:sz w:val="15"/>
          <w:szCs w:val="15"/>
          <w:color w:val="auto"/>
          <w:vertAlign w:val="superscript"/>
        </w:rPr>
        <w:t>®</w:t>
      </w:r>
      <w:r>
        <w:rPr>
          <w:rFonts w:ascii="Arial" w:cs="Arial" w:eastAsia="Arial" w:hAnsi="Arial"/>
          <w:sz w:val="12"/>
          <w:szCs w:val="12"/>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Matt Mainer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matt.mainer@postholdings.com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(314) 644-7618</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Media Relations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Lisa Hanly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lisa.hanly@bellringbrands.com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(314) 665-3180</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280"/>
          </w:cols>
          <w:pgMar w:left="300" w:top="644"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2"/>
          <w:szCs w:val="12"/>
          <w:b w:val="1"/>
          <w:bCs w:val="1"/>
          <w:color w:val="auto"/>
        </w:rPr>
        <w:t xml:space="preserve">CONDENSED CONSOLIDATED STATEMENTS OF OPERATIONS </w:t>
      </w:r>
      <w:r>
        <w:rPr>
          <w:rFonts w:ascii="Arial" w:cs="Arial" w:eastAsia="Arial" w:hAnsi="Arial"/>
          <w:sz w:val="10"/>
          <w:szCs w:val="10"/>
          <w:b w:val="1"/>
          <w:bCs w:val="1"/>
          <w:color w:val="auto"/>
        </w:rPr>
        <w:t>(Unaudited)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(in millions, except for per share data)</w:t>
      </w:r>
    </w:p>
    <w:tbl>
      <w:tblPr>
        <w:tblLayout w:type="fixed"/>
        <w:tblInd w:w="0" w:type="dxa"/>
        <w:tblCellMar>
          <w:top w:w="0" w:type="dxa"/>
          <w:left w:w="0" w:type="dxa"/>
          <w:bottom w:w="0" w:type="dxa"/>
          <w:right w:w="0" w:type="dxa"/>
        </w:tblCellMar>
      </w:tblPr>
      <w:tr>
        <w:trPr>
          <w:trHeight w:val="126"/>
        </w:trPr>
        <w:tc>
          <w:tcPr>
            <w:tcW w:w="6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3"/>
          </w:tcPr>
          <w:p>
            <w:pPr>
              <w:jc w:val="right"/>
              <w:spacing w:after="0"/>
              <w:rPr>
                <w:sz w:val="20"/>
                <w:szCs w:val="20"/>
                <w:color w:val="auto"/>
              </w:rPr>
            </w:pPr>
            <w:r>
              <w:rPr>
                <w:rFonts w:ascii="Arial" w:cs="Arial" w:eastAsia="Arial" w:hAnsi="Arial"/>
                <w:sz w:val="11"/>
                <w:szCs w:val="11"/>
                <w:b w:val="1"/>
                <w:bCs w:val="1"/>
                <w:color w:val="auto"/>
              </w:rPr>
              <w:t>Nine Months Ended</w:t>
            </w:r>
          </w:p>
        </w:tc>
        <w:tc>
          <w:tcPr>
            <w:tcW w:w="640" w:type="dxa"/>
            <w:vAlign w:val="bottom"/>
          </w:tcPr>
          <w:p>
            <w:pPr>
              <w:spacing w:after="0"/>
              <w:rPr>
                <w:sz w:val="10"/>
                <w:szCs w:val="10"/>
                <w:color w:val="auto"/>
              </w:rPr>
            </w:pPr>
          </w:p>
        </w:tc>
      </w:tr>
      <w:tr>
        <w:trPr>
          <w:trHeight w:val="142"/>
        </w:trPr>
        <w:tc>
          <w:tcPr>
            <w:tcW w:w="6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1"/>
                <w:szCs w:val="11"/>
                <w:b w:val="1"/>
                <w:bCs w:val="1"/>
                <w:color w:val="auto"/>
              </w:rPr>
              <w:t>June 30,</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June 30,</w:t>
            </w:r>
          </w:p>
        </w:tc>
        <w:tc>
          <w:tcPr>
            <w:tcW w:w="640" w:type="dxa"/>
            <w:vAlign w:val="bottom"/>
            <w:tcBorders>
              <w:bottom w:val="single" w:sz="8" w:color="auto"/>
            </w:tcBorders>
          </w:tcPr>
          <w:p>
            <w:pPr>
              <w:spacing w:after="0"/>
              <w:rPr>
                <w:sz w:val="12"/>
                <w:szCs w:val="12"/>
                <w:color w:val="auto"/>
              </w:rPr>
            </w:pPr>
          </w:p>
        </w:tc>
      </w:tr>
      <w:tr>
        <w:trPr>
          <w:trHeight w:val="133"/>
        </w:trPr>
        <w:tc>
          <w:tcPr>
            <w:tcW w:w="64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1"/>
                <w:szCs w:val="11"/>
                <w:b w:val="1"/>
                <w:bCs w:val="1"/>
                <w:color w:val="auto"/>
              </w:rPr>
              <w:t>2022</w:t>
            </w:r>
          </w:p>
        </w:tc>
        <w:tc>
          <w:tcPr>
            <w:tcW w:w="2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w w:val="81"/>
              </w:rPr>
              <w:t>2021</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rPr>
              <w:t>2022</w:t>
            </w:r>
          </w:p>
        </w:tc>
        <w:tc>
          <w:tcPr>
            <w:tcW w:w="2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w w:val="89"/>
              </w:rPr>
              <w:t>2021</w:t>
            </w:r>
          </w:p>
        </w:tc>
      </w:tr>
      <w:tr>
        <w:trPr>
          <w:trHeight w:val="144"/>
        </w:trPr>
        <w:tc>
          <w:tcPr>
            <w:tcW w:w="6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Sales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370.6</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342.6</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992.3</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907.1</w:t>
            </w:r>
          </w:p>
        </w:tc>
      </w:tr>
      <w:tr>
        <w:trPr>
          <w:trHeight w:val="153"/>
        </w:trPr>
        <w:tc>
          <w:tcPr>
            <w:tcW w:w="64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goods sold</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250.4</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231.3</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692.8</w:t>
            </w:r>
          </w:p>
        </w:tc>
        <w:tc>
          <w:tcPr>
            <w:tcW w:w="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616.9</w:t>
            </w:r>
          </w:p>
        </w:tc>
      </w:tr>
      <w:tr>
        <w:trPr>
          <w:trHeight w:val="142"/>
        </w:trPr>
        <w:tc>
          <w:tcPr>
            <w:tcW w:w="6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Gross Profit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120.2</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111.3</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299.5</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290.2</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47.8</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42.6</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133.5</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129.1</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intangible assets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14.7</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46.3</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Other operating income, net</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(0.1)</w:t>
            </w:r>
          </w:p>
        </w:tc>
      </w:tr>
      <w:tr>
        <w:trPr>
          <w:trHeight w:val="142"/>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Operating Profit</w:t>
            </w: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67.5</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51.5</w:t>
            </w: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151.3</w:t>
            </w: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114.9</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Interest expense, net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15.9</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9.5</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32.8</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33.6</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Loss on extinguishment and refinancing of debt, net</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17.6</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r>
      <w:tr>
        <w:trPr>
          <w:trHeight w:val="142"/>
        </w:trPr>
        <w:tc>
          <w:tcPr>
            <w:tcW w:w="6460" w:type="dxa"/>
            <w:vAlign w:val="bottom"/>
          </w:tcPr>
          <w:p>
            <w:pPr>
              <w:spacing w:after="0"/>
              <w:rPr>
                <w:sz w:val="20"/>
                <w:szCs w:val="20"/>
                <w:color w:val="auto"/>
              </w:rPr>
            </w:pPr>
            <w:r>
              <w:rPr>
                <w:rFonts w:ascii="Arial" w:cs="Arial" w:eastAsia="Arial" w:hAnsi="Arial"/>
                <w:sz w:val="12"/>
                <w:szCs w:val="12"/>
                <w:b w:val="1"/>
                <w:bCs w:val="1"/>
                <w:color w:val="auto"/>
              </w:rPr>
              <w:t>Earnings before Income Taxes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51.6</w:t>
            </w:r>
          </w:p>
        </w:tc>
        <w:tc>
          <w:tcPr>
            <w:tcW w:w="2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41.9</w:t>
            </w: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100.9</w:t>
            </w:r>
          </w:p>
        </w:tc>
        <w:tc>
          <w:tcPr>
            <w:tcW w:w="2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79.7</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w:t>
            </w:r>
          </w:p>
        </w:tc>
        <w:tc>
          <w:tcPr>
            <w:tcW w:w="2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3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18.6</w:t>
            </w:r>
          </w:p>
        </w:tc>
        <w:tc>
          <w:tcPr>
            <w:tcW w:w="2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w:t>
            </w:r>
          </w:p>
        </w:tc>
      </w:tr>
      <w:tr>
        <w:trPr>
          <w:trHeight w:val="142"/>
        </w:trPr>
        <w:tc>
          <w:tcPr>
            <w:tcW w:w="6460" w:type="dxa"/>
            <w:vAlign w:val="bottom"/>
          </w:tcPr>
          <w:p>
            <w:pPr>
              <w:spacing w:after="0"/>
              <w:rPr>
                <w:sz w:val="20"/>
                <w:szCs w:val="20"/>
                <w:color w:val="auto"/>
              </w:rPr>
            </w:pPr>
            <w:r>
              <w:rPr>
                <w:rFonts w:ascii="Arial" w:cs="Arial" w:eastAsia="Arial" w:hAnsi="Arial"/>
                <w:sz w:val="12"/>
                <w:szCs w:val="12"/>
                <w:b w:val="1"/>
                <w:bCs w:val="1"/>
                <w:color w:val="auto"/>
              </w:rPr>
              <w:t>Net Earnings Including Redeemable Noncontrolling Interest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39.1</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38.5</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82.3</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73.9</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Less: Net earnings attributable to redeemable noncontrolling interest</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33.7</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56.0</w:t>
            </w:r>
          </w:p>
        </w:tc>
      </w:tr>
      <w:tr>
        <w:trPr>
          <w:trHeight w:val="158"/>
        </w:trPr>
        <w:tc>
          <w:tcPr>
            <w:tcW w:w="646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Net Earnings Available to Common Stockholders</w:t>
            </w: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39.1</w:t>
            </w:r>
          </w:p>
        </w:tc>
        <w:tc>
          <w:tcPr>
            <w:tcW w:w="24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9.5</w:t>
            </w:r>
          </w:p>
        </w:tc>
        <w:tc>
          <w:tcPr>
            <w:tcW w:w="3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48.6</w:t>
            </w:r>
          </w:p>
        </w:tc>
        <w:tc>
          <w:tcPr>
            <w:tcW w:w="22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17.9</w:t>
            </w:r>
          </w:p>
        </w:tc>
      </w:tr>
      <w:tr>
        <w:trPr>
          <w:trHeight w:val="153"/>
        </w:trPr>
        <w:tc>
          <w:tcPr>
            <w:tcW w:w="6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53"/>
        </w:trPr>
        <w:tc>
          <w:tcPr>
            <w:tcW w:w="6460" w:type="dxa"/>
            <w:vAlign w:val="bottom"/>
          </w:tcPr>
          <w:p>
            <w:pPr>
              <w:spacing w:after="0"/>
              <w:rPr>
                <w:sz w:val="20"/>
                <w:szCs w:val="20"/>
                <w:color w:val="auto"/>
              </w:rPr>
            </w:pPr>
            <w:r>
              <w:rPr>
                <w:rFonts w:ascii="Arial" w:cs="Arial" w:eastAsia="Arial" w:hAnsi="Arial"/>
                <w:sz w:val="12"/>
                <w:szCs w:val="12"/>
                <w:b w:val="1"/>
                <w:bCs w:val="1"/>
                <w:color w:val="auto"/>
              </w:rPr>
              <w:t>Earnings per share of Common Stock:</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Basic</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0.29</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0.24</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0.61</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0.45</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Diluted</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0.29</w:t>
            </w:r>
          </w:p>
        </w:tc>
        <w:tc>
          <w:tcPr>
            <w:tcW w:w="240" w:type="dxa"/>
            <w:vAlign w:val="bottom"/>
          </w:tcPr>
          <w:p>
            <w:pPr>
              <w:spacing w:after="0"/>
              <w:rPr>
                <w:sz w:val="13"/>
                <w:szCs w:val="13"/>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0.24</w:t>
            </w:r>
          </w:p>
        </w:tc>
        <w:tc>
          <w:tcPr>
            <w:tcW w:w="34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0.61</w:t>
            </w:r>
          </w:p>
        </w:tc>
        <w:tc>
          <w:tcPr>
            <w:tcW w:w="22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0.45</w:t>
            </w:r>
          </w:p>
        </w:tc>
      </w:tr>
      <w:tr>
        <w:trPr>
          <w:trHeight w:val="171"/>
        </w:trPr>
        <w:tc>
          <w:tcPr>
            <w:tcW w:w="6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53"/>
        </w:trPr>
        <w:tc>
          <w:tcPr>
            <w:tcW w:w="6460" w:type="dxa"/>
            <w:vAlign w:val="bottom"/>
          </w:tcPr>
          <w:p>
            <w:pPr>
              <w:spacing w:after="0"/>
              <w:rPr>
                <w:sz w:val="20"/>
                <w:szCs w:val="20"/>
                <w:color w:val="auto"/>
              </w:rPr>
            </w:pPr>
            <w:r>
              <w:rPr>
                <w:rFonts w:ascii="Arial" w:cs="Arial" w:eastAsia="Arial" w:hAnsi="Arial"/>
                <w:sz w:val="12"/>
                <w:szCs w:val="12"/>
                <w:b w:val="1"/>
                <w:bCs w:val="1"/>
                <w:color w:val="auto"/>
              </w:rPr>
              <w:t>Weighted-Average shares of Common Stock Outstanding:</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Basic</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136.3</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79.5</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Diluted</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136.7</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39.7</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79.7</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220"/>
          </w:cols>
          <w:pgMar w:left="340" w:top="640"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b w:val="1"/>
          <w:bCs w:val="1"/>
          <w:color w:val="auto"/>
        </w:rPr>
        <w:t>CONDENSED CONSOLIDATED BALANCE SHEETS (Unaudited)</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b w:val="1"/>
                <w:bCs w:val="1"/>
                <w:color w:val="auto"/>
              </w:rPr>
              <w:t>June 30, 2022</w:t>
            </w:r>
          </w:p>
        </w:tc>
        <w:tc>
          <w:tcPr>
            <w:tcW w:w="50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420"/>
              <w:spacing w:after="0"/>
              <w:rPr>
                <w:sz w:val="20"/>
                <w:szCs w:val="20"/>
                <w:color w:val="auto"/>
              </w:rPr>
            </w:pPr>
            <w:r>
              <w:rPr>
                <w:rFonts w:ascii="Arial" w:cs="Arial" w:eastAsia="Arial" w:hAnsi="Arial"/>
                <w:sz w:val="11"/>
                <w:szCs w:val="11"/>
                <w:b w:val="1"/>
                <w:bCs w:val="1"/>
                <w:color w:val="auto"/>
                <w:w w:val="97"/>
              </w:rPr>
              <w:t>September 30, 2021</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jc w:val="center"/>
              <w:ind w:right="444"/>
              <w:spacing w:after="0"/>
              <w:rPr>
                <w:sz w:val="20"/>
                <w:szCs w:val="20"/>
                <w:color w:val="auto"/>
              </w:rPr>
            </w:pPr>
            <w:r>
              <w:rPr>
                <w:rFonts w:ascii="Arial" w:cs="Arial" w:eastAsia="Arial" w:hAnsi="Arial"/>
                <w:sz w:val="11"/>
                <w:szCs w:val="11"/>
                <w:b w:val="1"/>
                <w:bCs w:val="1"/>
                <w:color w:val="auto"/>
                <w:w w:val="90"/>
              </w:rPr>
              <w:t>ASSETS</w:t>
            </w: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5300" w:type="dxa"/>
            <w:vAlign w:val="bottom"/>
            <w:gridSpan w:val="2"/>
            <w:shd w:val="clear" w:color="auto" w:fill="CCEEFF"/>
          </w:tcPr>
          <w:p>
            <w:pPr>
              <w:jc w:val="right"/>
              <w:ind w:right="1224"/>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152.6</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Receivables, net</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148.8</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103.9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Inventories</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227.9</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117.9</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39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w:t>
            </w:r>
          </w:p>
        </w:tc>
        <w:tc>
          <w:tcPr>
            <w:tcW w:w="3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Current Assets</w:t>
            </w:r>
          </w:p>
        </w:tc>
        <w:tc>
          <w:tcPr>
            <w:tcW w:w="39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423.1</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388.1</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Property, net</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Goodwill</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65.9</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65.9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208.3</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223.1</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w:t>
            </w:r>
          </w:p>
        </w:tc>
        <w:tc>
          <w:tcPr>
            <w:tcW w:w="39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w:t>
            </w:r>
          </w:p>
        </w:tc>
        <w:tc>
          <w:tcPr>
            <w:tcW w:w="3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58"/>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Assets</w:t>
            </w:r>
          </w:p>
        </w:tc>
        <w:tc>
          <w:tcPr>
            <w:tcW w:w="5300" w:type="dxa"/>
            <w:vAlign w:val="bottom"/>
            <w:gridSpan w:val="2"/>
            <w:shd w:val="clear" w:color="auto" w:fill="CCEEFF"/>
          </w:tcPr>
          <w:p>
            <w:pPr>
              <w:jc w:val="right"/>
              <w:ind w:right="1224"/>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715.1</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696.5</w:t>
            </w:r>
          </w:p>
        </w:tc>
        <w:tc>
          <w:tcPr>
            <w:tcW w:w="0" w:type="dxa"/>
            <w:vAlign w:val="bottom"/>
          </w:tcPr>
          <w:p>
            <w:pPr>
              <w:spacing w:after="0"/>
              <w:rPr>
                <w:sz w:val="1"/>
                <w:szCs w:val="1"/>
                <w:color w:val="auto"/>
              </w:rPr>
            </w:pPr>
          </w:p>
        </w:tc>
      </w:tr>
      <w:tr>
        <w:trPr>
          <w:trHeight w:val="153"/>
        </w:trPr>
        <w:tc>
          <w:tcPr>
            <w:tcW w:w="3200" w:type="dxa"/>
            <w:vAlign w:val="bottom"/>
            <w:tcBorders>
              <w:top w:val="single" w:sz="8" w:color="CCEEFF"/>
            </w:tcBorders>
          </w:tcPr>
          <w:p>
            <w:pPr>
              <w:spacing w:after="0"/>
              <w:rPr>
                <w:sz w:val="13"/>
                <w:szCs w:val="13"/>
                <w:color w:val="auto"/>
              </w:rPr>
            </w:pPr>
          </w:p>
        </w:tc>
        <w:tc>
          <w:tcPr>
            <w:tcW w:w="3940" w:type="dxa"/>
            <w:vAlign w:val="bottom"/>
            <w:tcBorders>
              <w:top w:val="single" w:sz="8" w:color="CCEEFF"/>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spacing w:after="0"/>
              <w:rPr>
                <w:sz w:val="15"/>
                <w:szCs w:val="15"/>
                <w:color w:val="auto"/>
              </w:rPr>
            </w:pPr>
          </w:p>
        </w:tc>
        <w:tc>
          <w:tcPr>
            <w:tcW w:w="5300" w:type="dxa"/>
            <w:vAlign w:val="bottom"/>
            <w:gridSpan w:val="2"/>
            <w:shd w:val="clear" w:color="auto" w:fill="CCEEFF"/>
          </w:tcPr>
          <w:p>
            <w:pPr>
              <w:jc w:val="center"/>
              <w:ind w:right="444"/>
              <w:spacing w:after="0"/>
              <w:rPr>
                <w:sz w:val="20"/>
                <w:szCs w:val="20"/>
                <w:color w:val="auto"/>
              </w:rPr>
            </w:pPr>
            <w:r>
              <w:rPr>
                <w:rFonts w:ascii="Arial" w:cs="Arial" w:eastAsia="Arial" w:hAnsi="Arial"/>
                <w:sz w:val="11"/>
                <w:szCs w:val="11"/>
                <w:b w:val="1"/>
                <w:bCs w:val="1"/>
                <w:color w:val="auto"/>
              </w:rPr>
              <w:t>LIABILITIES AND STOCKHOLDERS’ DEFICIT</w:t>
            </w: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b w:val="1"/>
                <w:bCs w:val="1"/>
                <w:color w:val="auto"/>
              </w:rPr>
              <w:t>Current Liabilities</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Current portion of long-term debt</w:t>
            </w:r>
          </w:p>
        </w:tc>
        <w:tc>
          <w:tcPr>
            <w:tcW w:w="5300" w:type="dxa"/>
            <w:vAlign w:val="bottom"/>
            <w:gridSpan w:val="2"/>
            <w:shd w:val="clear" w:color="auto" w:fill="CCEEFF"/>
          </w:tcPr>
          <w:p>
            <w:pPr>
              <w:jc w:val="right"/>
              <w:ind w:right="1224"/>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116.3</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Accounts payable</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117.4</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91.9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current liabilities</w:t>
            </w:r>
          </w:p>
        </w:tc>
        <w:tc>
          <w:tcPr>
            <w:tcW w:w="394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59.6</w:t>
            </w:r>
          </w:p>
        </w:tc>
        <w:tc>
          <w:tcPr>
            <w:tcW w:w="3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43.1</w:t>
            </w:r>
          </w:p>
        </w:tc>
        <w:tc>
          <w:tcPr>
            <w:tcW w:w="0" w:type="dxa"/>
            <w:vAlign w:val="bottom"/>
          </w:tcPr>
          <w:p>
            <w:pPr>
              <w:spacing w:after="0"/>
              <w:rPr>
                <w:sz w:val="1"/>
                <w:szCs w:val="1"/>
                <w:color w:val="auto"/>
              </w:rPr>
            </w:pPr>
          </w:p>
        </w:tc>
      </w:tr>
      <w:tr>
        <w:trPr>
          <w:trHeight w:val="142"/>
        </w:trPr>
        <w:tc>
          <w:tcPr>
            <w:tcW w:w="3200" w:type="dxa"/>
            <w:vAlign w:val="bottom"/>
          </w:tcPr>
          <w:p>
            <w:pPr>
              <w:ind w:left="340"/>
              <w:spacing w:after="0"/>
              <w:rPr>
                <w:sz w:val="20"/>
                <w:szCs w:val="20"/>
                <w:color w:val="auto"/>
              </w:rPr>
            </w:pPr>
            <w:r>
              <w:rPr>
                <w:rFonts w:ascii="Arial" w:cs="Arial" w:eastAsia="Arial" w:hAnsi="Arial"/>
                <w:sz w:val="12"/>
                <w:szCs w:val="12"/>
                <w:b w:val="1"/>
                <w:bCs w:val="1"/>
                <w:color w:val="auto"/>
              </w:rPr>
              <w:t>Total Current Liabilities</w:t>
            </w:r>
          </w:p>
        </w:tc>
        <w:tc>
          <w:tcPr>
            <w:tcW w:w="3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177.0</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251.3</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Long-term debt</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914.2</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481.2</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liabilities</w:t>
            </w:r>
          </w:p>
        </w:tc>
        <w:tc>
          <w:tcPr>
            <w:tcW w:w="39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w:t>
            </w:r>
          </w:p>
        </w:tc>
        <w:tc>
          <w:tcPr>
            <w:tcW w:w="3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21.9</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Liabilities</w:t>
            </w:r>
          </w:p>
        </w:tc>
        <w:tc>
          <w:tcPr>
            <w:tcW w:w="39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1,104.7</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762.0</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Redeemable noncontrolling interest</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2,997.3</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Stockholders’ Deficit</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Preferred stock</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Additional paid-in capital</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4.0</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deficit</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(389.3)</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(3,059.7)</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Accumulated other comprehensive loss</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(3.3)</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Treasury stock, at cost</w:t>
            </w:r>
          </w:p>
        </w:tc>
        <w:tc>
          <w:tcPr>
            <w:tcW w:w="394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3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tcPr>
          <w:p>
            <w:pPr>
              <w:ind w:left="340"/>
              <w:spacing w:after="0"/>
              <w:rPr>
                <w:sz w:val="20"/>
                <w:szCs w:val="20"/>
                <w:color w:val="auto"/>
              </w:rPr>
            </w:pPr>
            <w:r>
              <w:rPr>
                <w:rFonts w:ascii="Arial" w:cs="Arial" w:eastAsia="Arial" w:hAnsi="Arial"/>
                <w:sz w:val="12"/>
                <w:szCs w:val="12"/>
                <w:b w:val="1"/>
                <w:bCs w:val="1"/>
                <w:color w:val="auto"/>
              </w:rPr>
              <w:t>Total Stockholders’ Deficit</w:t>
            </w:r>
          </w:p>
        </w:tc>
        <w:tc>
          <w:tcPr>
            <w:tcW w:w="394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(389.6)</w:t>
            </w:r>
          </w:p>
        </w:tc>
        <w:tc>
          <w:tcPr>
            <w:tcW w:w="3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(3,062.8)</w:t>
            </w:r>
          </w:p>
        </w:tc>
        <w:tc>
          <w:tcPr>
            <w:tcW w:w="0" w:type="dxa"/>
            <w:vAlign w:val="bottom"/>
          </w:tcPr>
          <w:p>
            <w:pPr>
              <w:spacing w:after="0"/>
              <w:rPr>
                <w:sz w:val="1"/>
                <w:szCs w:val="1"/>
                <w:color w:val="auto"/>
              </w:rPr>
            </w:pPr>
          </w:p>
        </w:tc>
      </w:tr>
      <w:tr>
        <w:trPr>
          <w:trHeight w:val="158"/>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b w:val="1"/>
                <w:bCs w:val="1"/>
                <w:color w:val="auto"/>
              </w:rPr>
              <w:t>Total Liabilities and Stockholders’ Deficit</w:t>
            </w:r>
          </w:p>
        </w:tc>
        <w:tc>
          <w:tcPr>
            <w:tcW w:w="39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1224"/>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715.1</w:t>
            </w:r>
          </w:p>
        </w:tc>
        <w:tc>
          <w:tcPr>
            <w:tcW w:w="3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696.5</w:t>
            </w:r>
          </w:p>
        </w:tc>
        <w:tc>
          <w:tcPr>
            <w:tcW w:w="0" w:type="dxa"/>
            <w:vAlign w:val="bottom"/>
          </w:tcPr>
          <w:p>
            <w:pPr>
              <w:spacing w:after="0"/>
              <w:rPr>
                <w:sz w:val="1"/>
                <w:szCs w:val="1"/>
                <w:color w:val="auto"/>
              </w:rPr>
            </w:pPr>
          </w:p>
        </w:tc>
      </w:tr>
      <w:tr>
        <w:trPr>
          <w:trHeight w:val="504"/>
        </w:trPr>
        <w:tc>
          <w:tcPr>
            <w:tcW w:w="3200" w:type="dxa"/>
            <w:vAlign w:val="bottom"/>
          </w:tcPr>
          <w:p>
            <w:pPr>
              <w:spacing w:after="0"/>
              <w:rPr>
                <w:sz w:val="24"/>
                <w:szCs w:val="24"/>
                <w:color w:val="auto"/>
              </w:rPr>
            </w:pPr>
          </w:p>
        </w:tc>
        <w:tc>
          <w:tcPr>
            <w:tcW w:w="5300" w:type="dxa"/>
            <w:vAlign w:val="bottom"/>
            <w:gridSpan w:val="2"/>
          </w:tcPr>
          <w:p>
            <w:pPr>
              <w:jc w:val="center"/>
              <w:ind w:right="444"/>
              <w:spacing w:after="0"/>
              <w:rPr>
                <w:sz w:val="20"/>
                <w:szCs w:val="20"/>
                <w:color w:val="auto"/>
              </w:rPr>
            </w:pPr>
            <w:r>
              <w:rPr>
                <w:rFonts w:ascii="Arial" w:cs="Arial" w:eastAsia="Arial" w:hAnsi="Arial"/>
                <w:sz w:val="11"/>
                <w:szCs w:val="11"/>
                <w:b w:val="1"/>
                <w:bCs w:val="1"/>
                <w:color w:val="auto"/>
                <w:w w:val="97"/>
              </w:rPr>
              <w:t>SELECTED CONDENSED CONSOLIDATED CASH FLOWS INFORMATION (Unaudited)</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3200" w:type="dxa"/>
            <w:vAlign w:val="bottom"/>
          </w:tcPr>
          <w:p>
            <w:pPr>
              <w:spacing w:after="0"/>
              <w:rPr>
                <w:sz w:val="12"/>
                <w:szCs w:val="12"/>
                <w:color w:val="auto"/>
              </w:rPr>
            </w:pPr>
          </w:p>
        </w:tc>
        <w:tc>
          <w:tcPr>
            <w:tcW w:w="5300" w:type="dxa"/>
            <w:vAlign w:val="bottom"/>
            <w:gridSpan w:val="2"/>
          </w:tcPr>
          <w:p>
            <w:pPr>
              <w:jc w:val="center"/>
              <w:ind w:right="444"/>
              <w:spacing w:after="0"/>
              <w:rPr>
                <w:sz w:val="20"/>
                <w:szCs w:val="20"/>
                <w:color w:val="auto"/>
              </w:rPr>
            </w:pPr>
            <w:r>
              <w:rPr>
                <w:rFonts w:ascii="Arial" w:cs="Arial" w:eastAsia="Arial" w:hAnsi="Arial"/>
                <w:sz w:val="11"/>
                <w:szCs w:val="11"/>
                <w:b w:val="1"/>
                <w:bCs w:val="1"/>
                <w:color w:val="auto"/>
                <w:w w:val="90"/>
              </w:rPr>
              <w:t>(in millions)</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20" w:type="dxa"/>
            <w:vAlign w:val="bottom"/>
            <w:gridSpan w:val="3"/>
          </w:tcPr>
          <w:p>
            <w:pPr>
              <w:jc w:val="right"/>
              <w:ind w:right="40"/>
              <w:spacing w:after="0" w:line="121" w:lineRule="exact"/>
              <w:rPr>
                <w:sz w:val="20"/>
                <w:szCs w:val="20"/>
                <w:color w:val="auto"/>
              </w:rPr>
            </w:pPr>
            <w:r>
              <w:rPr>
                <w:rFonts w:ascii="Arial" w:cs="Arial" w:eastAsia="Arial" w:hAnsi="Arial"/>
                <w:sz w:val="11"/>
                <w:szCs w:val="11"/>
                <w:b w:val="1"/>
                <w:bCs w:val="1"/>
                <w:color w:val="auto"/>
              </w:rPr>
              <w:t>Nine Months Ended</w:t>
            </w: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1"/>
                <w:szCs w:val="11"/>
                <w:b w:val="1"/>
                <w:bCs w:val="1"/>
                <w:color w:val="auto"/>
              </w:rPr>
              <w:t>June 30,</w:t>
            </w:r>
          </w:p>
        </w:tc>
        <w:tc>
          <w:tcPr>
            <w:tcW w:w="1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780"/>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provided by (used in):</w:t>
            </w:r>
          </w:p>
        </w:tc>
        <w:tc>
          <w:tcPr>
            <w:tcW w:w="39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Arial" w:cs="Arial" w:eastAsia="Arial" w:hAnsi="Arial"/>
                <w:sz w:val="12"/>
                <w:szCs w:val="12"/>
                <w:color w:val="auto"/>
              </w:rPr>
              <w:t>Operating activities</w:t>
            </w:r>
          </w:p>
        </w:tc>
        <w:tc>
          <w:tcPr>
            <w:tcW w:w="5300" w:type="dxa"/>
            <w:vAlign w:val="bottom"/>
            <w:gridSpan w:val="2"/>
          </w:tcPr>
          <w:p>
            <w:pPr>
              <w:jc w:val="right"/>
              <w:ind w:right="1224"/>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11.4</w:t>
            </w:r>
          </w:p>
        </w:tc>
        <w:tc>
          <w:tcPr>
            <w:tcW w:w="34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145.9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Investing activities</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Arial" w:cs="Arial" w:eastAsia="Arial" w:hAnsi="Arial"/>
                <w:sz w:val="12"/>
                <w:szCs w:val="12"/>
                <w:color w:val="auto"/>
              </w:rPr>
              <w:t>Financing activities</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(127.7)</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(105.0)</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w w:val="95"/>
              </w:rPr>
              <w:t>Effect of exchange rate changes on cash and cash equivalents</w:t>
            </w:r>
          </w:p>
        </w:tc>
        <w:tc>
          <w:tcPr>
            <w:tcW w:w="394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3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20"/>
                <w:szCs w:val="20"/>
                <w:color w:val="auto"/>
              </w:rPr>
            </w:pPr>
            <w:r>
              <w:rPr>
                <w:rFonts w:ascii="Arial" w:cs="Arial" w:eastAsia="Arial" w:hAnsi="Arial"/>
                <w:sz w:val="12"/>
                <w:szCs w:val="12"/>
                <w:b w:val="1"/>
                <w:bCs w:val="1"/>
                <w:color w:val="auto"/>
              </w:rPr>
              <w:t>Net (decrease) increase in cash and cash equivalents</w:t>
            </w:r>
          </w:p>
        </w:tc>
        <w:tc>
          <w:tcPr>
            <w:tcW w:w="5300" w:type="dxa"/>
            <w:vAlign w:val="bottom"/>
            <w:gridSpan w:val="2"/>
          </w:tcPr>
          <w:p>
            <w:pPr>
              <w:jc w:val="right"/>
              <w:ind w:right="1224"/>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(117.9)</w:t>
            </w:r>
          </w:p>
        </w:tc>
        <w:tc>
          <w:tcPr>
            <w:tcW w:w="340" w:type="dxa"/>
            <w:vAlign w:val="bottom"/>
          </w:tcPr>
          <w:p>
            <w:pPr>
              <w:spacing w:after="0"/>
              <w:rPr>
                <w:sz w:val="12"/>
                <w:szCs w:val="12"/>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40.7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940" w:type="dxa"/>
            <w:vAlign w:val="bottom"/>
            <w:vMerge w:val="restart"/>
          </w:tcPr>
          <w:p>
            <w:pPr>
              <w:jc w:val="center"/>
              <w:ind w:left="822"/>
              <w:spacing w:after="0"/>
              <w:rPr>
                <w:sz w:val="20"/>
                <w:szCs w:val="20"/>
                <w:color w:val="auto"/>
              </w:rPr>
            </w:pPr>
            <w:r>
              <w:rPr>
                <w:rFonts w:ascii="Arial" w:cs="Arial" w:eastAsia="Arial" w:hAnsi="Arial"/>
                <w:sz w:val="12"/>
                <w:szCs w:val="12"/>
                <w:color w:val="auto"/>
                <w:w w:val="89"/>
              </w:rPr>
              <w:t>7</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5"/>
        </w:trPr>
        <w:tc>
          <w:tcPr>
            <w:tcW w:w="32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640"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1"/>
          <w:szCs w:val="11"/>
          <w:b w:val="1"/>
          <w:bCs w:val="1"/>
          <w:color w:val="auto"/>
        </w:rPr>
        <w:t>EXPLANATION AND RECONCILIATION OF NON-GAAP MEASURES</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common stockholders, Adjusted diluted earnings per share of common stock and Adjusted EBITDA.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Adjusted net earnings available to common stockholders and Adjusted diluted earnings per share of common stock</w:t>
      </w:r>
    </w:p>
    <w:p>
      <w:pPr>
        <w:spacing w:after="0" w:line="15" w:lineRule="exact"/>
        <w:rPr>
          <w:sz w:val="20"/>
          <w:szCs w:val="20"/>
          <w:color w:val="auto"/>
        </w:rPr>
      </w:pPr>
    </w:p>
    <w:p>
      <w:pPr>
        <w:ind w:right="100"/>
        <w:spacing w:after="0" w:line="260" w:lineRule="auto"/>
        <w:rPr>
          <w:sz w:val="20"/>
          <w:szCs w:val="20"/>
          <w:color w:val="auto"/>
        </w:rPr>
      </w:pPr>
      <w:r>
        <w:rPr>
          <w:rFonts w:ascii="Arial" w:cs="Arial" w:eastAsia="Arial" w:hAnsi="Arial"/>
          <w:sz w:val="12"/>
          <w:szCs w:val="12"/>
          <w:color w:val="auto"/>
        </w:rPr>
        <w:t>BellRing believes Adjusted net earnings available to common stockholders and Adjusted diluted earnings per share of common stock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Adjusted net earnings available to common stockholders and Adjusted diluted earnings per share of common stock are adjusted for the following items:</w:t>
      </w:r>
    </w:p>
    <w:p>
      <w:pPr>
        <w:spacing w:after="0" w:line="15" w:lineRule="exact"/>
        <w:rPr>
          <w:sz w:val="20"/>
          <w:szCs w:val="20"/>
          <w:color w:val="auto"/>
        </w:rPr>
      </w:pPr>
    </w:p>
    <w:p>
      <w:pPr>
        <w:jc w:val="both"/>
        <w:ind w:left="420" w:right="160" w:hanging="212"/>
        <w:spacing w:after="0" w:line="250" w:lineRule="auto"/>
        <w:tabs>
          <w:tab w:leader="none" w:pos="413"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Accelerated amortization</w:t>
      </w:r>
      <w:r>
        <w:rPr>
          <w:rFonts w:ascii="Arial" w:cs="Arial" w:eastAsia="Arial" w:hAnsi="Arial"/>
          <w:sz w:val="12"/>
          <w:szCs w:val="12"/>
          <w:color w:val="auto"/>
        </w:rPr>
        <w:t>: BellRing has excluded non-cash accelerated amortization charges recorded in connection with the discontinuation of certain brands as the amount and frequency of such charges are not consistent.</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Additionally, BellRing believes that these charges do not reflect expected ongoing future operating expenses and do not contribute to a meaningful evaluation of BellRing’s current operating performance or comparisons of BellRing’s operating performance to other periods.</w:t>
      </w:r>
    </w:p>
    <w:p>
      <w:pPr>
        <w:ind w:left="420" w:hanging="212"/>
        <w:spacing w:after="0" w:line="25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Loss on extinguishment and refinancing of debt, net</w:t>
      </w:r>
      <w:r>
        <w:rPr>
          <w:rFonts w:ascii="Arial" w:cs="Arial" w:eastAsia="Arial" w:hAnsi="Arial"/>
          <w:sz w:val="12"/>
          <w:szCs w:val="12"/>
          <w:color w:val="auto"/>
        </w:rPr>
        <w:t>: BellRing has excluded losses recorded on extinguishment and refinancing of debt, inclusive of the write-off of debt issuance costs and deferred financing fees and the write-off of net unamortized debt discounts, as such losses are inconsistent in amount and frequency. Additionally, BellRing believes that these losses do not reflect expected ongoing future operating expenses and do not contribute to a meaningful evaluation of BellRing’s current operating performance or comparisons of BellRing’s operating performance to other periods.</w:t>
      </w:r>
    </w:p>
    <w:p>
      <w:pPr>
        <w:ind w:left="420" w:right="100" w:hanging="212"/>
        <w:spacing w:after="0" w:line="250" w:lineRule="auto"/>
        <w:tabs>
          <w:tab w:leader="none" w:pos="413"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Separation costs</w:t>
      </w:r>
      <w:r>
        <w:rPr>
          <w:rFonts w:ascii="Arial" w:cs="Arial" w:eastAsia="Arial" w:hAnsi="Arial"/>
          <w:sz w:val="12"/>
          <w:szCs w:val="12"/>
          <w:color w:val="auto"/>
        </w:rPr>
        <w:t>: BellRing has excluded certain expenses incurred (i) to effect its separation from Post, (ii) in connection with Post’s distribution of 80.1% of its interest in BellRing and (iii) to support its transition into a</w:t>
      </w:r>
      <w:r>
        <w:rPr>
          <w:rFonts w:ascii="Arial" w:cs="Arial" w:eastAsia="Arial" w:hAnsi="Arial"/>
          <w:sz w:val="12"/>
          <w:szCs w:val="12"/>
          <w:i w:val="1"/>
          <w:iCs w:val="1"/>
          <w:color w:val="auto"/>
        </w:rPr>
        <w:t xml:space="preserve"> </w:t>
      </w:r>
      <w:r>
        <w:rPr>
          <w:rFonts w:ascii="Arial" w:cs="Arial" w:eastAsia="Arial" w:hAnsi="Arial"/>
          <w:sz w:val="12"/>
          <w:szCs w:val="12"/>
          <w:color w:val="auto"/>
        </w:rPr>
        <w:t>separate stand-alone, publicly-traded entity, as the amount and frequency of such expenses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320" w:hanging="212"/>
        <w:spacing w:after="0" w:line="25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Restructuring and facility closure costs, including accelerated depreciation</w:t>
      </w:r>
      <w:r>
        <w:rPr>
          <w:rFonts w:ascii="Arial" w:cs="Arial" w:eastAsia="Arial" w:hAnsi="Arial"/>
          <w:sz w:val="12"/>
          <w:szCs w:val="12"/>
          <w:color w:val="auto"/>
        </w:rPr>
        <w:t>: BellRing has excluded certain costs associated with facility closures as the amount and frequency of such adjustments are not consistent.</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180" w:hanging="212"/>
        <w:spacing w:after="0" w:line="250" w:lineRule="auto"/>
        <w:tabs>
          <w:tab w:leader="none" w:pos="413"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Resolution of dispute with former contract manufacturer</w:t>
      </w:r>
      <w:r>
        <w:rPr>
          <w:rFonts w:ascii="Arial" w:cs="Arial" w:eastAsia="Arial" w:hAnsi="Arial"/>
          <w:sz w:val="12"/>
          <w:szCs w:val="12"/>
          <w:color w:val="auto"/>
        </w:rPr>
        <w:t>: BellRing has excluded certain non-cash write-offs recorded in connection with the resolution of a dispute with a former contract manufacturer as the amount and</w:t>
      </w:r>
      <w:r>
        <w:rPr>
          <w:rFonts w:ascii="Arial" w:cs="Arial" w:eastAsia="Arial" w:hAnsi="Arial"/>
          <w:sz w:val="12"/>
          <w:szCs w:val="12"/>
          <w:i w:val="1"/>
          <w:iCs w:val="1"/>
          <w:color w:val="auto"/>
        </w:rPr>
        <w:t xml:space="preserve"> </w:t>
      </w:r>
      <w:r>
        <w:rPr>
          <w:rFonts w:ascii="Arial" w:cs="Arial" w:eastAsia="Arial" w:hAnsi="Arial"/>
          <w:sz w:val="12"/>
          <w:szCs w:val="12"/>
          <w:color w:val="auto"/>
        </w:rPr>
        <w:t>frequency of such losses are not consistent. Additionally, BellRing believes that these losses do not reflect expected ongoing future operating expenses and do not contribute to a meaningful evaluation of BellRing’s current operating performance or comparisons of BellRing’s operating performance to other periods.</w:t>
      </w:r>
    </w:p>
    <w:p>
      <w:pPr>
        <w:ind w:left="420" w:right="460" w:hanging="212"/>
        <w:spacing w:after="0" w:line="250" w:lineRule="auto"/>
        <w:tabs>
          <w:tab w:leader="none" w:pos="418"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Foreign currency gain/loss on intercompany loans</w:t>
      </w:r>
      <w:r>
        <w:rPr>
          <w:rFonts w:ascii="Arial" w:cs="Arial" w:eastAsia="Arial" w:hAnsi="Arial"/>
          <w:sz w:val="12"/>
          <w:szCs w:val="12"/>
          <w:color w:val="auto"/>
        </w:rPr>
        <w:t>: BellRing has excluded the impact of foreign currency fluctuations related to intercompany loans denominated in currencies other than the functional currency of the</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 legal entity in evaluating BellRing’s performance to allow for more meaningful comparisons of performance to other periods.</w:t>
      </w:r>
    </w:p>
    <w:p>
      <w:pPr>
        <w:ind w:left="420" w:right="20" w:hanging="212"/>
        <w:spacing w:after="0" w:line="273" w:lineRule="auto"/>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Mark-to-market adjustments on commodity hedges</w:t>
      </w:r>
      <w:r>
        <w:rPr>
          <w:rFonts w:ascii="Arial" w:cs="Arial" w:eastAsia="Arial" w:hAnsi="Arial"/>
          <w:sz w:val="11"/>
          <w:szCs w:val="11"/>
          <w:color w:val="auto"/>
        </w:rPr>
        <w:t>: BellRing has excluded the impact of mark-to-market adjustments on commodity hedges due to the inherent uncertainty and volatility associated with such amounts based on</w:t>
      </w:r>
      <w:r>
        <w:rPr>
          <w:rFonts w:ascii="Arial" w:cs="Arial" w:eastAsia="Arial" w:hAnsi="Arial"/>
          <w:sz w:val="11"/>
          <w:szCs w:val="11"/>
          <w:i w:val="1"/>
          <w:iCs w:val="1"/>
          <w:color w:val="auto"/>
        </w:rPr>
        <w:t xml:space="preserve"> </w:t>
      </w:r>
      <w:r>
        <w:rPr>
          <w:rFonts w:ascii="Arial" w:cs="Arial" w:eastAsia="Arial" w:hAnsi="Arial"/>
          <w:sz w:val="11"/>
          <w:szCs w:val="11"/>
          <w:color w:val="auto"/>
        </w:rPr>
        <w:t>changes in assumptions with respect to fair value estimates. Additionally, these adjustments are primarily non-cash items and the amount and frequency of such adjustments are not consistent.</w:t>
      </w:r>
    </w:p>
    <w:p>
      <w:pPr>
        <w:ind w:left="420" w:right="40" w:hanging="212"/>
        <w:spacing w:after="0" w:line="25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Adjustment to tax receivable agreement (“TRA”) liability</w:t>
      </w:r>
      <w:r>
        <w:rPr>
          <w:rFonts w:ascii="Arial" w:cs="Arial" w:eastAsia="Arial" w:hAnsi="Arial"/>
          <w:sz w:val="12"/>
          <w:szCs w:val="12"/>
          <w:color w:val="auto"/>
        </w:rPr>
        <w:t>: BellRing has excluded adjustments to its TRA liability as the amount and frequency of such adjustments are not consistent. Additionally, BellRing believes that these</w:t>
      </w:r>
      <w:r>
        <w:rPr>
          <w:rFonts w:ascii="Arial" w:cs="Arial" w:eastAsia="Arial" w:hAnsi="Arial"/>
          <w:sz w:val="12"/>
          <w:szCs w:val="12"/>
          <w:i w:val="1"/>
          <w:iCs w:val="1"/>
          <w:color w:val="auto"/>
        </w:rPr>
        <w:t xml:space="preserve"> </w:t>
      </w:r>
      <w:r>
        <w:rPr>
          <w:rFonts w:ascii="Arial" w:cs="Arial" w:eastAsia="Arial" w:hAnsi="Arial"/>
          <w:sz w:val="12"/>
          <w:szCs w:val="12"/>
          <w:color w:val="auto"/>
        </w:rPr>
        <w:t>adjustments do not contribute to a meaningful evaluation of BellRing’s current operating performance or comparisons of BellRing’s operating performance to other periods.</w:t>
      </w:r>
    </w:p>
    <w:p>
      <w:pPr>
        <w:ind w:left="420" w:right="120" w:hanging="212"/>
        <w:spacing w:after="0" w:line="260" w:lineRule="auto"/>
        <w:tabs>
          <w:tab w:leader="none" w:pos="411"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NCI adjustment</w:t>
      </w:r>
      <w:r>
        <w:rPr>
          <w:rFonts w:ascii="Arial" w:cs="Arial" w:eastAsia="Arial" w:hAnsi="Arial"/>
          <w:sz w:val="12"/>
          <w:szCs w:val="12"/>
          <w:color w:val="auto"/>
        </w:rPr>
        <w:t>: BellRing has included an adjustment to reflect the removal of non-GAAP adjustments which are attributable to redeemable NCI in the periods prior to the Spin-off in the calculation of Adjusted net earnings</w:t>
      </w:r>
      <w:r>
        <w:rPr>
          <w:rFonts w:ascii="Arial" w:cs="Arial" w:eastAsia="Arial" w:hAnsi="Arial"/>
          <w:sz w:val="12"/>
          <w:szCs w:val="12"/>
          <w:i w:val="1"/>
          <w:iCs w:val="1"/>
          <w:color w:val="auto"/>
        </w:rPr>
        <w:t xml:space="preserve"> </w:t>
      </w:r>
      <w:r>
        <w:rPr>
          <w:rFonts w:ascii="Arial" w:cs="Arial" w:eastAsia="Arial" w:hAnsi="Arial"/>
          <w:sz w:val="12"/>
          <w:szCs w:val="12"/>
          <w:color w:val="auto"/>
        </w:rPr>
        <w:t>available to common stockholders and Adjusted diluted earnings per share of common stock.</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240"/>
          </w:cols>
          <w:pgMar w:left="300" w:top="643" w:right="359" w:bottom="1440" w:gutter="0" w:footer="0" w:header="0"/>
        </w:sectPr>
      </w:pPr>
    </w:p>
    <w:bookmarkStart w:id="11" w:name="page12"/>
    <w:bookmarkEnd w:id="11"/>
    <w:p>
      <w:pPr>
        <w:ind w:left="420" w:right="180" w:hanging="212"/>
        <w:spacing w:after="0" w:line="258" w:lineRule="auto"/>
        <w:tabs>
          <w:tab w:leader="none" w:pos="411"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Income tax effect on adjustments</w:t>
      </w:r>
      <w:r>
        <w:rPr>
          <w:rFonts w:ascii="Arial" w:cs="Arial" w:eastAsia="Arial" w:hAnsi="Arial"/>
          <w:sz w:val="12"/>
          <w:szCs w:val="12"/>
          <w:color w:val="auto"/>
        </w:rPr>
        <w:t>: BellRing has included the income tax impact of the non-GAAP adjustments using a rate described in the applicable footnote of the reconciliation tables, as BellRing believes that its GAAP</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income tax rate as reported is not representative of the income tax expense impact of the adjustments.</w:t>
      </w:r>
    </w:p>
    <w:p>
      <w:pPr>
        <w:spacing w:after="0"/>
        <w:rPr>
          <w:sz w:val="20"/>
          <w:szCs w:val="20"/>
          <w:color w:val="auto"/>
        </w:rPr>
      </w:pPr>
      <w:r>
        <w:rPr>
          <w:rFonts w:ascii="Arial" w:cs="Arial" w:eastAsia="Arial" w:hAnsi="Arial"/>
          <w:sz w:val="12"/>
          <w:szCs w:val="12"/>
          <w:u w:val="single" w:color="auto"/>
          <w:color w:val="auto"/>
        </w:rPr>
        <w:t>Adjusted EBITDA</w:t>
      </w:r>
    </w:p>
    <w:p>
      <w:pPr>
        <w:spacing w:after="0" w:line="6"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Management uses Adjusted EBITDA to provide forward-looking guidance and to forecast future results.</w:t>
      </w:r>
    </w:p>
    <w:p>
      <w:pPr>
        <w:spacing w:after="0" w:line="93" w:lineRule="exact"/>
        <w:rPr>
          <w:sz w:val="20"/>
          <w:szCs w:val="20"/>
          <w:color w:val="auto"/>
        </w:rPr>
      </w:pPr>
    </w:p>
    <w:p>
      <w:pPr>
        <w:ind w:right="300"/>
        <w:spacing w:after="0" w:line="278" w:lineRule="auto"/>
        <w:rPr>
          <w:sz w:val="20"/>
          <w:szCs w:val="20"/>
          <w:color w:val="auto"/>
        </w:rPr>
      </w:pPr>
      <w:r>
        <w:rPr>
          <w:rFonts w:ascii="Arial" w:cs="Arial" w:eastAsia="Arial" w:hAnsi="Arial"/>
          <w:sz w:val="11"/>
          <w:szCs w:val="11"/>
          <w:color w:val="auto"/>
        </w:rPr>
        <w:t>Adjusted EBITDA reflects adjustments for income tax expense, interest expense, net and depreciation and amortization including accelerated depreciation and amortization, and the following adjustments discussed above: loss on extinguishment and refinancing of debt, net, separation costs, restructuring and facility closure costs excluding accelerated depreciation, resolution of dispute with former contract manufacturer, foreign currency gain/loss on intercompany loans, mark-to-market adjustments on commodity hedges and adjustment to TRA liability. Additionally, Adjusted EBITDA reflects adjustments for the following items:</w:t>
      </w:r>
    </w:p>
    <w:p>
      <w:pPr>
        <w:spacing w:after="0" w:line="1" w:lineRule="exact"/>
        <w:rPr>
          <w:sz w:val="20"/>
          <w:szCs w:val="20"/>
          <w:color w:val="auto"/>
        </w:rPr>
      </w:pPr>
    </w:p>
    <w:p>
      <w:pPr>
        <w:ind w:left="420" w:hanging="212"/>
        <w:spacing w:after="0" w:line="273" w:lineRule="auto"/>
        <w:tabs>
          <w:tab w:leader="none" w:pos="420" w:val="left"/>
        </w:tabs>
        <w:numPr>
          <w:ilvl w:val="0"/>
          <w:numId w:val="7"/>
        </w:numPr>
        <w:rPr>
          <w:rFonts w:ascii="Arial" w:cs="Arial" w:eastAsia="Arial" w:hAnsi="Arial"/>
          <w:sz w:val="11"/>
          <w:szCs w:val="11"/>
          <w:color w:val="auto"/>
        </w:rPr>
      </w:pPr>
      <w:r>
        <w:rPr>
          <w:rFonts w:ascii="Arial" w:cs="Arial" w:eastAsia="Arial" w:hAnsi="Arial"/>
          <w:sz w:val="11"/>
          <w:szCs w:val="11"/>
          <w:i w:val="1"/>
          <w:iCs w:val="1"/>
          <w:color w:val="auto"/>
        </w:rPr>
        <w:t>Stock-based compensation</w:t>
      </w:r>
      <w:r>
        <w:rPr>
          <w:rFonts w:ascii="Arial" w:cs="Arial" w:eastAsia="Arial" w:hAnsi="Arial"/>
          <w:sz w:val="11"/>
          <w:szCs w:val="11"/>
          <w:color w:val="auto"/>
        </w:rPr>
        <w:t>: BellRing’s compensation strategy after the initial public offering (the “IPO”) includes the use of BellRing stock-based compensation to attract and retain executives and employees by aligning their</w:t>
      </w:r>
      <w:r>
        <w:rPr>
          <w:rFonts w:ascii="Arial" w:cs="Arial" w:eastAsia="Arial" w:hAnsi="Arial"/>
          <w:sz w:val="11"/>
          <w:szCs w:val="11"/>
          <w:i w:val="1"/>
          <w:iCs w:val="1"/>
          <w:color w:val="auto"/>
        </w:rPr>
        <w:t xml:space="preserve"> </w:t>
      </w:r>
      <w:r>
        <w:rPr>
          <w:rFonts w:ascii="Arial" w:cs="Arial" w:eastAsia="Arial" w:hAnsi="Arial"/>
          <w:sz w:val="11"/>
          <w:szCs w:val="11"/>
          <w:color w:val="auto"/>
        </w:rPr>
        <w:t>long-term compensation interests with BellRing’s stockholders’ investment interests. BellRing’s director compensation strategy includes an election by any director who earns retainers in which the director may elect to defer compensation granted as a director to BellRing common stock, earning a match on the deferral, both of which are stock-settled upon the director’s retirement from the BellRing board of directors. BellRing’s compensation strategy prior to the IPO included the use of Post stock-based compensation to attract and retain executives and employees by aligning their long-term compensation interests with Post’s shareholders’ investment interests; after the IPO, BellRing continues to be charged for Post stock-based compensation through the master services agreement with Post.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ind w:left="420" w:right="120" w:hanging="212"/>
        <w:spacing w:after="0" w:line="306" w:lineRule="auto"/>
        <w:tabs>
          <w:tab w:leader="none" w:pos="411" w:val="left"/>
        </w:tabs>
        <w:numPr>
          <w:ilvl w:val="0"/>
          <w:numId w:val="7"/>
        </w:numPr>
        <w:rPr>
          <w:rFonts w:ascii="Arial" w:cs="Arial" w:eastAsia="Arial" w:hAnsi="Arial"/>
          <w:sz w:val="11"/>
          <w:szCs w:val="11"/>
          <w:color w:val="auto"/>
        </w:rPr>
      </w:pPr>
      <w:r>
        <w:rPr>
          <w:rFonts w:ascii="Arial" w:cs="Arial" w:eastAsia="Arial" w:hAnsi="Arial"/>
          <w:sz w:val="11"/>
          <w:szCs w:val="11"/>
          <w:i w:val="1"/>
          <w:iCs w:val="1"/>
          <w:color w:val="auto"/>
        </w:rPr>
        <w:t>Net earnings attributable to redeemable noncontrolling interest</w:t>
      </w:r>
      <w:r>
        <w:rPr>
          <w:rFonts w:ascii="Arial" w:cs="Arial" w:eastAsia="Arial" w:hAnsi="Arial"/>
          <w:sz w:val="11"/>
          <w:szCs w:val="11"/>
          <w:color w:val="auto"/>
        </w:rPr>
        <w:t>: BellRing has included adjustments for the portion of its consolidated net earnings which was allocated to redeemable NCI for the periods prior to the Spin-off,</w:t>
      </w:r>
      <w:r>
        <w:rPr>
          <w:rFonts w:ascii="Arial" w:cs="Arial" w:eastAsia="Arial" w:hAnsi="Arial"/>
          <w:sz w:val="11"/>
          <w:szCs w:val="11"/>
          <w:i w:val="1"/>
          <w:iCs w:val="1"/>
          <w:color w:val="auto"/>
        </w:rPr>
        <w:t xml:space="preserve"> </w:t>
      </w:r>
      <w:r>
        <w:rPr>
          <w:rFonts w:ascii="Arial" w:cs="Arial" w:eastAsia="Arial" w:hAnsi="Arial"/>
          <w:sz w:val="11"/>
          <w:szCs w:val="11"/>
          <w:color w:val="auto"/>
        </w:rPr>
        <w:t>allowing for the calculation of Adjusted EBITDA to include 100% of BellRing as BellRing’s management evaluates BellRing’s operating performance on a basis that includes 100% of BellRing.</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260"/>
          </w:cols>
          <w:pgMar w:left="300" w:top="644" w:right="3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1"/>
          <w:szCs w:val="11"/>
          <w:b w:val="1"/>
          <w:bCs w:val="1"/>
          <w:color w:val="auto"/>
        </w:rPr>
        <w:t>RECONCILIATION OF NET EARNINGS AVAILABLE TO COMMON STOCKHOLDERS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NET EARNINGS AVAILABLE TO COMMON STOCKHOLDERS (Unaudited)</w:t>
      </w:r>
    </w:p>
    <w:p>
      <w:pPr>
        <w:jc w:val="center"/>
        <w:ind w:right="20"/>
        <w:spacing w:after="0"/>
        <w:rPr>
          <w:sz w:val="20"/>
          <w:szCs w:val="20"/>
          <w:color w:val="auto"/>
        </w:rPr>
      </w:pPr>
      <w:r>
        <w:rPr>
          <w:rFonts w:ascii="Arial" w:cs="Arial" w:eastAsia="Arial" w:hAnsi="Arial"/>
          <w:sz w:val="11"/>
          <w:szCs w:val="11"/>
          <w:b w:val="1"/>
          <w:bCs w:val="1"/>
          <w:color w:val="auto"/>
        </w:rPr>
        <w:t>(in millions)</w:t>
      </w:r>
    </w:p>
    <w:tbl>
      <w:tblPr>
        <w:tblLayout w:type="fixed"/>
        <w:tblInd w:w="0" w:type="dxa"/>
        <w:tblCellMar>
          <w:top w:w="0" w:type="dxa"/>
          <w:left w:w="0" w:type="dxa"/>
          <w:bottom w:w="0" w:type="dxa"/>
          <w:right w:w="0" w:type="dxa"/>
        </w:tblCellMar>
      </w:tblPr>
      <w:tr>
        <w:trPr>
          <w:trHeight w:val="123"/>
        </w:trPr>
        <w:tc>
          <w:tcPr>
            <w:tcW w:w="6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3"/>
          </w:tcPr>
          <w:p>
            <w:pPr>
              <w:jc w:val="right"/>
              <w:spacing w:after="0" w:line="123" w:lineRule="exact"/>
              <w:rPr>
                <w:sz w:val="20"/>
                <w:szCs w:val="20"/>
                <w:color w:val="auto"/>
              </w:rPr>
            </w:pPr>
            <w:r>
              <w:rPr>
                <w:rFonts w:ascii="Arial" w:cs="Arial" w:eastAsia="Arial" w:hAnsi="Arial"/>
                <w:sz w:val="11"/>
                <w:szCs w:val="11"/>
                <w:b w:val="1"/>
                <w:bCs w:val="1"/>
                <w:color w:val="auto"/>
              </w:rPr>
              <w:t>Three Months Ended</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3"/>
          </w:tcPr>
          <w:p>
            <w:pPr>
              <w:jc w:val="right"/>
              <w:spacing w:after="0" w:line="123" w:lineRule="exact"/>
              <w:rPr>
                <w:sz w:val="20"/>
                <w:szCs w:val="20"/>
                <w:color w:val="auto"/>
              </w:rPr>
            </w:pPr>
            <w:r>
              <w:rPr>
                <w:rFonts w:ascii="Arial" w:cs="Arial" w:eastAsia="Arial" w:hAnsi="Arial"/>
                <w:sz w:val="11"/>
                <w:szCs w:val="11"/>
                <w:b w:val="1"/>
                <w:bCs w:val="1"/>
                <w:color w:val="auto"/>
              </w:rPr>
              <w:t>Nine Months Ended</w:t>
            </w:r>
          </w:p>
        </w:tc>
        <w:tc>
          <w:tcPr>
            <w:tcW w:w="640" w:type="dxa"/>
            <w:vAlign w:val="bottom"/>
          </w:tcPr>
          <w:p>
            <w:pPr>
              <w:spacing w:after="0"/>
              <w:rPr>
                <w:sz w:val="10"/>
                <w:szCs w:val="10"/>
                <w:color w:val="auto"/>
              </w:rPr>
            </w:pPr>
          </w:p>
        </w:tc>
      </w:tr>
      <w:tr>
        <w:trPr>
          <w:trHeight w:val="142"/>
        </w:trPr>
        <w:tc>
          <w:tcPr>
            <w:tcW w:w="6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1"/>
                <w:szCs w:val="11"/>
                <w:b w:val="1"/>
                <w:bCs w:val="1"/>
                <w:color w:val="auto"/>
              </w:rPr>
              <w:t>June 30,</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June 30,</w:t>
            </w:r>
          </w:p>
        </w:tc>
        <w:tc>
          <w:tcPr>
            <w:tcW w:w="640" w:type="dxa"/>
            <w:vAlign w:val="bottom"/>
            <w:tcBorders>
              <w:bottom w:val="single" w:sz="8" w:color="auto"/>
            </w:tcBorders>
          </w:tcPr>
          <w:p>
            <w:pPr>
              <w:spacing w:after="0"/>
              <w:rPr>
                <w:sz w:val="12"/>
                <w:szCs w:val="12"/>
                <w:color w:val="auto"/>
              </w:rPr>
            </w:pPr>
          </w:p>
        </w:tc>
      </w:tr>
      <w:tr>
        <w:trPr>
          <w:trHeight w:val="133"/>
        </w:trPr>
        <w:tc>
          <w:tcPr>
            <w:tcW w:w="64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1"/>
                <w:szCs w:val="11"/>
                <w:b w:val="1"/>
                <w:bCs w:val="1"/>
                <w:color w:val="auto"/>
              </w:rPr>
              <w:t>2022</w:t>
            </w:r>
          </w:p>
        </w:tc>
        <w:tc>
          <w:tcPr>
            <w:tcW w:w="2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w w:val="81"/>
              </w:rPr>
              <w:t>2021</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rPr>
              <w:t>2022</w:t>
            </w:r>
          </w:p>
        </w:tc>
        <w:tc>
          <w:tcPr>
            <w:tcW w:w="2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w w:val="89"/>
              </w:rPr>
              <w:t>2021</w:t>
            </w:r>
          </w:p>
        </w:tc>
      </w:tr>
      <w:tr>
        <w:trPr>
          <w:trHeight w:val="144"/>
        </w:trPr>
        <w:tc>
          <w:tcPr>
            <w:tcW w:w="6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Available to Common Stockholders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48.6</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w:t>
            </w:r>
          </w:p>
        </w:tc>
      </w:tr>
      <w:tr>
        <w:trPr>
          <w:trHeight w:val="171"/>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Adjustments: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53"/>
        </w:trPr>
        <w:tc>
          <w:tcPr>
            <w:tcW w:w="6460" w:type="dxa"/>
            <w:vAlign w:val="bottom"/>
          </w:tcPr>
          <w:p>
            <w:pPr>
              <w:ind w:left="160"/>
              <w:spacing w:after="0"/>
              <w:rPr>
                <w:sz w:val="20"/>
                <w:szCs w:val="20"/>
                <w:color w:val="auto"/>
              </w:rPr>
            </w:pPr>
            <w:r>
              <w:rPr>
                <w:rFonts w:ascii="Arial" w:cs="Arial" w:eastAsia="Arial" w:hAnsi="Arial"/>
                <w:sz w:val="12"/>
                <w:szCs w:val="12"/>
                <w:color w:val="auto"/>
              </w:rPr>
              <w:t>Accelerated amortization</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11.8</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29.9</w:t>
            </w:r>
          </w:p>
        </w:tc>
      </w:tr>
      <w:tr>
        <w:trPr>
          <w:trHeight w:val="153"/>
        </w:trPr>
        <w:tc>
          <w:tcPr>
            <w:tcW w:w="64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Loss on extinguishment and refinancing of debt, net</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17.6</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r>
      <w:tr>
        <w:trPr>
          <w:trHeight w:val="153"/>
        </w:trPr>
        <w:tc>
          <w:tcPr>
            <w:tcW w:w="6460" w:type="dxa"/>
            <w:vAlign w:val="bottom"/>
          </w:tcPr>
          <w:p>
            <w:pPr>
              <w:ind w:left="160"/>
              <w:spacing w:after="0"/>
              <w:rPr>
                <w:sz w:val="20"/>
                <w:szCs w:val="20"/>
                <w:color w:val="auto"/>
              </w:rPr>
            </w:pPr>
            <w:r>
              <w:rPr>
                <w:rFonts w:ascii="Arial" w:cs="Arial" w:eastAsia="Arial" w:hAnsi="Arial"/>
                <w:sz w:val="12"/>
                <w:szCs w:val="12"/>
                <w:color w:val="auto"/>
              </w:rPr>
              <w:t>Separation costs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0.9</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13.2</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4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Restructuring and facility closure costs, including accelerated depreciation</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r>
      <w:tr>
        <w:trPr>
          <w:trHeight w:val="153"/>
        </w:trPr>
        <w:tc>
          <w:tcPr>
            <w:tcW w:w="6460" w:type="dxa"/>
            <w:vAlign w:val="bottom"/>
          </w:tcPr>
          <w:p>
            <w:pPr>
              <w:ind w:left="160"/>
              <w:spacing w:after="0"/>
              <w:rPr>
                <w:sz w:val="20"/>
                <w:szCs w:val="20"/>
                <w:color w:val="auto"/>
              </w:rPr>
            </w:pPr>
            <w:r>
              <w:rPr>
                <w:rFonts w:ascii="Arial" w:cs="Arial" w:eastAsia="Arial" w:hAnsi="Arial"/>
                <w:sz w:val="12"/>
                <w:szCs w:val="12"/>
                <w:color w:val="auto"/>
              </w:rPr>
              <w:t>Resolution of dispute with former contract manufacturer</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2.3</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4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Foreign currency loss (gain) on intercompany loans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0.7</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r>
      <w:tr>
        <w:trPr>
          <w:trHeight w:val="153"/>
        </w:trPr>
        <w:tc>
          <w:tcPr>
            <w:tcW w:w="6460" w:type="dxa"/>
            <w:vAlign w:val="bottom"/>
          </w:tcPr>
          <w:p>
            <w:pPr>
              <w:ind w:left="160"/>
              <w:spacing w:after="0"/>
              <w:rPr>
                <w:sz w:val="20"/>
                <w:szCs w:val="20"/>
                <w:color w:val="auto"/>
              </w:rPr>
            </w:pPr>
            <w:r>
              <w:rPr>
                <w:rFonts w:ascii="Arial" w:cs="Arial" w:eastAsia="Arial" w:hAnsi="Arial"/>
                <w:sz w:val="12"/>
                <w:szCs w:val="12"/>
                <w:color w:val="auto"/>
              </w:rPr>
              <w:t>Mark-to-market adjustments on commodity hedges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0.7</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0.2</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4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Adjustment to TRA liability</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r>
      <w:tr>
        <w:trPr>
          <w:trHeight w:val="153"/>
        </w:trPr>
        <w:tc>
          <w:tcPr>
            <w:tcW w:w="6460" w:type="dxa"/>
            <w:vAlign w:val="bottom"/>
          </w:tcPr>
          <w:p>
            <w:pPr>
              <w:ind w:left="160"/>
              <w:spacing w:after="0"/>
              <w:rPr>
                <w:sz w:val="20"/>
                <w:szCs w:val="20"/>
                <w:color w:val="auto"/>
              </w:rPr>
            </w:pPr>
            <w:r>
              <w:rPr>
                <w:rFonts w:ascii="Arial" w:cs="Arial" w:eastAsia="Arial" w:hAnsi="Arial"/>
                <w:sz w:val="12"/>
                <w:szCs w:val="12"/>
                <w:color w:val="auto"/>
              </w:rPr>
              <w:t>NCI adjustment</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(8.5)</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(12.5)</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(26.3)</w:t>
            </w:r>
          </w:p>
        </w:tc>
      </w:tr>
      <w:tr>
        <w:trPr>
          <w:trHeight w:val="142"/>
        </w:trPr>
        <w:tc>
          <w:tcPr>
            <w:tcW w:w="6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2"/>
                <w:szCs w:val="12"/>
                <w:b w:val="1"/>
                <w:bCs w:val="1"/>
                <w:color w:val="auto"/>
              </w:rPr>
              <w:t>Total Net Adjustments</w:t>
            </w: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21.5</w:t>
            </w: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w:t>
            </w:r>
          </w:p>
        </w:tc>
      </w:tr>
      <w:tr>
        <w:trPr>
          <w:trHeight w:val="153"/>
        </w:trPr>
        <w:tc>
          <w:tcPr>
            <w:tcW w:w="646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 xml:space="preserve">Income tax effect on adjustments </w:t>
            </w:r>
            <w:r>
              <w:rPr>
                <w:rFonts w:ascii="Arial" w:cs="Arial" w:eastAsia="Arial" w:hAnsi="Arial"/>
                <w:sz w:val="15"/>
                <w:szCs w:val="15"/>
                <w:color w:val="auto"/>
                <w:vertAlign w:val="superscript"/>
              </w:rPr>
              <w:t>(1)</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(0.9)</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(0.7)</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r>
      <w:tr>
        <w:trPr>
          <w:trHeight w:val="158"/>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Adjusted Net Earnings Available to Common Stockholders</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42.5</w:t>
            </w:r>
          </w:p>
        </w:tc>
        <w:tc>
          <w:tcPr>
            <w:tcW w:w="2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w:t>
            </w:r>
          </w:p>
        </w:tc>
        <w:tc>
          <w:tcPr>
            <w:tcW w:w="3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67.0</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25.7</w:t>
            </w:r>
          </w:p>
        </w:tc>
      </w:tr>
    </w:tbl>
    <w:p>
      <w:pPr>
        <w:spacing w:after="0" w:line="162" w:lineRule="exact"/>
        <w:rPr>
          <w:sz w:val="20"/>
          <w:szCs w:val="20"/>
          <w:color w:val="auto"/>
        </w:rPr>
      </w:pPr>
    </w:p>
    <w:p>
      <w:pPr>
        <w:ind w:right="80" w:firstLine="9"/>
        <w:spacing w:after="0" w:line="280" w:lineRule="auto"/>
        <w:tabs>
          <w:tab w:leader="none" w:pos="121" w:val="left"/>
        </w:tabs>
        <w:numPr>
          <w:ilvl w:val="0"/>
          <w:numId w:val="8"/>
        </w:numPr>
        <w:rPr>
          <w:rFonts w:ascii="Arial" w:cs="Arial" w:eastAsia="Arial" w:hAnsi="Arial"/>
          <w:sz w:val="13"/>
          <w:szCs w:val="13"/>
          <w:color w:val="auto"/>
          <w:vertAlign w:val="superscript"/>
        </w:rPr>
      </w:pPr>
      <w:r>
        <w:rPr>
          <w:rFonts w:ascii="Arial" w:cs="Arial" w:eastAsia="Arial" w:hAnsi="Arial"/>
          <w:sz w:val="10"/>
          <w:szCs w:val="10"/>
          <w:color w:val="auto"/>
        </w:rPr>
        <w:t>For the periods subsequent to the Spin-off (March 11, 2022 through June 30, 2022), income tax effect on adjustments was calculated on all items, except for separation costs, using a rate of 24.0%. For the periods prior to the Spin-off (October 1, 2021 through March 10, 2022 and for the three and nine months ended June 30, 2021), income tax effect on adjustments was calculated on all items, except for separation costs, adjustment to TRA liability and NCI adjustment, using a rate of 7.0%, which represents the effective income tax rate on BellRing’s distributive share from BellRing LLC. For the periods prior to the Spin-off, income tax effect for NCI adjustment was calculated using a rate of 0.0%, and income tax effect for adjustment to TRA liability was calculated using a rate of 24.0%. For all periods, income tax effect for separation costs was calculated using a rate of 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220"/>
          </w:cols>
          <w:pgMar w:left="340" w:top="643" w:right="3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1"/>
          <w:szCs w:val="11"/>
          <w:b w:val="1"/>
          <w:bCs w:val="1"/>
          <w:color w:val="auto"/>
        </w:rPr>
        <w:t>RECONCILIATION OF DILUTED EARNINGS PER SHARE OF COMMON STOCK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DILUTED EARNINGS PER SHARE OF COMMON STOCK (Unaudited)</w:t>
      </w:r>
    </w:p>
    <w:tbl>
      <w:tblPr>
        <w:tblLayout w:type="fixed"/>
        <w:tblInd w:w="0" w:type="dxa"/>
        <w:tblCellMar>
          <w:top w:w="0" w:type="dxa"/>
          <w:left w:w="0" w:type="dxa"/>
          <w:bottom w:w="0" w:type="dxa"/>
          <w:right w:w="0" w:type="dxa"/>
        </w:tblCellMar>
      </w:tblPr>
      <w:tr>
        <w:trPr>
          <w:trHeight w:val="123"/>
        </w:trPr>
        <w:tc>
          <w:tcPr>
            <w:tcW w:w="6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3"/>
          </w:tcPr>
          <w:p>
            <w:pPr>
              <w:jc w:val="right"/>
              <w:spacing w:after="0" w:line="123" w:lineRule="exact"/>
              <w:rPr>
                <w:sz w:val="20"/>
                <w:szCs w:val="20"/>
                <w:color w:val="auto"/>
              </w:rPr>
            </w:pPr>
            <w:r>
              <w:rPr>
                <w:rFonts w:ascii="Arial" w:cs="Arial" w:eastAsia="Arial" w:hAnsi="Arial"/>
                <w:sz w:val="11"/>
                <w:szCs w:val="11"/>
                <w:b w:val="1"/>
                <w:bCs w:val="1"/>
                <w:color w:val="auto"/>
              </w:rPr>
              <w:t>Three Months Ended</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3"/>
          </w:tcPr>
          <w:p>
            <w:pPr>
              <w:jc w:val="right"/>
              <w:spacing w:after="0" w:line="123" w:lineRule="exact"/>
              <w:rPr>
                <w:sz w:val="20"/>
                <w:szCs w:val="20"/>
                <w:color w:val="auto"/>
              </w:rPr>
            </w:pPr>
            <w:r>
              <w:rPr>
                <w:rFonts w:ascii="Arial" w:cs="Arial" w:eastAsia="Arial" w:hAnsi="Arial"/>
                <w:sz w:val="11"/>
                <w:szCs w:val="11"/>
                <w:b w:val="1"/>
                <w:bCs w:val="1"/>
                <w:color w:val="auto"/>
              </w:rPr>
              <w:t>Nine Months Ended</w:t>
            </w:r>
          </w:p>
        </w:tc>
        <w:tc>
          <w:tcPr>
            <w:tcW w:w="640" w:type="dxa"/>
            <w:vAlign w:val="bottom"/>
          </w:tcPr>
          <w:p>
            <w:pPr>
              <w:spacing w:after="0"/>
              <w:rPr>
                <w:sz w:val="10"/>
                <w:szCs w:val="10"/>
                <w:color w:val="auto"/>
              </w:rPr>
            </w:pPr>
          </w:p>
        </w:tc>
      </w:tr>
      <w:tr>
        <w:trPr>
          <w:trHeight w:val="142"/>
        </w:trPr>
        <w:tc>
          <w:tcPr>
            <w:tcW w:w="6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1"/>
                <w:szCs w:val="11"/>
                <w:b w:val="1"/>
                <w:bCs w:val="1"/>
                <w:color w:val="auto"/>
              </w:rPr>
              <w:t>June 30,</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June 30,</w:t>
            </w:r>
          </w:p>
        </w:tc>
        <w:tc>
          <w:tcPr>
            <w:tcW w:w="640" w:type="dxa"/>
            <w:vAlign w:val="bottom"/>
            <w:tcBorders>
              <w:bottom w:val="single" w:sz="8" w:color="auto"/>
            </w:tcBorders>
          </w:tcPr>
          <w:p>
            <w:pPr>
              <w:spacing w:after="0"/>
              <w:rPr>
                <w:sz w:val="12"/>
                <w:szCs w:val="12"/>
                <w:color w:val="auto"/>
              </w:rPr>
            </w:pPr>
          </w:p>
        </w:tc>
      </w:tr>
      <w:tr>
        <w:trPr>
          <w:trHeight w:val="133"/>
        </w:trPr>
        <w:tc>
          <w:tcPr>
            <w:tcW w:w="64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1"/>
                <w:szCs w:val="11"/>
                <w:b w:val="1"/>
                <w:bCs w:val="1"/>
                <w:color w:val="auto"/>
              </w:rPr>
              <w:t>2022</w:t>
            </w:r>
          </w:p>
        </w:tc>
        <w:tc>
          <w:tcPr>
            <w:tcW w:w="2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w w:val="81"/>
              </w:rPr>
              <w:t>2021</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rPr>
              <w:t>2022</w:t>
            </w:r>
          </w:p>
        </w:tc>
        <w:tc>
          <w:tcPr>
            <w:tcW w:w="2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w w:val="89"/>
              </w:rPr>
              <w:t>2021</w:t>
            </w:r>
          </w:p>
        </w:tc>
      </w:tr>
      <w:tr>
        <w:trPr>
          <w:trHeight w:val="144"/>
        </w:trPr>
        <w:tc>
          <w:tcPr>
            <w:tcW w:w="6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Diluted Earnings per share of Common Stock</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0.29</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0.24</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0.61</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0.45</w:t>
            </w:r>
          </w:p>
        </w:tc>
      </w:tr>
      <w:tr>
        <w:trPr>
          <w:trHeight w:val="180"/>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Adjustments: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53"/>
        </w:trPr>
        <w:tc>
          <w:tcPr>
            <w:tcW w:w="6460" w:type="dxa"/>
            <w:vAlign w:val="bottom"/>
          </w:tcPr>
          <w:p>
            <w:pPr>
              <w:ind w:left="160"/>
              <w:spacing w:after="0"/>
              <w:rPr>
                <w:sz w:val="20"/>
                <w:szCs w:val="20"/>
                <w:color w:val="auto"/>
              </w:rPr>
            </w:pPr>
            <w:r>
              <w:rPr>
                <w:rFonts w:ascii="Arial" w:cs="Arial" w:eastAsia="Arial" w:hAnsi="Arial"/>
                <w:sz w:val="12"/>
                <w:szCs w:val="12"/>
                <w:color w:val="auto"/>
              </w:rPr>
              <w:t>Accelerated amortization</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0.30</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0.75</w:t>
            </w:r>
          </w:p>
        </w:tc>
      </w:tr>
      <w:tr>
        <w:trPr>
          <w:trHeight w:val="153"/>
        </w:trPr>
        <w:tc>
          <w:tcPr>
            <w:tcW w:w="64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Loss on extinguishment and refinancing of debt, net</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0.22</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0.04</w:t>
            </w:r>
          </w:p>
        </w:tc>
      </w:tr>
      <w:tr>
        <w:trPr>
          <w:trHeight w:val="153"/>
        </w:trPr>
        <w:tc>
          <w:tcPr>
            <w:tcW w:w="6460" w:type="dxa"/>
            <w:vAlign w:val="bottom"/>
          </w:tcPr>
          <w:p>
            <w:pPr>
              <w:ind w:left="160"/>
              <w:spacing w:after="0"/>
              <w:rPr>
                <w:sz w:val="20"/>
                <w:szCs w:val="20"/>
                <w:color w:val="auto"/>
              </w:rPr>
            </w:pPr>
            <w:r>
              <w:rPr>
                <w:rFonts w:ascii="Arial" w:cs="Arial" w:eastAsia="Arial" w:hAnsi="Arial"/>
                <w:sz w:val="12"/>
                <w:szCs w:val="12"/>
                <w:color w:val="auto"/>
              </w:rPr>
              <w:t>Separation costs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0.01</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0.17</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4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Restructuring and facility closure costs, including accelerated depreciation</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0.14</w:t>
            </w:r>
          </w:p>
        </w:tc>
      </w:tr>
      <w:tr>
        <w:trPr>
          <w:trHeight w:val="153"/>
        </w:trPr>
        <w:tc>
          <w:tcPr>
            <w:tcW w:w="6460" w:type="dxa"/>
            <w:vAlign w:val="bottom"/>
          </w:tcPr>
          <w:p>
            <w:pPr>
              <w:ind w:left="160"/>
              <w:spacing w:after="0"/>
              <w:rPr>
                <w:sz w:val="20"/>
                <w:szCs w:val="20"/>
                <w:color w:val="auto"/>
              </w:rPr>
            </w:pPr>
            <w:r>
              <w:rPr>
                <w:rFonts w:ascii="Arial" w:cs="Arial" w:eastAsia="Arial" w:hAnsi="Arial"/>
                <w:sz w:val="12"/>
                <w:szCs w:val="12"/>
                <w:color w:val="auto"/>
              </w:rPr>
              <w:t>Resolution of dispute with former contract manufacturer</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0.02</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0.03</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4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Foreign currency loss (gain) on intercompany loans</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0.01</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460" w:type="dxa"/>
            <w:vAlign w:val="bottom"/>
          </w:tcPr>
          <w:p>
            <w:pPr>
              <w:ind w:left="160"/>
              <w:spacing w:after="0"/>
              <w:rPr>
                <w:sz w:val="20"/>
                <w:szCs w:val="20"/>
                <w:color w:val="auto"/>
              </w:rPr>
            </w:pPr>
            <w:r>
              <w:rPr>
                <w:rFonts w:ascii="Arial" w:cs="Arial" w:eastAsia="Arial" w:hAnsi="Arial"/>
                <w:sz w:val="12"/>
                <w:szCs w:val="12"/>
                <w:color w:val="auto"/>
              </w:rPr>
              <w:t>Mark-to-market adjustments on commodity hedges</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4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Adjustment to TRA liability</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r>
      <w:tr>
        <w:trPr>
          <w:trHeight w:val="153"/>
        </w:trPr>
        <w:tc>
          <w:tcPr>
            <w:tcW w:w="6460" w:type="dxa"/>
            <w:vAlign w:val="bottom"/>
          </w:tcPr>
          <w:p>
            <w:pPr>
              <w:ind w:left="160"/>
              <w:spacing w:after="0"/>
              <w:rPr>
                <w:sz w:val="20"/>
                <w:szCs w:val="20"/>
                <w:color w:val="auto"/>
              </w:rPr>
            </w:pPr>
            <w:r>
              <w:rPr>
                <w:rFonts w:ascii="Arial" w:cs="Arial" w:eastAsia="Arial" w:hAnsi="Arial"/>
                <w:sz w:val="12"/>
                <w:szCs w:val="12"/>
                <w:color w:val="auto"/>
              </w:rPr>
              <w:t>NCI adjustment</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(0.21)</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(0.16)</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(0.66)</w:t>
            </w:r>
          </w:p>
        </w:tc>
      </w:tr>
      <w:tr>
        <w:trPr>
          <w:trHeight w:val="142"/>
        </w:trPr>
        <w:tc>
          <w:tcPr>
            <w:tcW w:w="6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2"/>
                <w:szCs w:val="12"/>
                <w:b w:val="1"/>
                <w:bCs w:val="1"/>
                <w:color w:val="auto"/>
              </w:rPr>
              <w:t>Total Net Adjustments</w:t>
            </w: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0.03</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0.08</w:t>
            </w: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0.27</w:t>
            </w: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0.26</w:t>
            </w:r>
          </w:p>
        </w:tc>
      </w:tr>
      <w:tr>
        <w:trPr>
          <w:trHeight w:val="153"/>
        </w:trPr>
        <w:tc>
          <w:tcPr>
            <w:tcW w:w="646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 xml:space="preserve">Income tax effect on adjustments </w:t>
            </w:r>
            <w:r>
              <w:rPr>
                <w:rFonts w:ascii="Arial" w:cs="Arial" w:eastAsia="Arial" w:hAnsi="Arial"/>
                <w:sz w:val="15"/>
                <w:szCs w:val="15"/>
                <w:color w:val="auto"/>
                <w:vertAlign w:val="superscript"/>
              </w:rPr>
              <w:t>(1)</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(0.01)</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(0.02)</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(0.04)</w:t>
            </w:r>
          </w:p>
        </w:tc>
        <w:tc>
          <w:tcPr>
            <w:tcW w:w="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(0.06)</w:t>
            </w:r>
          </w:p>
        </w:tc>
      </w:tr>
      <w:tr>
        <w:trPr>
          <w:trHeight w:val="140"/>
        </w:trPr>
        <w:tc>
          <w:tcPr>
            <w:tcW w:w="646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Adjusted Diluted Earnings per share of Common Stock</w:t>
            </w:r>
          </w:p>
        </w:tc>
        <w:tc>
          <w:tcPr>
            <w:tcW w:w="220" w:type="dxa"/>
            <w:vAlign w:val="bottom"/>
            <w:tcBorders>
              <w:bottom w:val="single" w:sz="8" w:color="auto"/>
            </w:tcBorders>
            <w:shd w:val="clear" w:color="auto" w:fill="CCEEFF"/>
          </w:tcPr>
          <w:p>
            <w:pPr>
              <w:jc w:val="right"/>
              <w:ind w:right="80"/>
              <w:spacing w:after="0" w:line="124" w:lineRule="exact"/>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0.31</w:t>
            </w:r>
          </w:p>
        </w:tc>
        <w:tc>
          <w:tcPr>
            <w:tcW w:w="2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0.30</w:t>
            </w:r>
          </w:p>
        </w:tc>
        <w:tc>
          <w:tcPr>
            <w:tcW w:w="3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ind w:right="1"/>
              <w:spacing w:after="0" w:line="124" w:lineRule="exact"/>
              <w:rPr>
                <w:sz w:val="20"/>
                <w:szCs w:val="20"/>
                <w:color w:val="auto"/>
              </w:rPr>
            </w:pPr>
            <w:r>
              <w:rPr>
                <w:rFonts w:ascii="Arial" w:cs="Arial" w:eastAsia="Arial" w:hAnsi="Arial"/>
                <w:sz w:val="12"/>
                <w:szCs w:val="12"/>
                <w:color w:val="auto"/>
              </w:rPr>
              <w:t>0.84</w:t>
            </w: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20"/>
              <w:spacing w:after="0" w:line="124" w:lineRule="exact"/>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0.65</w:t>
            </w:r>
          </w:p>
        </w:tc>
      </w:tr>
    </w:tbl>
    <w:p>
      <w:pPr>
        <w:spacing w:after="0" w:line="162" w:lineRule="exact"/>
        <w:rPr>
          <w:sz w:val="20"/>
          <w:szCs w:val="20"/>
          <w:color w:val="auto"/>
        </w:rPr>
      </w:pPr>
    </w:p>
    <w:p>
      <w:pPr>
        <w:ind w:right="80" w:firstLine="9"/>
        <w:spacing w:after="0" w:line="280" w:lineRule="auto"/>
        <w:tabs>
          <w:tab w:leader="none" w:pos="121" w:val="left"/>
        </w:tabs>
        <w:numPr>
          <w:ilvl w:val="0"/>
          <w:numId w:val="9"/>
        </w:numPr>
        <w:rPr>
          <w:rFonts w:ascii="Arial" w:cs="Arial" w:eastAsia="Arial" w:hAnsi="Arial"/>
          <w:sz w:val="13"/>
          <w:szCs w:val="13"/>
          <w:color w:val="auto"/>
          <w:vertAlign w:val="superscript"/>
        </w:rPr>
      </w:pPr>
      <w:r>
        <w:rPr>
          <w:rFonts w:ascii="Arial" w:cs="Arial" w:eastAsia="Arial" w:hAnsi="Arial"/>
          <w:sz w:val="10"/>
          <w:szCs w:val="10"/>
          <w:color w:val="auto"/>
        </w:rPr>
        <w:t>For the periods subsequent to the Spin-off (March 11, 2022 through June 30, 2022), income tax effect on adjustments was calculated on all items, except for separation costs, using a rate of 24.0%. For the periods prior to the Spin-off (October 1, 2021 through March 10, 2022 and for the three and nine months ended June 30, 2021), income tax effect on adjustments was calculated on all items, except for separation costs, adjustment to TRA liability and NCI adjustment, using a rate of 7.0%, which represents the effective income tax rate on BellRing’s distributive share from BellRing LLC. For the periods prior to the Spin-off, income tax effect for NCI adjustment was calculated using a rate of 0.0%, and income tax effect for adjustment to TRA liability was calculated using a rate of 24.0%. For all periods, income tax effect for separation costs was calculated using a rate of 8.0%.</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220"/>
          </w:cols>
          <w:pgMar w:left="340" w:top="643" w:right="3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1"/>
          <w:szCs w:val="11"/>
          <w:b w:val="1"/>
          <w:bCs w:val="1"/>
          <w:color w:val="auto"/>
        </w:rPr>
        <w:t>RECONCILIATION OF NET EARNINGS AVAILABLE TO COMMON STOCKHOLDERS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EBITDA (Unaudited)</w:t>
      </w:r>
    </w:p>
    <w:p>
      <w:pPr>
        <w:jc w:val="center"/>
        <w:ind w:right="20"/>
        <w:spacing w:after="0"/>
        <w:rPr>
          <w:sz w:val="20"/>
          <w:szCs w:val="20"/>
          <w:color w:val="auto"/>
        </w:rPr>
      </w:pPr>
      <w:r>
        <w:rPr>
          <w:rFonts w:ascii="Arial" w:cs="Arial" w:eastAsia="Arial" w:hAnsi="Arial"/>
          <w:sz w:val="11"/>
          <w:szCs w:val="11"/>
          <w:b w:val="1"/>
          <w:bCs w:val="1"/>
          <w:color w:val="auto"/>
        </w:rPr>
        <w:t>(in millions)</w:t>
      </w:r>
    </w:p>
    <w:tbl>
      <w:tblPr>
        <w:tblLayout w:type="fixed"/>
        <w:tblInd w:w="0" w:type="dxa"/>
        <w:tblCellMar>
          <w:top w:w="0" w:type="dxa"/>
          <w:left w:w="0" w:type="dxa"/>
          <w:bottom w:w="0" w:type="dxa"/>
          <w:right w:w="0" w:type="dxa"/>
        </w:tblCellMar>
      </w:tblPr>
      <w:tr>
        <w:trPr>
          <w:trHeight w:val="123"/>
        </w:trPr>
        <w:tc>
          <w:tcPr>
            <w:tcW w:w="6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gridSpan w:val="4"/>
          </w:tcPr>
          <w:p>
            <w:pPr>
              <w:jc w:val="right"/>
              <w:ind w:right="40"/>
              <w:spacing w:after="0" w:line="123" w:lineRule="exact"/>
              <w:rPr>
                <w:sz w:val="20"/>
                <w:szCs w:val="20"/>
                <w:color w:val="auto"/>
              </w:rPr>
            </w:pPr>
            <w:r>
              <w:rPr>
                <w:rFonts w:ascii="Arial" w:cs="Arial" w:eastAsia="Arial" w:hAnsi="Arial"/>
                <w:sz w:val="11"/>
                <w:szCs w:val="11"/>
                <w:b w:val="1"/>
                <w:bCs w:val="1"/>
                <w:color w:val="auto"/>
                <w:w w:val="90"/>
              </w:rPr>
              <w:t>Three Months Ended</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4"/>
          </w:tcPr>
          <w:p>
            <w:pPr>
              <w:jc w:val="right"/>
              <w:ind w:right="40"/>
              <w:spacing w:after="0" w:line="123" w:lineRule="exact"/>
              <w:rPr>
                <w:sz w:val="20"/>
                <w:szCs w:val="20"/>
                <w:color w:val="auto"/>
              </w:rPr>
            </w:pPr>
            <w:r>
              <w:rPr>
                <w:rFonts w:ascii="Arial" w:cs="Arial" w:eastAsia="Arial" w:hAnsi="Arial"/>
                <w:sz w:val="11"/>
                <w:szCs w:val="11"/>
                <w:b w:val="1"/>
                <w:bCs w:val="1"/>
                <w:color w:val="auto"/>
              </w:rPr>
              <w:t>Nine Months Ended</w:t>
            </w:r>
          </w:p>
        </w:tc>
        <w:tc>
          <w:tcPr>
            <w:tcW w:w="700" w:type="dxa"/>
            <w:vAlign w:val="bottom"/>
          </w:tcPr>
          <w:p>
            <w:pPr>
              <w:spacing w:after="0"/>
              <w:rPr>
                <w:sz w:val="10"/>
                <w:szCs w:val="10"/>
                <w:color w:val="auto"/>
              </w:rPr>
            </w:pPr>
          </w:p>
        </w:tc>
      </w:tr>
      <w:tr>
        <w:trPr>
          <w:trHeight w:val="142"/>
        </w:trPr>
        <w:tc>
          <w:tcPr>
            <w:tcW w:w="61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1"/>
                <w:szCs w:val="11"/>
                <w:b w:val="1"/>
                <w:bCs w:val="1"/>
                <w:color w:val="auto"/>
                <w:w w:val="90"/>
              </w:rPr>
              <w:t>June 30,</w:t>
            </w: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1"/>
                <w:szCs w:val="11"/>
                <w:b w:val="1"/>
                <w:bCs w:val="1"/>
                <w:color w:val="auto"/>
                <w:w w:val="90"/>
              </w:rPr>
              <w:t>June 30,</w:t>
            </w:r>
          </w:p>
        </w:tc>
        <w:tc>
          <w:tcPr>
            <w:tcW w:w="700" w:type="dxa"/>
            <w:vAlign w:val="bottom"/>
            <w:tcBorders>
              <w:bottom w:val="single" w:sz="8" w:color="auto"/>
            </w:tcBorders>
          </w:tcPr>
          <w:p>
            <w:pPr>
              <w:spacing w:after="0"/>
              <w:rPr>
                <w:sz w:val="12"/>
                <w:szCs w:val="12"/>
                <w:color w:val="auto"/>
              </w:rPr>
            </w:pPr>
          </w:p>
        </w:tc>
      </w:tr>
      <w:tr>
        <w:trPr>
          <w:trHeight w:val="133"/>
        </w:trPr>
        <w:tc>
          <w:tcPr>
            <w:tcW w:w="61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60"/>
              <w:spacing w:after="0"/>
              <w:rPr>
                <w:sz w:val="20"/>
                <w:szCs w:val="20"/>
                <w:color w:val="auto"/>
              </w:rPr>
            </w:pPr>
            <w:r>
              <w:rPr>
                <w:rFonts w:ascii="Arial" w:cs="Arial" w:eastAsia="Arial" w:hAnsi="Arial"/>
                <w:sz w:val="11"/>
                <w:szCs w:val="11"/>
                <w:b w:val="1"/>
                <w:bCs w:val="1"/>
                <w:color w:val="auto"/>
                <w:w w:val="89"/>
              </w:rPr>
              <w:t>2021</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2022</w:t>
            </w: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1"/>
                <w:szCs w:val="11"/>
                <w:b w:val="1"/>
                <w:bCs w:val="1"/>
                <w:color w:val="auto"/>
                <w:w w:val="97"/>
              </w:rPr>
              <w:t>2021</w:t>
            </w:r>
          </w:p>
        </w:tc>
      </w:tr>
      <w:tr>
        <w:trPr>
          <w:trHeight w:val="144"/>
        </w:trPr>
        <w:tc>
          <w:tcPr>
            <w:tcW w:w="6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Available to Common Stockholders</w:t>
            </w:r>
          </w:p>
        </w:tc>
        <w:tc>
          <w:tcPr>
            <w:tcW w:w="640" w:type="dxa"/>
            <w:vAlign w:val="bottom"/>
            <w:shd w:val="clear" w:color="auto" w:fill="CCEEFF"/>
          </w:tcPr>
          <w:p>
            <w:pPr>
              <w:jc w:val="right"/>
              <w:ind w:right="53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w:t>
            </w: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9.5</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48.6</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17.9</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Income tax expense</w:t>
            </w:r>
          </w:p>
        </w:tc>
        <w:tc>
          <w:tcPr>
            <w:tcW w:w="6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12.5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3.4</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5.8</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9.5</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33.6</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Depreciation and amortization, including accelerated depreciation and amortization</w:t>
            </w:r>
          </w:p>
        </w:tc>
        <w:tc>
          <w:tcPr>
            <w:tcW w:w="6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17.7</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48.3</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Loss on extinguishment and refinancing of debt, net</w:t>
            </w: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1.6</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Separation costs</w:t>
            </w:r>
          </w:p>
        </w:tc>
        <w:tc>
          <w:tcPr>
            <w:tcW w:w="6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0.9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w:t>
            </w: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1.8</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5.4</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Restructuring and facility closure costs, excluding accelerated depreciation</w:t>
            </w:r>
          </w:p>
        </w:tc>
        <w:tc>
          <w:tcPr>
            <w:tcW w:w="6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5.3</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Resolution of dispute with former contract manufacturer</w:t>
            </w: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Foreign currency loss (gain) on intercompany loans</w:t>
            </w:r>
          </w:p>
        </w:tc>
        <w:tc>
          <w:tcPr>
            <w:tcW w:w="6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0.4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(0.1)</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(0.1)</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Mark-to-market adjustments on commodity hedges</w:t>
            </w: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Adjustment to TRA liability</w:t>
            </w:r>
          </w:p>
        </w:tc>
        <w:tc>
          <w:tcPr>
            <w:tcW w:w="6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(0.4)</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(0.4)</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Net earnings attributable to redeemable noncontrolling interest</w:t>
            </w:r>
          </w:p>
        </w:tc>
        <w:tc>
          <w:tcPr>
            <w:tcW w:w="6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29.0</w:t>
            </w:r>
          </w:p>
        </w:tc>
        <w:tc>
          <w:tcPr>
            <w:tcW w:w="3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33.7</w:t>
            </w:r>
          </w:p>
        </w:tc>
        <w:tc>
          <w:tcPr>
            <w:tcW w:w="1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56.0</w:t>
            </w:r>
          </w:p>
        </w:tc>
      </w:tr>
      <w:tr>
        <w:trPr>
          <w:trHeight w:val="158"/>
        </w:trPr>
        <w:tc>
          <w:tcPr>
            <w:tcW w:w="6180" w:type="dxa"/>
            <w:vAlign w:val="bottom"/>
          </w:tcPr>
          <w:p>
            <w:pPr>
              <w:spacing w:after="0"/>
              <w:rPr>
                <w:sz w:val="20"/>
                <w:szCs w:val="20"/>
                <w:color w:val="auto"/>
              </w:rPr>
            </w:pPr>
            <w:r>
              <w:rPr>
                <w:rFonts w:ascii="Arial" w:cs="Arial" w:eastAsia="Arial" w:hAnsi="Arial"/>
                <w:sz w:val="12"/>
                <w:szCs w:val="12"/>
                <w:b w:val="1"/>
                <w:bCs w:val="1"/>
                <w:color w:val="auto"/>
              </w:rPr>
              <w:t>Adjusted EBITDA</w:t>
            </w:r>
          </w:p>
        </w:tc>
        <w:tc>
          <w:tcPr>
            <w:tcW w:w="640" w:type="dxa"/>
            <w:vAlign w:val="bottom"/>
          </w:tcPr>
          <w:p>
            <w:pPr>
              <w:jc w:val="right"/>
              <w:ind w:right="53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80.8</w:t>
            </w:r>
          </w:p>
        </w:tc>
        <w:tc>
          <w:tcPr>
            <w:tcW w:w="74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70.5</w:t>
            </w:r>
          </w:p>
        </w:tc>
        <w:tc>
          <w:tcPr>
            <w:tcW w:w="340" w:type="dxa"/>
            <w:vAlign w:val="bottom"/>
          </w:tcPr>
          <w:p>
            <w:pPr>
              <w:spacing w:after="0"/>
              <w:rPr>
                <w:sz w:val="13"/>
                <w:szCs w:val="13"/>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191.5</w:t>
            </w:r>
          </w:p>
        </w:tc>
        <w:tc>
          <w:tcPr>
            <w:tcW w:w="72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173.4</w:t>
            </w:r>
          </w:p>
        </w:tc>
      </w:tr>
      <w:tr>
        <w:trPr>
          <w:trHeight w:val="169"/>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Adjusted EBITDA as a percentage of Net Sales</w:t>
            </w: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21.8 %</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20.6 %</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19.3 %</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220"/>
          </w:cols>
          <w:pgMar w:left="340" w:top="751" w:right="339" w:bottom="1440"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0"/>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2022-08-04T16:49:09Z</dcterms:created>
  <dcterms:modified xsi:type="dcterms:W3CDTF">2022-08-04T16:49:09Z</dcterms:modified>
</cp:coreProperties>
</file>