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BellRing Brands,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079823100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306070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CUSIP No. 079823100</w:t>
            </w:r>
          </w:p>
        </w:tc>
        <w:tc>
          <w:tcPr>
            <w:tcW w:w="120" w:type="dxa"/>
            <w:vAlign w:val="bottom"/>
          </w:tcPr>
          <w:p>
            <w:pPr>
              <w:spacing w:after="0"/>
              <w:rPr>
                <w:sz w:val="20"/>
                <w:szCs w:val="20"/>
                <w:color w:val="auto"/>
              </w:rPr>
            </w:pPr>
          </w:p>
        </w:tc>
        <w:tc>
          <w:tcPr>
            <w:tcW w:w="6880" w:type="dxa"/>
            <w:vAlign w:val="bottom"/>
          </w:tcPr>
          <w:p>
            <w:pPr>
              <w:ind w:left="3220"/>
              <w:spacing w:after="0"/>
              <w:rPr>
                <w:sz w:val="20"/>
                <w:szCs w:val="20"/>
                <w:color w:val="auto"/>
              </w:rPr>
            </w:pPr>
            <w:r>
              <w:rPr>
                <w:rFonts w:ascii="Arial" w:cs="Arial" w:eastAsia="Arial" w:hAnsi="Arial"/>
                <w:sz w:val="18"/>
                <w:szCs w:val="18"/>
                <w:b w:val="1"/>
                <w:bCs w:val="1"/>
                <w:color w:val="auto"/>
              </w:rPr>
              <w:t>SCHEDULE 13G</w:t>
            </w:r>
          </w:p>
        </w:tc>
        <w:tc>
          <w:tcPr>
            <w:tcW w:w="2300" w:type="dxa"/>
            <w:vAlign w:val="bottom"/>
            <w:gridSpan w:val="2"/>
          </w:tcPr>
          <w:p>
            <w:pPr>
              <w:ind w:left="980"/>
              <w:spacing w:after="0"/>
              <w:rPr>
                <w:sz w:val="20"/>
                <w:szCs w:val="20"/>
                <w:color w:val="auto"/>
              </w:rPr>
            </w:pPr>
            <w:r>
              <w:rPr>
                <w:rFonts w:ascii="Arial" w:cs="Arial" w:eastAsia="Arial" w:hAnsi="Arial"/>
                <w:sz w:val="18"/>
                <w:szCs w:val="18"/>
                <w:b w:val="1"/>
                <w:bCs w:val="1"/>
                <w:color w:val="auto"/>
                <w:w w:val="84"/>
              </w:rPr>
              <w:t>Page 2 of 5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828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2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Aristeia Capital, L.L.C. (1)</w:t>
            </w: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828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70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828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6880" w:type="dxa"/>
            <w:vAlign w:val="bottom"/>
            <w:tcBorders>
              <w:bottom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828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3,616,266</w:t>
            </w: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70"/>
              <w:spacing w:after="0" w:line="182" w:lineRule="exact"/>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5"/>
                <w:szCs w:val="15"/>
                <w:color w:val="auto"/>
              </w:rPr>
            </w:pPr>
          </w:p>
        </w:tc>
        <w:tc>
          <w:tcPr>
            <w:tcW w:w="688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2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0</w:t>
            </w:r>
          </w:p>
        </w:tc>
        <w:tc>
          <w:tcPr>
            <w:tcW w:w="2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1"/>
                <w:szCs w:val="11"/>
                <w:color w:val="auto"/>
              </w:rPr>
            </w:pPr>
          </w:p>
        </w:tc>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2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380" w:type="dxa"/>
            <w:vAlign w:val="bottom"/>
            <w:tcBorders>
              <w:left w:val="single" w:sz="8" w:color="auto"/>
            </w:tcBorders>
            <w:gridSpan w:val="3"/>
            <w:vMerge w:val="restart"/>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8"/>
                <w:szCs w:val="8"/>
                <w:color w:val="auto"/>
              </w:rPr>
            </w:pPr>
          </w:p>
        </w:tc>
        <w:tc>
          <w:tcPr>
            <w:tcW w:w="20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880" w:type="dxa"/>
            <w:vAlign w:val="bottom"/>
            <w:vMerge w:val="continue"/>
          </w:tcPr>
          <w:p>
            <w:pPr>
              <w:spacing w:after="0"/>
              <w:rPr>
                <w:sz w:val="8"/>
                <w:szCs w:val="8"/>
                <w:color w:val="auto"/>
              </w:rPr>
            </w:pPr>
          </w:p>
        </w:tc>
        <w:tc>
          <w:tcPr>
            <w:tcW w:w="2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80" w:type="dxa"/>
            <w:vAlign w:val="bottom"/>
            <w:tcBorders>
              <w:left w:val="single" w:sz="8" w:color="auto"/>
            </w:tcBorders>
            <w:gridSpan w:val="3"/>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8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3,616,266</w:t>
            </w:r>
          </w:p>
        </w:tc>
        <w:tc>
          <w:tcPr>
            <w:tcW w:w="2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40" w:type="dxa"/>
            <w:vAlign w:val="bottom"/>
            <w:tcBorders>
              <w:lef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8"/>
                <w:szCs w:val="8"/>
                <w:color w:val="auto"/>
              </w:rPr>
            </w:pPr>
          </w:p>
        </w:tc>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80" w:type="dxa"/>
            <w:vAlign w:val="bottom"/>
            <w:vMerge w:val="continue"/>
          </w:tcPr>
          <w:p>
            <w:pPr>
              <w:spacing w:after="0"/>
              <w:rPr>
                <w:sz w:val="11"/>
                <w:szCs w:val="11"/>
                <w:color w:val="auto"/>
              </w:rPr>
            </w:pPr>
          </w:p>
        </w:tc>
        <w:tc>
          <w:tcPr>
            <w:tcW w:w="2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gridSpan w:val="2"/>
          </w:tcPr>
          <w:p>
            <w:pPr>
              <w:spacing w:after="0"/>
              <w:rPr>
                <w:sz w:val="24"/>
                <w:szCs w:val="24"/>
                <w:color w:val="auto"/>
              </w:rPr>
            </w:pPr>
          </w:p>
        </w:tc>
        <w:tc>
          <w:tcPr>
            <w:tcW w:w="320" w:type="dxa"/>
            <w:vAlign w:val="bottom"/>
            <w:tcBorders>
              <w:bottom w:val="single" w:sz="8" w:color="auto"/>
              <w:right w:val="single" w:sz="8" w:color="auto"/>
            </w:tcBorders>
            <w:gridSpan w:val="2"/>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3,616,266</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8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2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828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9.28%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8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tc>
        <w:tc>
          <w:tcPr>
            <w:tcW w:w="2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IA, 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60" w:hanging="424"/>
        <w:spacing w:after="0" w:line="258"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Aristeia Capital, L.L.C. is the investment manager of, and has voting and investment control with respect to the securities described herein held by, one or more private investment funds.</w:t>
      </w:r>
    </w:p>
    <w:p>
      <w:pPr>
        <w:spacing w:after="0" w:line="1" w:lineRule="exact"/>
        <w:rPr>
          <w:rFonts w:ascii="Arial" w:cs="Arial" w:eastAsia="Arial" w:hAnsi="Arial"/>
          <w:sz w:val="18"/>
          <w:szCs w:val="18"/>
          <w:color w:val="auto"/>
        </w:rPr>
      </w:pPr>
    </w:p>
    <w:p>
      <w:pPr>
        <w:ind w:left="424" w:right="140" w:hanging="424"/>
        <w:spacing w:after="0" w:line="26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38,965,178 shares Class A Common Stock of the Issuer outstanding as of December 29, 2021, as reported in the Issuer’s Schedule 14A filed with the Securities and Exchange Commission (the “SEC”) on December 29, 2021.</w:t>
      </w:r>
    </w:p>
    <w:p>
      <w:pPr>
        <w:sectPr>
          <w:pgSz w:w="11900" w:h="16838" w:orient="portrait"/>
          <w:cols w:equalWidth="0" w:num="1">
            <w:col w:w="11024"/>
          </w:cols>
          <w:pgMar w:left="436" w:top="270" w:right="4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CUSIP No. 079823100</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-206375</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5 Pages</w:t>
      </w:r>
    </w:p>
    <w:p>
      <w:pPr>
        <w:spacing w:after="0" w:line="191" w:lineRule="exact"/>
        <w:rPr>
          <w:sz w:val="20"/>
          <w:szCs w:val="20"/>
          <w:color w:val="auto"/>
        </w:rPr>
      </w:pPr>
    </w:p>
    <w:p>
      <w:pPr>
        <w:sectPr>
          <w:pgSz w:w="11900" w:h="16838" w:orient="portrait"/>
          <w:cols w:equalWidth="0" w:num="3">
            <w:col w:w="4340" w:space="720"/>
            <w:col w:w="3920" w:space="720"/>
            <w:col w:w="1320"/>
          </w:cols>
          <w:pgMar w:left="440" w:top="270" w:right="439" w:bottom="1440" w:gutter="0" w:footer="0" w:header="0"/>
        </w:sect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BellRing Brands, Inc.</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2503 S. Hanley Road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St. Louis, Missouri 63144</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Aristeia Capital,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Greenwich Plaza,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Delaware limited liability company</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Common Stock, $0.01 par value per share</w:t>
      </w:r>
    </w:p>
    <w:p>
      <w:pPr>
        <w:sectPr>
          <w:pgSz w:w="11900" w:h="16838" w:orient="portrait"/>
          <w:cols w:equalWidth="0" w:num="1">
            <w:col w:w="11020"/>
          </w:cols>
          <w:pgMar w:left="440" w:top="270" w:right="43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133" w:lineRule="exact"/>
        <w:rPr>
          <w:sz w:val="20"/>
          <w:szCs w:val="20"/>
          <w:color w:val="auto"/>
        </w:rPr>
      </w:pPr>
    </w:p>
    <w:p>
      <w:pPr>
        <w:sectPr>
          <w:pgSz w:w="11900" w:h="16838" w:orient="portrait"/>
          <w:cols w:equalWidth="0" w:num="2">
            <w:col w:w="740" w:space="240"/>
            <w:col w:w="10040"/>
          </w:cols>
          <w:pgMar w:left="440" w:top="270" w:right="4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079823100</w:t>
      </w:r>
    </w:p>
    <w:p>
      <w:pPr>
        <w:sectPr>
          <w:pgSz w:w="11900" w:h="16838" w:orient="portrait"/>
          <w:cols w:equalWidth="0" w:num="1">
            <w:col w:w="11020"/>
          </w:cols>
          <w:pgMar w:left="440" w:top="270" w:right="439" w:bottom="1440" w:gutter="0" w:footer="0" w:header="0"/>
          <w:type w:val="continuous"/>
        </w:sectPr>
      </w:pP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200" w:hanging="213"/>
        <w:spacing w:after="0"/>
        <w:tabs>
          <w:tab w:leader="none" w:pos="12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An investment adviser in accordance with § 240.13d-1(b)(1)(ii)(E).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The following is information regarding the aggregate number and percentage of the class of securities of the issuer identified in Item 1 as of 12/31/2021.</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Items 5-9 and 11 of the cover page to this Schedule 13G are incorporated herein by reference. :</w:t>
      </w:r>
    </w:p>
    <w:p>
      <w:pPr>
        <w:spacing w:after="0" w:line="131" w:lineRule="exact"/>
        <w:rPr>
          <w:sz w:val="20"/>
          <w:szCs w:val="20"/>
          <w:color w:val="auto"/>
        </w:rPr>
      </w:pPr>
    </w:p>
    <w:p>
      <w:pPr>
        <w:ind w:left="1420" w:hanging="439"/>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3,616,266</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9.28%</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 3,616,266</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ectPr>
          <w:pgSz w:w="11900" w:h="16838" w:orient="portrait"/>
          <w:cols w:equalWidth="0" w:num="1">
            <w:col w:w="11020"/>
          </w:cols>
          <w:pgMar w:left="440" w:top="270" w:right="439" w:bottom="1440" w:gutter="0" w:footer="0" w:header="0"/>
          <w:type w:val="continuous"/>
        </w:sectPr>
      </w:pPr>
    </w:p>
    <w:bookmarkStart w:id="3" w:name="page4"/>
    <w:bookmarkEnd w:id="3"/>
    <w:p>
      <w:pPr>
        <w:spacing w:after="0"/>
        <w:tabs>
          <w:tab w:leader="none" w:pos="5040" w:val="left"/>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079823100</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4 of 5 Pages</w:t>
      </w:r>
    </w:p>
    <w:p>
      <w:pPr>
        <w:spacing w:after="0" w:line="162" w:lineRule="exact"/>
        <w:rPr>
          <w:sz w:val="20"/>
          <w:szCs w:val="20"/>
          <w:color w:val="auto"/>
        </w:rPr>
      </w:pPr>
    </w:p>
    <w:p>
      <w:pPr>
        <w:ind w:left="1960" w:hanging="533"/>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3,616,266</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0</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80" w:right="4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6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Certification pursuant to §240.13d-1(b):</w:t>
      </w:r>
    </w:p>
    <w:p>
      <w:pPr>
        <w:spacing w:after="0" w:line="117" w:lineRule="exact"/>
        <w:rPr>
          <w:sz w:val="20"/>
          <w:szCs w:val="20"/>
          <w:color w:val="auto"/>
        </w:rPr>
      </w:pPr>
    </w:p>
    <w:p>
      <w:pPr>
        <w:ind w:left="980" w:right="2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40" w:top="270" w:right="439" w:bottom="1440" w:gutter="0" w:footer="0" w:header="0"/>
        </w:sectPr>
      </w:pPr>
    </w:p>
    <w:bookmarkStart w:id="4" w:name="page5"/>
    <w:bookmarkEnd w:id="4"/>
    <w:p>
      <w:pPr>
        <w:spacing w:after="0"/>
        <w:tabs>
          <w:tab w:leader="none" w:pos="5040" w:val="left"/>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079823100</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5 of 5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2/14/2022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ARISTEIA CAPITAL,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B.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Andrew B. David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Operating Officer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2022-02-14T07:18:13Z</dcterms:created>
  <dcterms:modified xsi:type="dcterms:W3CDTF">2022-02-14T07:18:13Z</dcterms:modified>
</cp:coreProperties>
</file>