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31, 2025 (January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432435</wp:posOffset>
            </wp:positionV>
            <wp:extent cx="148272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 Louis</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63144</w:t>
      </w:r>
    </w:p>
    <w:p>
      <w:pPr>
        <w:spacing w:after="0" w:line="43" w:lineRule="exact"/>
        <w:rPr>
          <w:sz w:val="24"/>
          <w:szCs w:val="24"/>
          <w:color w:val="auto"/>
        </w:rPr>
      </w:pPr>
    </w:p>
    <w:p>
      <w:pPr>
        <w:sectPr>
          <w:pgSz w:w="11900" w:h="16838" w:orient="portrait"/>
          <w:cols w:equalWidth="0" w:num="4">
            <w:col w:w="3120" w:space="720"/>
            <w:col w:w="2060" w:space="720"/>
            <w:col w:w="2140" w:space="720"/>
            <w:col w:w="1540"/>
          </w:cols>
          <w:pgMar w:left="440" w:top="376" w:right="4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640" w:space="720"/>
            <w:col w:w="166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5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BellRing Brands, Inc. (the “Company”) held its annual meeting of stockholders (the “Annual Meeting”) entirely virtually, conducted via a live audio-only webcast on Tuesday, January 28, 2025. Upon stockholder approval at the Annual Meeting of the Certificate of Amendment to the Company’s Certificate of Incorporation to declassify the Company’s Board of Directors as described in Proposal 1 under Item 5.07 below, the Certificate of Amendment and Amendment to the Company’s Bylaws included with the Company’s definitive proxy statement on Schedule 14A as filed with the Securities and Exchange Commission on December 17, 2024 and supplemented on January 3, 2025 became effective with the filing of that Certificate of Amendment with the Delaware Secretary of State on January 28, 2025.</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the adoption of these amendments, the Company’s Restated Certificate of Incorporation and Amended and Restated Bylaws became effective with the filing of the Restated Certificate of Incorporation with the Delaware Secretary of State on January 31, 2025. In accordance with Section 245 of the Delaware General Corporation Law, the Restated Certificate of Incorporation restated the provisions of the Company’s Certificate of Incorporation as theretofore amended or supplemented and only omitted certain provisions of the original Certificate of Incorporation which named the incorporator. The Amended and Restated Bylaws restated the provisions of the Company’s Bylaws as theretofore amended or supplemented and only omitted certain provisions addressing notice periods relating to the Company’s first annual meeting of stockholders following its initial public offering that had already lapsed.</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Copies of the Company’s Restated Certificate of Incorporation and Amended and Restated Bylaws are attached hereto as Exhibits 3.1 and 3.2, respectively,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of the 128,975,315 shares outstanding and entitled to vote, 109,791,916 shares were represented, constituting a 85.1% quorum.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 for each of the matters submitted to a vote of the stockholders at the Annual Meeting are as follows:</w:t>
      </w:r>
    </w:p>
    <w:p>
      <w:pPr>
        <w:spacing w:after="0" w:line="20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xml:space="preserve">  An amendment to the Company’s Certificate of Incorporation to declassify the Company’s Board of Directors was approved by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For</w:t>
            </w:r>
          </w:p>
        </w:tc>
        <w:tc>
          <w:tcPr>
            <w:tcW w:w="22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Against</w:t>
            </w:r>
          </w:p>
        </w:tc>
        <w:tc>
          <w:tcPr>
            <w:tcW w:w="23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Abstain</w:t>
            </w:r>
          </w:p>
        </w:tc>
        <w:tc>
          <w:tcPr>
            <w:tcW w:w="2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Broker Non-Votes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85"/>
        </w:trPr>
        <w:tc>
          <w:tcPr>
            <w:tcW w:w="21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Cast For</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105,095,580</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53,605</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4,621,390</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xml:space="preserve">  Each of the nominees for director were elected to serve until the Company’s annual meeting of stockholders to be held in 2026 or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successors are elected and qualified, by the votes set forth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Nominee</w:t>
            </w:r>
          </w:p>
        </w:tc>
        <w:tc>
          <w:tcPr>
            <w:tcW w:w="2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For</w:t>
            </w:r>
          </w:p>
        </w:tc>
        <w:tc>
          <w:tcPr>
            <w:tcW w:w="232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color w:val="auto"/>
              </w:rPr>
              <w:t>Withhold</w:t>
            </w:r>
          </w:p>
        </w:tc>
        <w:tc>
          <w:tcPr>
            <w:tcW w:w="2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Broker Non-Votes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85"/>
        </w:trPr>
        <w:tc>
          <w:tcPr>
            <w:tcW w:w="21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Cast For</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Robert V. Vitale</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96,275,828</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8,894,698</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4,621,390</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0" w:type="dxa"/>
            <w:vAlign w:val="bottom"/>
          </w:tcPr>
          <w:p>
            <w:pPr>
              <w:spacing w:after="0"/>
              <w:rPr>
                <w:sz w:val="1"/>
                <w:szCs w:val="1"/>
                <w:color w:val="auto"/>
              </w:rPr>
            </w:pPr>
          </w:p>
        </w:tc>
      </w:tr>
      <w:tr>
        <w:trPr>
          <w:trHeight w:val="234"/>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Chonda J. Nwamu</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103,081,558</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2,088,968</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4,621,390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98.0%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w:t>
      </w:r>
      <w:r>
        <w:rPr>
          <w:rFonts w:ascii="Times New Roman" w:cs="Times New Roman" w:eastAsia="Times New Roman" w:hAnsi="Times New Roman"/>
          <w:sz w:val="18"/>
          <w:szCs w:val="18"/>
          <w:color w:val="auto"/>
        </w:rPr>
        <w:t xml:space="preserve">  The appointment of PricewaterhouseCoopers LLP as the Company’s independent registered public accounting firm for fiscal year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ratified by the stockholders, by the votes set forth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color w:val="auto"/>
              </w:rPr>
              <w:t>For</w:t>
            </w:r>
          </w:p>
        </w:tc>
        <w:tc>
          <w:tcPr>
            <w:tcW w:w="27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Against</w:t>
            </w:r>
          </w:p>
        </w:tc>
        <w:tc>
          <w:tcPr>
            <w:tcW w:w="2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color w:val="auto"/>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85"/>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Cast For</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109,421,524</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 xml:space="preserve">  The Company’s executive compensation as described in the Company’s Definitive Proxy Statement on Schedule 14A as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on December 17, 2024, was approved by the non-binding advisory votes of the stockholders set forth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For</w:t>
            </w:r>
          </w:p>
        </w:tc>
        <w:tc>
          <w:tcPr>
            <w:tcW w:w="22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Against</w:t>
            </w:r>
          </w:p>
        </w:tc>
        <w:tc>
          <w:tcPr>
            <w:tcW w:w="23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Abstain</w:t>
            </w:r>
          </w:p>
        </w:tc>
        <w:tc>
          <w:tcPr>
            <w:tcW w:w="2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Broker Non-Votes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85"/>
        </w:trPr>
        <w:tc>
          <w:tcPr>
            <w:tcW w:w="21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Cast For</w:t>
            </w: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100,918,725</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4,058,686</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4,621,390</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Proposal 5:</w:t>
      </w:r>
      <w:r>
        <w:rPr>
          <w:rFonts w:ascii="Times New Roman" w:cs="Times New Roman" w:eastAsia="Times New Roman" w:hAnsi="Times New Roman"/>
          <w:sz w:val="18"/>
          <w:szCs w:val="18"/>
          <w:color w:val="auto"/>
        </w:rPr>
        <w:t xml:space="preserve">  A stockholder proposal to adopt a director election resignation guideline was rejected by the stockholders, by the votes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For</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Against</w:t>
            </w:r>
          </w:p>
        </w:tc>
        <w:tc>
          <w:tcPr>
            <w:tcW w:w="2720" w:type="dxa"/>
            <w:vAlign w:val="bottom"/>
            <w:gridSpan w:val="5"/>
            <w:vMerge w:val="restart"/>
          </w:tcPr>
          <w:p>
            <w:pPr>
              <w:ind w:left="880"/>
              <w:spacing w:after="0"/>
              <w:rPr>
                <w:sz w:val="20"/>
                <w:szCs w:val="20"/>
                <w:color w:val="auto"/>
              </w:rPr>
            </w:pPr>
            <w:r>
              <w:rPr>
                <w:rFonts w:ascii="Times New Roman" w:cs="Times New Roman" w:eastAsia="Times New Roman" w:hAnsi="Times New Roman"/>
                <w:sz w:val="14"/>
                <w:szCs w:val="14"/>
                <w:color w:val="auto"/>
              </w:rPr>
              <w:t>Abstain</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Broker Non-Votes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 of</w:t>
            </w:r>
          </w:p>
        </w:tc>
        <w:tc>
          <w:tcPr>
            <w:tcW w:w="0" w:type="dxa"/>
            <w:vAlign w:val="bottom"/>
          </w:tcPr>
          <w:p>
            <w:pPr>
              <w:spacing w:after="0"/>
              <w:rPr>
                <w:sz w:val="1"/>
                <w:szCs w:val="1"/>
                <w:color w:val="auto"/>
              </w:rPr>
            </w:pPr>
          </w:p>
        </w:tc>
      </w:tr>
      <w:tr>
        <w:trPr>
          <w:trHeight w:val="185"/>
        </w:trPr>
        <w:tc>
          <w:tcPr>
            <w:tcW w:w="11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Votes Cast For</w:t>
            </w:r>
          </w:p>
        </w:tc>
        <w:tc>
          <w:tcPr>
            <w:tcW w:w="0" w:type="dxa"/>
            <w:vAlign w:val="bottom"/>
          </w:tcPr>
          <w:p>
            <w:pPr>
              <w:spacing w:after="0"/>
              <w:rPr>
                <w:sz w:val="1"/>
                <w:szCs w:val="1"/>
                <w:color w:val="auto"/>
              </w:rPr>
            </w:pPr>
          </w:p>
        </w:tc>
      </w:tr>
      <w:tr>
        <w:trPr>
          <w:trHeight w:val="209"/>
        </w:trPr>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20,050,006</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84,845,304</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275,216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4,621,390</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0" w:type="dxa"/>
            <w:vAlign w:val="bottom"/>
          </w:tcPr>
          <w:p>
            <w:pPr>
              <w:spacing w:after="0"/>
              <w:rPr>
                <w:sz w:val="1"/>
                <w:szCs w:val="1"/>
                <w:color w:val="auto"/>
              </w:rPr>
            </w:pPr>
          </w:p>
        </w:tc>
      </w:tr>
      <w:tr>
        <w:trPr>
          <w:trHeight w:val="540"/>
        </w:trPr>
        <w:tc>
          <w:tcPr>
            <w:tcW w:w="4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60" w:type="dxa"/>
            <w:vAlign w:val="bottom"/>
            <w:tcBorders>
              <w:top w:val="single" w:sz="8" w:color="auto"/>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Restated Certificate of Incorporation of BellRing Brands, Inc.</w:t>
            </w:r>
          </w:p>
        </w:tc>
        <w:tc>
          <w:tcPr>
            <w:tcW w:w="620" w:type="dxa"/>
            <w:vAlign w:val="bottom"/>
            <w:tcBorders>
              <w:top w:val="single" w:sz="8" w:color="auto"/>
            </w:tcBorders>
            <w:gridSpan w:val="3"/>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Amended and Restated Bylaws of BellRing Brands, Inc.</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5" w:right="439" w:bottom="1440" w:gutter="0" w:footer="0" w:header="0"/>
        </w:sectPr>
      </w:pPr>
    </w:p>
    <w:bookmarkStart w:id="3" w:name="page4"/>
    <w:bookmarkEnd w:id="3"/>
    <w:p>
      <w:pPr>
        <w:ind w:right="7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2025</w:t>
            </w:r>
          </w:p>
        </w:tc>
        <w:tc>
          <w:tcPr>
            <w:tcW w:w="746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234"/>
        </w:trPr>
        <w:tc>
          <w:tcPr>
            <w:tcW w:w="3560" w:type="dxa"/>
            <w:vAlign w:val="bottom"/>
          </w:tcPr>
          <w:p>
            <w:pPr>
              <w:spacing w:after="0"/>
              <w:rPr>
                <w:sz w:val="20"/>
                <w:szCs w:val="20"/>
                <w:color w:val="auto"/>
              </w:rPr>
            </w:pPr>
          </w:p>
        </w:tc>
        <w:tc>
          <w:tcPr>
            <w:tcW w:w="746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60" w:type="dxa"/>
            <w:vAlign w:val="bottom"/>
          </w:tcPr>
          <w:p>
            <w:pPr>
              <w:spacing w:after="0"/>
              <w:rPr>
                <w:sz w:val="24"/>
                <w:szCs w:val="24"/>
                <w:color w:val="auto"/>
              </w:rPr>
            </w:pPr>
          </w:p>
        </w:tc>
        <w:tc>
          <w:tcPr>
            <w:tcW w:w="31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Rosenthal</w:t>
            </w:r>
          </w:p>
        </w:tc>
      </w:tr>
      <w:tr>
        <w:trPr>
          <w:trHeight w:val="205"/>
        </w:trPr>
        <w:tc>
          <w:tcPr>
            <w:tcW w:w="3560" w:type="dxa"/>
            <w:vAlign w:val="bottom"/>
          </w:tcPr>
          <w:p>
            <w:pPr>
              <w:spacing w:after="0"/>
              <w:rPr>
                <w:sz w:val="17"/>
                <w:szCs w:val="17"/>
                <w:color w:val="auto"/>
              </w:rPr>
            </w:pPr>
          </w:p>
        </w:tc>
        <w:tc>
          <w:tcPr>
            <w:tcW w:w="3160" w:type="dxa"/>
            <w:vAlign w:val="bottom"/>
          </w:tcPr>
          <w:p>
            <w:pPr>
              <w:ind w:left="23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Rosenthal</w:t>
            </w:r>
          </w:p>
        </w:tc>
      </w:tr>
      <w:tr>
        <w:trPr>
          <w:trHeight w:val="234"/>
        </w:trPr>
        <w:tc>
          <w:tcPr>
            <w:tcW w:w="3560" w:type="dxa"/>
            <w:vAlign w:val="bottom"/>
          </w:tcPr>
          <w:p>
            <w:pPr>
              <w:spacing w:after="0"/>
              <w:rPr>
                <w:sz w:val="20"/>
                <w:szCs w:val="20"/>
                <w:color w:val="auto"/>
              </w:rPr>
            </w:pPr>
          </w:p>
        </w:tc>
        <w:tc>
          <w:tcPr>
            <w:tcW w:w="31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364"/>
        </w:trPr>
        <w:tc>
          <w:tcPr>
            <w:tcW w:w="3560" w:type="dxa"/>
            <w:vAlign w:val="bottom"/>
          </w:tcPr>
          <w:p>
            <w:pPr>
              <w:spacing w:after="0"/>
              <w:rPr>
                <w:sz w:val="24"/>
                <w:szCs w:val="24"/>
                <w:color w:val="auto"/>
              </w:rPr>
            </w:pPr>
          </w:p>
        </w:tc>
        <w:tc>
          <w:tcPr>
            <w:tcW w:w="3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4</w:t>
            </w:r>
          </w:p>
        </w:tc>
        <w:tc>
          <w:tcPr>
            <w:tcW w:w="430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Craig Rosenthal hereby certifies that:</w:t>
      </w:r>
    </w:p>
    <w:p>
      <w:pPr>
        <w:spacing w:after="0" w:line="203" w:lineRule="exact"/>
        <w:rPr>
          <w:sz w:val="20"/>
          <w:szCs w:val="20"/>
          <w:color w:val="auto"/>
        </w:rPr>
      </w:pPr>
    </w:p>
    <w:p>
      <w:pPr>
        <w:ind w:right="7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name of the corporation is BellRing Brands, Inc. and the date of filing the original Certificate of Incorporation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with the Secretary of State of the State of Delaware was March 10, 2022.</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TWO</w:t>
      </w:r>
      <w:r>
        <w:rPr>
          <w:rFonts w:ascii="Times New Roman" w:cs="Times New Roman" w:eastAsia="Times New Roman" w:hAnsi="Times New Roman"/>
          <w:sz w:val="18"/>
          <w:szCs w:val="18"/>
          <w:color w:val="auto"/>
        </w:rPr>
        <w:t>: He is the duly elected and acting Chief Legal Officer and Secretary of BellRing Brands, Inc., a corporation organized and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(the “Corporation”).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THREE</w:t>
      </w:r>
      <w:r>
        <w:rPr>
          <w:rFonts w:ascii="Times New Roman" w:cs="Times New Roman" w:eastAsia="Times New Roman" w:hAnsi="Times New Roman"/>
          <w:sz w:val="18"/>
          <w:szCs w:val="18"/>
          <w:color w:val="auto"/>
        </w:rPr>
        <w:t>: The Certificate of Incorporation of the Corporation is hereby restated to read in its entirety as follows:</w:t>
      </w:r>
    </w:p>
    <w:p>
      <w:pPr>
        <w:spacing w:after="0" w:line="229"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BellRing Brands, Inc.</w:t>
      </w:r>
    </w:p>
    <w:p>
      <w:pPr>
        <w:spacing w:after="0" w:line="225" w:lineRule="exact"/>
        <w:rPr>
          <w:rFonts w:ascii="Times New Roman" w:cs="Times New Roman" w:eastAsia="Times New Roman" w:hAnsi="Times New Roman"/>
          <w:sz w:val="18"/>
          <w:szCs w:val="18"/>
          <w:color w:val="auto"/>
        </w:rPr>
      </w:pPr>
    </w:p>
    <w:p>
      <w:pPr>
        <w:ind w:right="280" w:firstLine="436"/>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Registered Office and Agent.</w:t>
      </w:r>
      <w:r>
        <w:rPr>
          <w:rFonts w:ascii="Times New Roman" w:cs="Times New Roman" w:eastAsia="Times New Roman" w:hAnsi="Times New Roman"/>
          <w:sz w:val="18"/>
          <w:szCs w:val="18"/>
          <w:color w:val="auto"/>
        </w:rPr>
        <w:t xml:space="preserve">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purpose of the Corporation is to engage in any lawful act or activity for which corporations may be organized under the General Corporation Law of the State of Delaware (as from time to time in effect,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4.1 The total number of shares of all classes of capital stock that the Corporation shall have authority to issue is five hundred fifty million (550,000,000) shares, consisting of: (i) five hundred million (500,000,000) shares of common stock, with the par value of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(ii) fifty million (50,000,000) shares of preferred stock, with the par value of $0.01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4.2 Subject to the special rights of the holders of any one or more series of Preferred Stock then outstanding, the number of authorized shares of Common Stock or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Common Stock or Preferred Stock voting separately as a class shall be required therefor. Notwithstanding the immediately preceding sentence, the number of authorized shares of Common Stock or Preferred Stock may not be decreased below the number of shares of such class then outstanding.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left="980" w:right="600" w:hanging="544"/>
        <w:spacing w:after="0" w:line="500" w:lineRule="auto"/>
        <w:tabs>
          <w:tab w:leader="none" w:pos="6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Classes of Shares</w:t>
      </w:r>
      <w:r>
        <w:rPr>
          <w:rFonts w:ascii="Times New Roman" w:cs="Times New Roman" w:eastAsia="Times New Roman" w:hAnsi="Times New Roman"/>
          <w:sz w:val="18"/>
          <w:szCs w:val="18"/>
          <w:color w:val="auto"/>
        </w:rPr>
        <w:t xml:space="preserve">. The designation, relative rights, preferences and limitations of the shares of each class of capital stock are as follows: 5.1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Each holder of Common Stock shall be entitled, with respect to each share of Common Stock held by such holder on the applicable record date, to one (1) vote, in person or by proxy, on all matters on which stockholders generally are entitled to vote.</w:t>
      </w:r>
    </w:p>
    <w:p>
      <w:pPr>
        <w:spacing w:after="0" w:line="161" w:lineRule="exact"/>
        <w:rPr>
          <w:rFonts w:ascii="Times New Roman" w:cs="Times New Roman" w:eastAsia="Times New Roman" w:hAnsi="Times New Roman"/>
          <w:sz w:val="18"/>
          <w:szCs w:val="18"/>
          <w:color w:val="auto"/>
        </w:rPr>
      </w:pPr>
    </w:p>
    <w:p>
      <w:pPr>
        <w:jc w:val="both"/>
        <w:ind w:right="240" w:firstLine="1428"/>
        <w:spacing w:after="0" w:line="261" w:lineRule="auto"/>
        <w:tabs>
          <w:tab w:leader="none" w:pos="16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special rights, if any, of the holders of any outstanding series of Preferred Stock, dividends of cash, shares of stock of the Corporation or property may be declared and paid on the Common Stock out of the assets of the Corporation that are by law available therefor, at the times and in the amounts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may determine.</w:t>
      </w:r>
    </w:p>
    <w:p>
      <w:pPr>
        <w:spacing w:after="0" w:line="179" w:lineRule="exact"/>
        <w:rPr>
          <w:rFonts w:ascii="Times New Roman" w:cs="Times New Roman" w:eastAsia="Times New Roman" w:hAnsi="Times New Roman"/>
          <w:sz w:val="18"/>
          <w:szCs w:val="18"/>
          <w:color w:val="auto"/>
        </w:rPr>
      </w:pPr>
    </w:p>
    <w:p>
      <w:pPr>
        <w:jc w:val="both"/>
        <w:ind w:right="40" w:firstLine="1428"/>
        <w:spacing w:after="0" w:line="261" w:lineRule="auto"/>
        <w:tabs>
          <w:tab w:leader="none" w:pos="17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Corporation, after payment or provision for payment of the debts and other liabilities of the Corporation, and subject to the special rights, if any, of the holders of any outstanding series of Preferred Stock, the holders of all outstanding shares of Common Stock shall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the remaining assets of the Corporation available for distribution ratably in proportion to the number of shares of Common Stock held by each holder.</w:t>
      </w:r>
    </w:p>
    <w:p>
      <w:pPr>
        <w:spacing w:after="0" w:line="180"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ectPr>
          <w:pgSz w:w="11900" w:h="16838" w:orient="portrait"/>
          <w:cols w:equalWidth="0" w:num="1">
            <w:col w:w="11000"/>
          </w:cols>
          <w:pgMar w:left="440" w:top="270" w:right="459" w:bottom="1440" w:gutter="0" w:footer="0" w:header="0"/>
        </w:sectPr>
      </w:pPr>
    </w:p>
    <w:bookmarkStart w:id="6" w:name="page7"/>
    <w:bookmarkEnd w:id="6"/>
    <w:p>
      <w:pPr>
        <w:ind w:left="624" w:hanging="184"/>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89"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Actions by Written Consent</w:t>
      </w:r>
      <w:r>
        <w:rPr>
          <w:rFonts w:ascii="Times New Roman" w:cs="Times New Roman" w:eastAsia="Times New Roman" w:hAnsi="Times New Roman"/>
          <w:sz w:val="17"/>
          <w:szCs w:val="17"/>
          <w:color w:val="auto"/>
        </w:rPr>
        <w: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by such stockholders in lieu of a meeting.</w:t>
      </w:r>
    </w:p>
    <w:p>
      <w:pPr>
        <w:spacing w:after="0" w:line="158"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Election of Directors by Written Ballot</w:t>
      </w:r>
      <w:r>
        <w:rPr>
          <w:rFonts w:ascii="Times New Roman" w:cs="Times New Roman" w:eastAsia="Times New Roman" w:hAnsi="Times New Roman"/>
          <w:sz w:val="18"/>
          <w:szCs w:val="18"/>
          <w:color w:val="auto"/>
        </w:rPr>
        <w:t>. Unless and except to the extent that the Bylaws of the Corporation (as such Bylaws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the directors of the Corporation need not be by written ballot.</w:t>
      </w:r>
    </w:p>
    <w:p>
      <w:pPr>
        <w:spacing w:after="0" w:line="162" w:lineRule="exact"/>
        <w:rPr>
          <w:sz w:val="20"/>
          <w:szCs w:val="20"/>
          <w:color w:val="auto"/>
        </w:rPr>
      </w:pPr>
    </w:p>
    <w:p>
      <w:pPr>
        <w:ind w:left="624" w:hanging="184"/>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Number and Classification</w:t>
      </w:r>
      <w:r>
        <w:rPr>
          <w:rFonts w:ascii="Times New Roman" w:cs="Times New Roman" w:eastAsia="Times New Roman" w:hAnsi="Times New Roman"/>
          <w:sz w:val="17"/>
          <w:szCs w:val="17"/>
          <w:color w:val="auto"/>
        </w:rPr>
        <w:t>. Subject to the special rights, if any, of the holders of any outstanding series of Preferred Stock to elect directors, the number of directors shall be fixed by, or in the manner provided in, the Bylaws, but shall not be less than five nor more than twelve members. Subject to the special rights, if any, of the holders of any outstanding series of Preferred Stock to elect directors, the names of the seven</w:t>
      </w:r>
    </w:p>
    <w:p>
      <w:pPr>
        <w:spacing w:after="0" w:line="2" w:lineRule="exact"/>
        <w:rPr>
          <w:sz w:val="20"/>
          <w:szCs w:val="20"/>
          <w:color w:val="auto"/>
        </w:rPr>
      </w:pPr>
    </w:p>
    <w:p>
      <w:pPr>
        <w:ind w:left="4" w:right="140" w:hanging="4"/>
        <w:spacing w:after="0" w:line="260"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directors who shall serve until the expiration of the respective terms for which they were elected, and until their successors are duly elected and qualified or until their earlier death, resignation or removal, and the year in which the current term of each such director shall expire are:</w:t>
      </w:r>
    </w:p>
    <w:p>
      <w:pPr>
        <w:spacing w:after="0" w:line="204"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60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of Expiration</w:t>
            </w: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V. Vitale</w:t>
            </w:r>
          </w:p>
        </w:tc>
        <w:tc>
          <w:tcPr>
            <w:tcW w:w="10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2027</w:t>
            </w:r>
          </w:p>
        </w:tc>
      </w:tr>
    </w:tbl>
    <w:p>
      <w:pPr>
        <w:sectPr>
          <w:pgSz w:w="11900" w:h="16838" w:orient="portrait"/>
          <w:cols w:equalWidth="0" w:num="1">
            <w:col w:w="10964"/>
          </w:cols>
          <w:pgMar w:left="436" w:top="270" w:right="499" w:bottom="1440" w:gutter="0" w:footer="0" w:header="0"/>
        </w:sectPr>
      </w:pPr>
    </w:p>
    <w:bookmarkStart w:id="7" w:name="page8"/>
    <w:bookmarkEnd w:id="7"/>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director shall serve for the term of office for which he or she is elected, and until his or her successor is duly elected and qualifies or until their earlier death, resignation or removal. 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Certificate of Incorporation or any certificate of designation thereunder applicable thereto. As used in this Certificate of Incorporation, the term “entire Board” means the total number of directors fixed by, or in accordance with, this Certificate of Incorporation and the Bylaws.</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Removal of Director</w:t>
      </w:r>
      <w:r>
        <w:rPr>
          <w:rFonts w:ascii="Times New Roman" w:cs="Times New Roman" w:eastAsia="Times New Roman" w:hAnsi="Times New Roman"/>
          <w:sz w:val="18"/>
          <w:szCs w:val="18"/>
          <w:color w:val="auto"/>
        </w:rPr>
        <w:t>s. Subject to the special rights, if any, of the holders of any outstanding series of Preferred Stock, commencing with the Corporation’s 2027 annual meeting of stockholders, members of the Board may be removed with or without cause by the affirmative vote of the holders of not less than a majority of the voting power of all of the outstanding shares of capital stock then entitled to vote in the election of directors, voting together as a single class.</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Vacancie</w:t>
      </w:r>
      <w:r>
        <w:rPr>
          <w:rFonts w:ascii="Times New Roman" w:cs="Times New Roman" w:eastAsia="Times New Roman" w:hAnsi="Times New Roman"/>
          <w:sz w:val="18"/>
          <w:szCs w:val="18"/>
          <w:color w:val="auto"/>
        </w:rPr>
        <w:t>s. Subject to the special rights, if any, of the holders of any outstanding series of Preferred Stock to elect directors, any vacancies in the Board which occur for any reason, and any newly created directorships which occur by reason of an increase in the number of directors, may be filled only by the majority of the remaining directors (even if less than a quorum) or by a sole remaining director.</w:t>
      </w:r>
    </w:p>
    <w:p>
      <w:pPr>
        <w:spacing w:after="0" w:line="176"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4" w:lineRule="auto"/>
        <w:tabs>
          <w:tab w:leader="none" w:pos="1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express agreement that may from time to time be in effect, to the fullest extent permitted by law,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ectPr>
          <w:pgSz w:w="11900" w:h="16838" w:orient="portrait"/>
          <w:cols w:equalWidth="0" w:num="1">
            <w:col w:w="11000"/>
          </w:cols>
          <w:pgMar w:left="440" w:top="270" w:right="459" w:bottom="1440" w:gutter="0" w:footer="0" w:header="0"/>
        </w:sectPr>
      </w:pPr>
    </w:p>
    <w:bookmarkStart w:id="8" w:name="page9"/>
    <w:bookmarkEnd w:id="8"/>
    <w:p>
      <w:pPr>
        <w:ind w:left="4" w:right="100" w:firstLine="1428"/>
        <w:spacing w:after="0" w:line="258" w:lineRule="auto"/>
        <w:tabs>
          <w:tab w:leader="none" w:pos="17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 such business. The Corporation shall pay in advance any expenses incurred in defense of any such claim against any Dual Role Person pursuant to Section 9 or as provided in the Bylaws.</w:t>
      </w:r>
    </w:p>
    <w:p>
      <w:pPr>
        <w:spacing w:after="0" w:line="183" w:lineRule="exact"/>
        <w:rPr>
          <w:rFonts w:ascii="Times New Roman" w:cs="Times New Roman" w:eastAsia="Times New Roman" w:hAnsi="Times New Roman"/>
          <w:sz w:val="18"/>
          <w:szCs w:val="18"/>
          <w:color w:val="auto"/>
        </w:rPr>
      </w:pPr>
    </w:p>
    <w:p>
      <w:pPr>
        <w:ind w:left="4" w:firstLine="1428"/>
        <w:spacing w:after="0" w:line="254" w:lineRule="auto"/>
        <w:tabs>
          <w:tab w:leader="none" w:pos="17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8 or as provided in the Bylaws.</w:t>
      </w:r>
    </w:p>
    <w:p>
      <w:pPr>
        <w:spacing w:after="0" w:line="189" w:lineRule="exact"/>
        <w:rPr>
          <w:rFonts w:ascii="Times New Roman" w:cs="Times New Roman" w:eastAsia="Times New Roman" w:hAnsi="Times New Roman"/>
          <w:sz w:val="18"/>
          <w:szCs w:val="18"/>
          <w:color w:val="auto"/>
        </w:rPr>
      </w:pPr>
    </w:p>
    <w:p>
      <w:pPr>
        <w:jc w:val="both"/>
        <w:ind w:left="4" w:right="260" w:firstLine="1428"/>
        <w:spacing w:after="0" w:line="266" w:lineRule="auto"/>
        <w:tabs>
          <w:tab w:leader="none" w:pos="17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in this Section 8.1, and the action of any Dual Role Person taken in accordance with, or in reliance upon, the foregoing provisions in this Section 8.1, including entering into or performing any agreement, transaction or arrangement, are, to the fullest extent permitted by law, deemed and presumed to be fair to the Corporation.</w:t>
      </w:r>
    </w:p>
    <w:p>
      <w:pPr>
        <w:spacing w:after="0" w:line="17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Matters Deemed not Corporate Opportunities</w:t>
      </w:r>
      <w:r>
        <w:rPr>
          <w:rFonts w:ascii="Times New Roman" w:cs="Times New Roman" w:eastAsia="Times New Roman" w:hAnsi="Times New Roman"/>
          <w:sz w:val="18"/>
          <w:szCs w:val="18"/>
          <w:color w:val="auto"/>
        </w:rPr>
        <w:t>. In addition to and notwithstanding the foregoing provisions of this Section 8,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8 shall amend or modify in any respect any written contractual agreement between Post, on the one hand, and the Corporation or any of its Controlled Companies, on the other hand.</w:t>
      </w:r>
    </w:p>
    <w:p>
      <w:pPr>
        <w:spacing w:after="0" w:line="181" w:lineRule="exact"/>
        <w:rPr>
          <w:sz w:val="20"/>
          <w:szCs w:val="20"/>
          <w:color w:val="auto"/>
        </w:rPr>
      </w:pPr>
    </w:p>
    <w:p>
      <w:pPr>
        <w:ind w:left="4" w:right="1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Deemed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Person purchasing or otherwise acquiring or obtaining any interest in any capital stock of the Corporation shall be deemed to have notice of and to have consented to the provisions of this Section 8.</w:t>
      </w:r>
    </w:p>
    <w:p>
      <w:pPr>
        <w:spacing w:after="0" w:line="158" w:lineRule="exact"/>
        <w:rPr>
          <w:sz w:val="20"/>
          <w:szCs w:val="20"/>
          <w:color w:val="auto"/>
        </w:rPr>
      </w:pPr>
    </w:p>
    <w:p>
      <w:pPr>
        <w:ind w:left="4" w:right="2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invalidity or unenforceability of any particular provision, or part of any provision, of this Section 8 shall not affect the other provisions or parts hereof, and this Section 8 shall be construed in all respects as if such invalid or unenforceable provisions or parts were omitted.</w:t>
      </w:r>
    </w:p>
    <w:p>
      <w:pPr>
        <w:sectPr>
          <w:pgSz w:w="11900" w:h="16838" w:orient="portrait"/>
          <w:cols w:equalWidth="0" w:num="1">
            <w:col w:w="11004"/>
          </w:cols>
          <w:pgMar w:left="436" w:top="270" w:right="45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Times New Roman" w:cs="Times New Roman" w:eastAsia="Times New Roman" w:hAnsi="Times New Roman"/>
          <w:sz w:val="18"/>
          <w:szCs w:val="18"/>
          <w:u w:val="single" w:color="auto"/>
          <w:color w:val="auto"/>
        </w:rPr>
        <w:t>Amendment; 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428"/>
        <w:spacing w:after="0" w:line="312" w:lineRule="auto"/>
        <w:tabs>
          <w:tab w:leader="none" w:pos="164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8 shall have no further force or effect at such time as none of the directors, officers, employees, agents and/or Affiliates of Post serve as directors, officers, managers, employees and/or agents of the Corporation or any of its Controlled Companies.</w:t>
      </w:r>
    </w:p>
    <w:p>
      <w:pPr>
        <w:spacing w:after="0" w:line="139" w:lineRule="exact"/>
        <w:rPr>
          <w:rFonts w:ascii="Times New Roman" w:cs="Times New Roman" w:eastAsia="Times New Roman" w:hAnsi="Times New Roman"/>
          <w:sz w:val="17"/>
          <w:szCs w:val="17"/>
          <w:color w:val="auto"/>
        </w:rPr>
      </w:pPr>
    </w:p>
    <w:p>
      <w:pPr>
        <w:ind w:right="140" w:firstLine="1428"/>
        <w:spacing w:after="0" w:line="256" w:lineRule="auto"/>
        <w:tabs>
          <w:tab w:leader="none" w:pos="1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alteration, change, repeal or termination of this Section 8, nor the adoption of a provision inconsistent with this Section 8, shall eliminate or reduce the effect of such provisions with respect to (a) any matter occurring, or any action or proceeding accruing or arising, prior to such amendment, alteration, change, repeal, termination or adoption of an inconsistent provision or (b)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Actions Involving Directors and Officers</w:t>
      </w:r>
      <w:r>
        <w:rPr>
          <w:rFonts w:ascii="Times New Roman" w:cs="Times New Roman" w:eastAsia="Times New Roman" w:hAnsi="Times New Roman"/>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Actions Involving Employees or Agents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428"/>
        <w:spacing w:after="0" w:line="253" w:lineRule="auto"/>
        <w:tabs>
          <w:tab w:leader="none" w:pos="1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Permissive 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Corporation may, if it deems appropriate and as may be permitted by this Section 9,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ectPr>
          <w:pgSz w:w="11900" w:h="16838" w:orient="portrait"/>
          <w:cols w:equalWidth="0" w:num="1">
            <w:col w:w="11020"/>
          </w:cols>
          <w:pgMar w:left="440" w:top="270" w:right="439" w:bottom="1440" w:gutter="0" w:footer="0" w:header="0"/>
        </w:sectPr>
      </w:pPr>
    </w:p>
    <w:bookmarkStart w:id="10" w:name="page11"/>
    <w:bookmarkEnd w:id="10"/>
    <w:p>
      <w:pPr>
        <w:ind w:right="160" w:firstLine="1428"/>
        <w:spacing w:after="0" w:line="261" w:lineRule="auto"/>
        <w:tabs>
          <w:tab w:leader="none" w:pos="16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that an employee or agent of the Corporation has been successful on the merits or otherwise in defense of any action, suit or proceeding referred to in Section 9.2(i),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8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Determination of Right to Indemnification in Certain Circumstances</w:t>
      </w:r>
      <w:r>
        <w:rPr>
          <w:rFonts w:ascii="Times New Roman" w:cs="Times New Roman" w:eastAsia="Times New Roman" w:hAnsi="Times New Roman"/>
          <w:sz w:val="18"/>
          <w:szCs w:val="18"/>
          <w:color w:val="auto"/>
        </w:rPr>
        <w:t xml:space="preserve">. Any indemnification required under Section 9.1 or authorized by the Corporation in a specific case or otherwise required pursuant to Section 9.2 shall be made by the Corporation, unless a determination is made reasonably and promptly that indemnification of the director, officer, employee or agent is not proper under the circumstances. Such determination shall be made (i) by the Board by a majority vote of a quorum consisting of directors who were not parties to such action, suit or proceeding, (ii) if such a quorum is not obtainable, or even if obtainable, by independent legal counsel in a written opinion or (iii) by majority vote of the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determination shall preclude an action brought in an appropriate court to challenge such determination.</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Advance Payment of Expenses</w:t>
      </w:r>
      <w:r>
        <w:rPr>
          <w:rFonts w:ascii="Times New Roman" w:cs="Times New Roman" w:eastAsia="Times New Roman" w:hAnsi="Times New Roman"/>
          <w:sz w:val="18"/>
          <w:szCs w:val="18"/>
          <w:color w:val="auto"/>
        </w:rPr>
        <w:t>. To the extent not prohibited by applicable law, expenses incurred in defense of a claim against a Dual Role Person (as defined in Section 14) pursuant to Section 8.1(ii) or Section 8.1(iii) and expenses incurred by a person who is or was a director or officer of the Corporation in defending a civil or criminal action, suit, proceeding or claim shall be paid by the Corporation in advance of the 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9 or otherwise.</w:t>
      </w:r>
    </w:p>
    <w:p>
      <w:pPr>
        <w:spacing w:after="0" w:line="192"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Rights Not Exclusive</w:t>
      </w:r>
      <w:r>
        <w:rPr>
          <w:rFonts w:ascii="Times New Roman" w:cs="Times New Roman" w:eastAsia="Times New Roman" w:hAnsi="Times New Roman"/>
          <w:sz w:val="17"/>
          <w:szCs w:val="17"/>
          <w:color w:val="auto"/>
        </w:rPr>
        <w:t>. The indemnification and other rights provided by this Section 9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9 applies.</w:t>
      </w:r>
    </w:p>
    <w:p>
      <w:pPr>
        <w:sectPr>
          <w:pgSz w:w="11900" w:h="16838" w:orient="portrait"/>
          <w:cols w:equalWidth="0" w:num="1">
            <w:col w:w="11020"/>
          </w:cols>
          <w:pgMar w:left="440" w:top="268" w:right="439" w:bottom="1440" w:gutter="0" w:footer="0" w:header="0"/>
        </w:sectPr>
      </w:pPr>
    </w:p>
    <w:bookmarkStart w:id="11" w:name="page12"/>
    <w:bookmarkEnd w:id="11"/>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Indemnification Agreements Authorized</w:t>
      </w:r>
      <w:r>
        <w:rPr>
          <w:rFonts w:ascii="Times New Roman" w:cs="Times New Roman" w:eastAsia="Times New Roman" w:hAnsi="Times New Roman"/>
          <w:sz w:val="18"/>
          <w:szCs w:val="18"/>
          <w:color w:val="auto"/>
        </w:rPr>
        <w:t>. Without limiting the other provisions of this Section 9,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89"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 (whether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9.</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Section 9:</w:t>
      </w:r>
    </w:p>
    <w:p>
      <w:pPr>
        <w:spacing w:after="0" w:line="225" w:lineRule="exact"/>
        <w:rPr>
          <w:sz w:val="20"/>
          <w:szCs w:val="20"/>
          <w:color w:val="auto"/>
        </w:rPr>
      </w:pPr>
    </w:p>
    <w:p>
      <w:pPr>
        <w:ind w:firstLine="1428"/>
        <w:spacing w:after="0" w:line="253" w:lineRule="auto"/>
        <w:tabs>
          <w:tab w:leader="none" w:pos="16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9.8 is only deemed to be serving at the request of the Corporation for purposes of this Section 9, and is not actually employed by the Corporation.</w:t>
      </w:r>
    </w:p>
    <w:p>
      <w:pPr>
        <w:spacing w:after="0" w:line="194" w:lineRule="exact"/>
        <w:rPr>
          <w:rFonts w:ascii="Times New Roman" w:cs="Times New Roman" w:eastAsia="Times New Roman" w:hAnsi="Times New Roman"/>
          <w:sz w:val="18"/>
          <w:szCs w:val="18"/>
          <w:color w:val="auto"/>
        </w:rPr>
      </w:pPr>
    </w:p>
    <w:p>
      <w:pPr>
        <w:ind w:right="80" w:firstLine="1428"/>
        <w:spacing w:after="0" w:line="258" w:lineRule="auto"/>
        <w:tabs>
          <w:tab w:leader="none" w:pos="16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 partnership, joint venture, trust or other enterprise shall stand in the same position under the provisions of this Section 9 with respect to the resulting or surviving corporation as such person would if such person had served the resulting or surviving corporation in the same capacity.</w:t>
      </w:r>
    </w:p>
    <w:p>
      <w:pPr>
        <w:sectPr>
          <w:pgSz w:w="11900" w:h="16838" w:orient="portrait"/>
          <w:cols w:equalWidth="0" w:num="1">
            <w:col w:w="11000"/>
          </w:cols>
          <w:pgMar w:left="440" w:top="270" w:right="459" w:bottom="1440" w:gutter="0" w:footer="0" w:header="0"/>
        </w:sectPr>
      </w:pPr>
    </w:p>
    <w:bookmarkStart w:id="12" w:name="page13"/>
    <w:bookmarkEnd w:id="12"/>
    <w:p>
      <w:pPr>
        <w:ind w:right="80" w:firstLine="1428"/>
        <w:spacing w:after="0" w:line="254" w:lineRule="auto"/>
        <w:tabs>
          <w:tab w:leader="none" w:pos="17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9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indemnification and other rights provided pursuant to this Section 9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9 shall survive amendment or repeal of this Section 9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Liability of the Directors</w:t>
      </w:r>
      <w:r>
        <w:rPr>
          <w:rFonts w:ascii="Times New Roman" w:cs="Times New Roman" w:eastAsia="Times New Roman" w:hAnsi="Times New Roman"/>
          <w:sz w:val="18"/>
          <w:szCs w:val="18"/>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Certificate of Incorporation or further action on the part of the stockholders of the Corporation. Any repeal or modification of this Section 9 by the stockholders of the Corporation shall not adversely affect any right or protection of a director of the Corporation existing at the time of such repeal or modification with respect to acts or omissions occurring prior to such repeal or modification.</w:t>
      </w:r>
    </w:p>
    <w:p>
      <w:pPr>
        <w:sectPr>
          <w:pgSz w:w="11900" w:h="16838" w:orient="portrait"/>
          <w:cols w:equalWidth="0" w:num="1">
            <w:col w:w="11000"/>
          </w:cols>
          <w:pgMar w:left="440" w:top="270" w:right="459" w:bottom="1440" w:gutter="0" w:footer="0" w:header="0"/>
        </w:sectPr>
      </w:pPr>
    </w:p>
    <w:bookmarkStart w:id="13" w:name="page14"/>
    <w:bookmarkEnd w:id="13"/>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Section 9 may be amended, altered, changed or repealed, or a provision inconsistent with this Section 9 may be adopted, only upon the affirmative vote of not less than 85% of the total voting power of all of the outstanding shares of Common Stock then entitled to vote in the election of directors, voting together as a single class.</w:t>
      </w:r>
    </w:p>
    <w:p>
      <w:pPr>
        <w:spacing w:after="0" w:line="176" w:lineRule="exact"/>
        <w:rPr>
          <w:sz w:val="20"/>
          <w:szCs w:val="20"/>
          <w:color w:val="auto"/>
        </w:rPr>
      </w:pPr>
    </w:p>
    <w:p>
      <w:pPr>
        <w:ind w:right="260" w:firstLine="436"/>
        <w:spacing w:after="0" w:line="266"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Repeal of Bylaws</w:t>
      </w:r>
      <w:r>
        <w:rPr>
          <w:rFonts w:ascii="Times New Roman" w:cs="Times New Roman" w:eastAsia="Times New Roman" w:hAnsi="Times New Roman"/>
          <w:sz w:val="18"/>
          <w:szCs w:val="18"/>
          <w:color w:val="auto"/>
        </w:rPr>
        <w:t>. The Board may amend, alter, change or repeal any provision of the Bylaws. The stockholders of the Corporation also may amend, alter, change or repeal any provision of the Bylaws upon the affirmative vote of a majority of all of the voting power of the Corporation entitled to vote thereon.</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7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Repeal of Certificat</w:t>
      </w:r>
      <w:r>
        <w:rPr>
          <w:rFonts w:ascii="Times New Roman" w:cs="Times New Roman" w:eastAsia="Times New Roman" w:hAnsi="Times New Roman"/>
          <w:sz w:val="18"/>
          <w:szCs w:val="18"/>
          <w:color w:val="auto"/>
        </w:rPr>
        <w:t>e. The Corporation reserves the right to amend, alter, change or repeal any provision contained in this Certificate of Incorporation in the manner now or hereafter prescribed by the General Corporation Law, except as otherwise set forth herein,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Forum.</w:t>
      </w:r>
      <w:r>
        <w:rPr>
          <w:rFonts w:ascii="Times New Roman" w:cs="Times New Roman" w:eastAsia="Times New Roman" w:hAnsi="Times New Roman"/>
          <w:sz w:val="18"/>
          <w:szCs w:val="18"/>
          <w:color w:val="auto"/>
        </w:rPr>
        <w:t xml:space="preserve"> Unless the Corporation consents in writing to the selection of an alternative forum, (i) the Court of Chancery of the State of Delaware (or, if the Court of Chancery does not have subject matter jurisdiction, the federal district court for the State of Delaware) shall, to the fullest extent permitted by law, be the sole and exclusive forum for: (a) any derivative action or proceeding brought on behalf of the Corporation, (b) any action asserting a claim for breach of a fiduciary duty owed by any director, officer, employee, or stockholder of the Corporation to the Corporation or the Corporation’s stockholders, (c) any action asserting a claim arising pursuant to any provision of the General Corporation Law, the Certificate of Incorporation, or the Bylaws (as either may be amended or restated) or as to which the General Corporation Law confers jurisdiction on the Court of Chancery of the State of Delaware, or (d) any action asserting a claim governed by the internal affairs doctrine and (ii) the federal district courts of the United States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Section 12.</w:t>
      </w:r>
    </w:p>
    <w:p>
      <w:pPr>
        <w:spacing w:after="0" w:line="191" w:lineRule="exact"/>
        <w:rPr>
          <w:rFonts w:ascii="Times New Roman" w:cs="Times New Roman" w:eastAsia="Times New Roman" w:hAnsi="Times New Roman"/>
          <w:sz w:val="18"/>
          <w:szCs w:val="18"/>
          <w:color w:val="auto"/>
        </w:rPr>
      </w:pPr>
    </w:p>
    <w:p>
      <w:pPr>
        <w:ind w:right="20" w:firstLine="436"/>
        <w:spacing w:after="0" w:line="254"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000"/>
          </w:cols>
          <w:pgMar w:left="440" w:top="270" w:right="459" w:bottom="1440" w:gutter="0" w:footer="0" w:header="0"/>
        </w:sectPr>
      </w:pPr>
    </w:p>
    <w:bookmarkStart w:id="14" w:name="page15"/>
    <w:bookmarkEnd w:id="14"/>
    <w:p>
      <w:pPr>
        <w:ind w:right="640" w:firstLine="436"/>
        <w:spacing w:after="0" w:line="282"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As used in this Certificate of Incorporation, unless the context otherwise requires or as set forth in another Section of this Certificate of Incorporation, the term:</w:t>
      </w:r>
    </w:p>
    <w:p>
      <w:pPr>
        <w:spacing w:after="0" w:line="162"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defined in Section 5.1(ii).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is defined in Section 6.2.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Company</w:t>
      </w:r>
      <w:r>
        <w:rPr>
          <w:rFonts w:ascii="Times New Roman" w:cs="Times New Roman" w:eastAsia="Times New Roman" w:hAnsi="Times New Roman"/>
          <w:sz w:val="18"/>
          <w:szCs w:val="18"/>
          <w:color w:val="auto"/>
        </w:rPr>
        <w:t>” means, with respect to the Corporation, any Person Controlled by the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Dual Role Person</w:t>
      </w:r>
      <w:r>
        <w:rPr>
          <w:rFonts w:ascii="Times New Roman" w:cs="Times New Roman" w:eastAsia="Times New Roman" w:hAnsi="Times New Roman"/>
          <w:sz w:val="18"/>
          <w:szCs w:val="18"/>
          <w:color w:val="auto"/>
        </w:rPr>
        <w:t>” means each of (i) any director, officer, manager, employee or agent of the Corporation and/or any of its Controlled Companies who is also a director, officer, employee, agent and/or Affiliate of Post and (ii) Post.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w:t>
      </w:r>
      <w:r>
        <w:rPr>
          <w:rFonts w:ascii="Times New Roman" w:cs="Times New Roman" w:eastAsia="Times New Roman" w:hAnsi="Times New Roman"/>
          <w:sz w:val="18"/>
          <w:szCs w:val="18"/>
          <w:color w:val="auto"/>
        </w:rPr>
        <w:t>t” means the Securities Exchange Act of 1934, as amended, and any successor law or statute, together with the rules and regulations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is defined in Section 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partnership, firm, corporation, limited liability company, association, trust, unincorporated organization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entity.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w:t>
      </w:r>
      <w:r>
        <w:rPr>
          <w:rFonts w:ascii="Times New Roman" w:cs="Times New Roman" w:eastAsia="Times New Roman" w:hAnsi="Times New Roman"/>
          <w:sz w:val="18"/>
          <w:szCs w:val="18"/>
          <w:color w:val="auto"/>
        </w:rPr>
        <w:t>” means Post Holdings, Inc. and its Affiliates (other than the Corporation and its Controlled Companies), successors and assigns.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is defined in Section 4.1.</w:t>
      </w:r>
    </w:p>
    <w:p>
      <w:pPr>
        <w:spacing w:after="0" w:line="221"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FOUR</w:t>
      </w:r>
      <w:r>
        <w:rPr>
          <w:rFonts w:ascii="Times New Roman" w:cs="Times New Roman" w:eastAsia="Times New Roman" w:hAnsi="Times New Roman"/>
          <w:sz w:val="18"/>
          <w:szCs w:val="18"/>
          <w:color w:val="auto"/>
        </w:rPr>
        <w:t>: This Restated Certificate of Incorporation has been duly adopted and approved by the Board of Directors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245 of the General Corporation Law and only restates and integrates and does not further amend the provisions of the Corporation’s certificate of incorporation as heretofore amended or supplemented, and that there is no discrepancy between those provisions and the provisions of this Restated Certificate of Incorporation.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60"/>
          </w:cols>
          <w:pgMar w:left="440" w:top="270" w:right="499" w:bottom="1440" w:gutter="0" w:footer="0" w:header="0"/>
        </w:sectPr>
      </w:pPr>
    </w:p>
    <w:bookmarkStart w:id="15" w:name="page16"/>
    <w:bookmarkEnd w:id="1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Restated Certificate of Incorporation to be signed by its Chief Legal Officer and Secretary this 30th day of January, 2025.</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Craig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Craig Rosenthal</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ectPr>
          <w:pgSz w:w="11900" w:h="16838" w:orient="portrait"/>
          <w:cols w:equalWidth="0" w:num="1">
            <w:col w:w="10420"/>
          </w:cols>
          <w:pgMar w:left="440" w:top="270" w:right="10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AMENDED AND RESTATED BYLAWS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 – STOCKHOLDERS</w:t>
      </w:r>
    </w:p>
    <w:p>
      <w:pPr>
        <w:spacing w:after="0" w:line="22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shall be held at the principal executive office of BellRing Brands,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or at such other place, if any, either within or without the State of Delaware 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83" w:lineRule="exact"/>
        <w:rPr>
          <w:sz w:val="20"/>
          <w:szCs w:val="20"/>
          <w:color w:val="auto"/>
        </w:rPr>
      </w:pPr>
    </w:p>
    <w:p>
      <w:pPr>
        <w:ind w:left="4" w:right="360" w:firstLine="440"/>
        <w:spacing w:after="0" w:line="272" w:lineRule="auto"/>
        <w:rPr>
          <w:sz w:val="20"/>
          <w:szCs w:val="20"/>
          <w:color w:val="auto"/>
        </w:rPr>
      </w:pPr>
      <w:r>
        <w:rPr>
          <w:rFonts w:ascii="Times New Roman" w:cs="Times New Roman" w:eastAsia="Times New Roman" w:hAnsi="Times New Roman"/>
          <w:sz w:val="17"/>
          <w:szCs w:val="17"/>
          <w:color w:val="auto"/>
        </w:rPr>
        <w:t>SECTION 2. SPECIAL MEETINGS: Special meetings of the stockholders or of the holders of any class of capital stock of the Corporation, unless otherwise prescribed by statute or by the Certificate of Incorporation of the Corporation (as may be amended from time to time, including the terms of any certificate of designation for any series of the Corporation’s preferred stock,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may be called only by</w:t>
      </w:r>
    </w:p>
    <w:p>
      <w:pPr>
        <w:spacing w:after="0" w:line="2" w:lineRule="exact"/>
        <w:rPr>
          <w:sz w:val="20"/>
          <w:szCs w:val="20"/>
          <w:color w:val="auto"/>
        </w:rPr>
      </w:pPr>
    </w:p>
    <w:p>
      <w:pPr>
        <w:ind w:left="4" w:right="100" w:hanging="4"/>
        <w:spacing w:after="0" w:line="260"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Board, (b) the Chairperson of the Board, or (c) the President of the Corporation. Only such business shall be conducted, and only such proposals shall be acted upon, as is specified in the call of any special meeting of stockholders.</w:t>
      </w:r>
    </w:p>
    <w:p>
      <w:pPr>
        <w:spacing w:after="0" w:line="181"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SECTION 3. NOTICE; ADJOURNMENT: (a) Unless otherwise required by the General Corporation Law of the State of Delaware (as from time to time in effect,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and shall be given in any manner permitted by law not less than 10 nor more than 60 days before the meeting and shall state the time and place of the meeting, and unless it is the annual meeting, shall state at whose direction the meeting is called and the purposes for 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w:t>
      </w:r>
    </w:p>
    <w:p>
      <w:pPr>
        <w:sectPr>
          <w:pgSz w:w="11900" w:h="16838" w:orient="portrait"/>
          <w:cols w:equalWidth="0" w:num="1">
            <w:col w:w="11024"/>
          </w:cols>
          <w:pgMar w:left="436" w:top="121" w:right="439" w:bottom="1440" w:gutter="0" w:footer="0" w:header="0"/>
        </w:sectPr>
      </w:pPr>
    </w:p>
    <w:bookmarkStart w:id="17" w:name="page18"/>
    <w:bookmarkEnd w:id="17"/>
    <w:p>
      <w:pPr>
        <w:ind w:right="100" w:firstLine="987"/>
        <w:spacing w:after="0" w:line="261"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manner by which notice may otherwise be given effectively to stockholders, any notice to a stockholder given by the Corporation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shall be deemed given, if mailed, when deposited in the United States mail with postage prepaid, if addressed to a stockholder at his, her or its address on the Corporation’s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Corporation’s records. An affidavit of the Secretary or an Assistant Secretary or the transfer agent or other agent of the Corporation that notice has been given, whether by a form of electronic transmission or otherwise, shall, in the absence of fraud, be prima facie evidence of the facts stated therein.</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stockholders may be adjourned from time to time either by the person presiding over the meeting or by the vote of the holders of a majority of the voting power of the shares present in person or represented by proxy at the meeting and entitled to vote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 new record date for determining stockholders entitled to notice of such adjourned meeting in accordance with these Bylaws and applicable law, and shall give notice of the adjourned meeting to each stockholder of record entitled to vote at such adjourned meeting as of the record date fixed for notice of such adjourned meeting.</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QUORUM: Except as otherwise required by law, the holders of shares representing a majority of the combined voting power of the Corporation entitled to vote thereat, present in person or represented by proxy, shall constitute a quorum at all meetings of the stockholders for the transaction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ACTION BY CONSENT: Unless otherwise provided in the Certificate of Incorporation, any action required by the General Corporation Law to be taken at any annual or special meeting of stockholders of the Corporation, or any action which may be taken at any annual or special meeting of stockholders of the Corporation, may be effected only at a duly called annual or special meeting of stockholders of the Corporation and may not be effected by any consent by such stockholders in lieu of a meeting.</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SECTION 6. VOTING: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SECTION 7. PROXIES: The following shall constitute valid means by which a stockholder may authorize a person to act for the stockholder as a proxy:</w:t>
      </w:r>
    </w:p>
    <w:p>
      <w:pPr>
        <w:spacing w:after="0" w:line="162" w:lineRule="exact"/>
        <w:rPr>
          <w:sz w:val="20"/>
          <w:szCs w:val="20"/>
          <w:color w:val="auto"/>
        </w:rPr>
      </w:pPr>
    </w:p>
    <w:p>
      <w:pPr>
        <w:ind w:right="380" w:firstLine="987"/>
        <w:spacing w:after="0" w:line="266"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 or</w:t>
      </w:r>
    </w:p>
    <w:p>
      <w:pPr>
        <w:spacing w:after="0" w:line="175"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Corporation’s notice of the meeting (or any supplement thereto), (ii) by or at the direction of the Board or any committee thereof or (iii) by any stockholder of the Corporation who is a stockholder of record at the time of giving of the notice provided for in this Section 8 of Article I of these Bylaws, and at the time of the annual meeting, who shall be entitled to vote at such meeting and who shall have complied with the notice procedures set forth in this Section 8 of Article I of these Bylaws; clause (iii) shall be the exclusive means for a stockholder to submit such business to be brought before the meeting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to be included in the Corporation’s notice of meeting before or at an annual meeting of stockholders.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9" w:name="page20"/>
    <w:bookmarkEnd w:id="19"/>
    <w:p>
      <w:pPr>
        <w:ind w:left="-20" w:right="160" w:firstLine="987"/>
        <w:spacing w:after="0" w:line="282" w:lineRule="auto"/>
        <w:tabs>
          <w:tab w:leader="none" w:pos="12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special meeting of stockholders, only such business or proposals as are specified in the notice of the meeting may be properly brought before the meeting.</w:t>
      </w:r>
    </w:p>
    <w:p>
      <w:pPr>
        <w:spacing w:after="0" w:line="161"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such business to be properly brought before an annual meeting by a stockholder of record, pursuant to Section 8(a)(iii) of this Article I of these Bylaws, the stockholder must have given timely notice thereof in writing to the Secretary of the Corporation and any such proposed business must constitute a proper matter for stockholder action. To be timely, a stockholder’s notice, in writing, must be delivered to, or mailed to and received by, the Secretary of the Corporation at the principal executive office of the Corporation not less than 90 days nor more than 120 days prior to the first anniversary of the date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include disclosure in a press release reported by a national news service or in a publicly available document filed or furnished by the Corporation with the Securities and Exchange Commission pursuant to the Exchange Act.</w:t>
      </w:r>
    </w:p>
    <w:p>
      <w:pPr>
        <w:spacing w:after="0" w:line="191"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Corporation’s proxy statement pursuant to Rule 14a-8 under the Exchange Act. The provisions of this Section 8 of Article I of these Bylaws also shall govern what constitutes timely notice for purposes of Rule 14a-4(c) of the Exchange Act.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20" w:name="page21"/>
    <w:bookmarkEnd w:id="20"/>
    <w:p>
      <w:pPr>
        <w:ind w:left="-180" w:firstLine="987"/>
        <w:spacing w:after="0" w:line="282" w:lineRule="auto"/>
        <w:tabs>
          <w:tab w:leader="none" w:pos="10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such business to be properly brought before a meeting, such stockholder’s notice to the Secretary of the Corporation shall set forth as to each matter he or she proposes to bring before the meeting:</w:t>
      </w:r>
    </w:p>
    <w:p>
      <w:pPr>
        <w:spacing w:after="0" w:line="53" w:lineRule="exact"/>
        <w:rPr>
          <w:rFonts w:ascii="Times New Roman" w:cs="Times New Roman" w:eastAsia="Times New Roman" w:hAnsi="Times New Roman"/>
          <w:sz w:val="18"/>
          <w:szCs w:val="18"/>
          <w:color w:val="auto"/>
        </w:rPr>
      </w:pPr>
    </w:p>
    <w:p>
      <w:pPr>
        <w:ind w:left="260" w:right="20" w:firstLine="1371"/>
        <w:spacing w:after="0" w:line="261" w:lineRule="auto"/>
        <w:tabs>
          <w:tab w:leader="none" w:pos="18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71" w:lineRule="exact"/>
        <w:rPr>
          <w:rFonts w:ascii="Times New Roman" w:cs="Times New Roman" w:eastAsia="Times New Roman" w:hAnsi="Times New Roman"/>
          <w:sz w:val="18"/>
          <w:szCs w:val="18"/>
          <w:color w:val="auto"/>
        </w:rPr>
      </w:pPr>
    </w:p>
    <w:p>
      <w:pPr>
        <w:ind w:left="260" w:right="40" w:firstLine="1371"/>
        <w:spacing w:after="0" w:line="282" w:lineRule="auto"/>
        <w:tabs>
          <w:tab w:leader="none" w:pos="1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53" w:lineRule="exact"/>
        <w:rPr>
          <w:rFonts w:ascii="Times New Roman" w:cs="Times New Roman" w:eastAsia="Times New Roman" w:hAnsi="Times New Roman"/>
          <w:sz w:val="18"/>
          <w:szCs w:val="18"/>
          <w:color w:val="auto"/>
        </w:rPr>
      </w:pPr>
    </w:p>
    <w:p>
      <w:pPr>
        <w:ind w:left="1940" w:hanging="309"/>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proposal is made:</w:t>
      </w:r>
    </w:p>
    <w:p>
      <w:pPr>
        <w:spacing w:after="0" w:line="117"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name and address of such stockholder and beneficial owner as they appear in the Corporation’s stockholder</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620" w:top="270" w:right="639" w:bottom="1440" w:gutter="0" w:footer="0" w:header="0"/>
        </w:sectPr>
      </w:pPr>
    </w:p>
    <w:bookmarkStart w:id="21" w:name="page22"/>
    <w:bookmarkEnd w:id="21"/>
    <w:p>
      <w:pPr>
        <w:ind w:left="980" w:firstLine="1303"/>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(1) the class or series and number of shares of the Corporation’s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whether or not such instrument or right shall be subject to settlement in the underlying class or series of capital stock of the Corporation or otherwise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 directly or indirectly owned beneficially by such stockholder or beneficial owner and any other direct or indirect opportunity to profit or share in any profit derived from any increase or decrease in the value of shares of the Corporation, (3) any proxy, contract, arrangement, understanding or relationship pursuant to which such stockholder or beneficial owner has a right to vote any shares or any security of the Corporation, (4) any short interest of such stockholder or beneficial owner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Corporation owned beneficially by such stockholder or beneficial owner that are separated or separable from the underlying shares of the Corporation, (6) any proportionate interest in shares of the Corporation or Derivative Instruments held, directly or indirectly, by a general or limited partnership or limited liability Corporation in which such stockholder or beneficial owner is a general partner or manager or directly or indirectly beneficially owns an interest in a general partner or manager, (7) any performance-related fees (other than an asset-based fee) that such stockholder or beneficial owner is entitled to based on any increase or decrease in the value of shares of the Corporation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 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w:t>
      </w:r>
    </w:p>
    <w:p>
      <w:pPr>
        <w:spacing w:after="0" w:line="8" w:lineRule="exact"/>
        <w:rPr>
          <w:sz w:val="20"/>
          <w:szCs w:val="20"/>
          <w:color w:val="auto"/>
        </w:rPr>
      </w:pPr>
    </w:p>
    <w:p>
      <w:pPr>
        <w:ind w:left="980" w:right="200" w:firstLine="7"/>
        <w:spacing w:after="0" w:line="255" w:lineRule="auto"/>
        <w:tabs>
          <w:tab w:leader="none" w:pos="12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(8), individually or collectively, the “</w:t>
      </w:r>
      <w:r>
        <w:rPr>
          <w:rFonts w:ascii="Times New Roman" w:cs="Times New Roman" w:eastAsia="Times New Roman" w:hAnsi="Times New Roman"/>
          <w:sz w:val="18"/>
          <w:szCs w:val="18"/>
          <w:u w:val="single" w:color="auto"/>
          <w:color w:val="auto"/>
        </w:rPr>
        <w:t>Proposing Stockholder Information</w:t>
      </w:r>
      <w:r>
        <w:rPr>
          <w:rFonts w:ascii="Times New Roman" w:cs="Times New Roman" w:eastAsia="Times New Roman" w:hAnsi="Times New Roman"/>
          <w:sz w:val="18"/>
          <w:szCs w:val="18"/>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77" w:lineRule="exact"/>
        <w:rPr>
          <w:rFonts w:ascii="Times New Roman" w:cs="Times New Roman" w:eastAsia="Times New Roman" w:hAnsi="Times New Roman"/>
          <w:sz w:val="18"/>
          <w:szCs w:val="18"/>
          <w:color w:val="auto"/>
        </w:rPr>
      </w:pPr>
    </w:p>
    <w:p>
      <w:pPr>
        <w:ind w:left="980" w:right="620" w:firstLine="1311"/>
        <w:spacing w:after="0" w:line="282" w:lineRule="auto"/>
        <w:tabs>
          <w:tab w:leader="none" w:pos="24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shares of the Corporation, is entitled to vote at the meeting and intends to appear in person or by proxy at the meeting to propose such business; and</w:t>
      </w:r>
    </w:p>
    <w:p>
      <w:pPr>
        <w:spacing w:after="0" w:line="53" w:lineRule="exact"/>
        <w:rPr>
          <w:rFonts w:ascii="Times New Roman" w:cs="Times New Roman" w:eastAsia="Times New Roman" w:hAnsi="Times New Roman"/>
          <w:sz w:val="18"/>
          <w:szCs w:val="18"/>
          <w:color w:val="auto"/>
        </w:rPr>
      </w:pPr>
    </w:p>
    <w:p>
      <w:pPr>
        <w:jc w:val="both"/>
        <w:ind w:left="980" w:right="100" w:firstLine="1311"/>
        <w:spacing w:after="0" w:line="261" w:lineRule="auto"/>
        <w:tabs>
          <w:tab w:leader="none" w:pos="246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the beneficial owner, if any, is or intends to be part of a group which intends (1) to deliver a proxy statement and/or form of proxy to holders of at least the percentage of the Corporation’s outstanding capital stock required to approve or adopt the proposal or (2) otherwise to solicit proxies from stockholders in support of such proposal. The meaning of the term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be within the meaning ascribed to such term under Section 13(d)(3) of the Exchange Act.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2" w:name="page23"/>
    <w:bookmarkEnd w:id="2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 ORGANIZATION; CONDUCT OF STOCKHOLDER MEETINGS: (a) Each meeting of stockholders shall be convened by the President, Secretary or other officer of the Corporation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Corporation present to act as chairperson of the meeting. The Secretary of the Corporation, or a person designated by the chairperson, shall act as secretary of each meeting of stockholders. Whenever the Secretary of the Corporation shall act as chairperson of the meeting, or shall be absent, the chairperson of the meeting shall appoint a person present to act as secretary of the meeting.</w:t>
      </w:r>
    </w:p>
    <w:p>
      <w:pPr>
        <w:spacing w:after="0" w:line="192" w:lineRule="exact"/>
        <w:rPr>
          <w:sz w:val="20"/>
          <w:szCs w:val="20"/>
          <w:color w:val="auto"/>
        </w:rPr>
      </w:pPr>
    </w:p>
    <w:p>
      <w:pPr>
        <w:ind w:right="20" w:firstLine="987"/>
        <w:spacing w:after="0" w:line="25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or recess of the meeting,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 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19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Bylaws, unless otherwise required by law, if a stockholder (or qualified representative) does not appear at the annual or special meeting of stockholders of the Corporation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Corporation.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 – BOARD OF DIRECTORS</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SECTION 1. ELECTION; TENURE; QUALIFICATIONS; NOMINATIONS: (a) The Board shall consist of not less than five nor more than twelve members. The number of directors that shall constitute the Board of Directors shall be fixed exclusively by resolutions adopted by a majority of the authorized number of directors constituting the Board of Directors.</w:t>
      </w:r>
    </w:p>
    <w:p>
      <w:pPr>
        <w:spacing w:after="0" w:line="176" w:lineRule="exact"/>
        <w:rPr>
          <w:sz w:val="20"/>
          <w:szCs w:val="20"/>
          <w:color w:val="auto"/>
        </w:rPr>
      </w:pPr>
    </w:p>
    <w:p>
      <w:pPr>
        <w:ind w:left="4" w:right="320" w:firstLine="987"/>
        <w:spacing w:after="0" w:line="266"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meeting of stockholders commencing with the annual meeting of stockholders held in 2025, the successors to the directors whose term expires at such annual meeting of stockholders shall be elected to hold office until the next annual meeting of stockholders and until their successors are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4" w:right="60" w:firstLine="987"/>
        <w:spacing w:after="0" w:line="267"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1(g) in this Article II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 (i) pursuant to the Corporation’s notice of the meeting (or any supplement thereto), (ii) by or at the direction of the Board or any committee thereof or (iii) by any stockholder of the Corporation who is a stockholder of record of the Corporation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1(g) in this Article II, shall be the exclusive means for a stockholder to make nominations of persons for election to the Board at an annual meeting of stockholders. Nominations of persons for election to the Board may be made at a special meeting of stockholders at which directors are to be elected pursuant to the notice of meeting</w:t>
      </w:r>
    </w:p>
    <w:p>
      <w:pPr>
        <w:spacing w:after="0" w:line="5"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or any committee thereof or (y) provided that the Board has determined that directors shall be elected at such meeting, by any stockholder of the Corporation who is a stockholder of record at the time the notice provided in this Section 1(c) of Article II of these Bylaws is delivered to the Secretary of the Corporation,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shall be the exclusive means for a stockholder to make nominations of persons for election to the Board at a special meeting of stockholders.</w:t>
      </w:r>
    </w:p>
    <w:p>
      <w:pPr>
        <w:spacing w:after="0" w:line="19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Subject to Section 1(g) in this Article II, for any nominations by a stockholder to be properly brought before an annual or special meeting of stockholders pursuant to clauses (c)(iii) and (c)(y) of the preceding paragraph of these Bylaws, the stockholder must have given timely notice thereof in writing to the Secretary of the Corporation. To be timely, a stockholder’s notice in writing must be delivered or mailed to and received by the Secretary of the Corporation at the principal executive office of the Corporation (i) in the case of an annual meeting, not less than 90 days nor more than 120 days prior to the first anniversary of the preceding year’s annual meeting,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4" w:name="page25"/>
    <w:bookmarkEnd w:id="24"/>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request of the Board, any person nominated by the Board for election as a director shall furnish to the Secretary of the Corporation that information required to be set forth in a stockholder’s notice of nomination under Section 1(d)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Corporation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192" w:lineRule="exact"/>
        <w:rPr>
          <w:sz w:val="20"/>
          <w:szCs w:val="20"/>
          <w:color w:val="auto"/>
        </w:rPr>
      </w:pPr>
    </w:p>
    <w:p>
      <w:pPr>
        <w:ind w:firstLine="987"/>
        <w:spacing w:after="0" w:line="28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53"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of such person;</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person currently and for the previous five years;</w:t>
      </w:r>
    </w:p>
    <w:p>
      <w:pPr>
        <w:spacing w:after="0" w:line="117" w:lineRule="exact"/>
        <w:rPr>
          <w:rFonts w:ascii="Times New Roman" w:cs="Times New Roman" w:eastAsia="Times New Roman" w:hAnsi="Times New Roman"/>
          <w:sz w:val="18"/>
          <w:szCs w:val="18"/>
          <w:color w:val="auto"/>
        </w:rPr>
      </w:pPr>
    </w:p>
    <w:p>
      <w:pPr>
        <w:ind w:left="440" w:right="20" w:firstLine="1371"/>
        <w:spacing w:after="0" w:line="273" w:lineRule="auto"/>
        <w:tabs>
          <w:tab w:leader="none" w:pos="213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5" w:name="page26"/>
    <w:bookmarkEnd w:id="25"/>
    <w:p>
      <w:pPr>
        <w:ind w:left="420" w:right="380" w:firstLine="1371"/>
        <w:spacing w:after="0" w:line="261" w:lineRule="auto"/>
        <w:tabs>
          <w:tab w:leader="none" w:pos="20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person’s representation that he or she is eligible to serve as a director pursuant to Section 11 of Article II of these Bylaws and whether such person has acted in any manner contrary to the best interest of the Corporation, including, but not limited to, the violation of any federal or state law or breach of any agreement between that person and the Corporation relating to his or her services as a director, employee or agent of the Corporation;</w:t>
      </w:r>
    </w:p>
    <w:p>
      <w:pPr>
        <w:spacing w:after="0" w:line="71" w:lineRule="exact"/>
        <w:rPr>
          <w:rFonts w:ascii="Times New Roman" w:cs="Times New Roman" w:eastAsia="Times New Roman" w:hAnsi="Times New Roman"/>
          <w:sz w:val="18"/>
          <w:szCs w:val="18"/>
          <w:color w:val="auto"/>
        </w:rPr>
      </w:pPr>
    </w:p>
    <w:p>
      <w:pPr>
        <w:ind w:left="2040" w:hanging="249"/>
        <w:spacing w:after="0"/>
        <w:tabs>
          <w:tab w:leader="none" w:pos="2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as a nominee and to serving as a director if elected; and</w:t>
      </w:r>
    </w:p>
    <w:p>
      <w:pPr>
        <w:spacing w:after="0" w:line="117" w:lineRule="exact"/>
        <w:rPr>
          <w:rFonts w:ascii="Times New Roman" w:cs="Times New Roman" w:eastAsia="Times New Roman" w:hAnsi="Times New Roman"/>
          <w:sz w:val="18"/>
          <w:szCs w:val="18"/>
          <w:color w:val="auto"/>
        </w:rPr>
      </w:pPr>
    </w:p>
    <w:p>
      <w:pPr>
        <w:ind w:left="420" w:right="300" w:firstLine="1371"/>
        <w:spacing w:after="0" w:line="266" w:lineRule="auto"/>
        <w:tabs>
          <w:tab w:leader="none" w:pos="20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75" w:lineRule="exact"/>
        <w:rPr>
          <w:rFonts w:ascii="Times New Roman" w:cs="Times New Roman" w:eastAsia="Times New Roman" w:hAnsi="Times New Roman"/>
          <w:sz w:val="18"/>
          <w:szCs w:val="18"/>
          <w:color w:val="auto"/>
        </w:rPr>
      </w:pPr>
    </w:p>
    <w:p>
      <w:pPr>
        <w:ind w:left="-20" w:firstLine="987"/>
        <w:spacing w:after="0" w:line="282" w:lineRule="auto"/>
        <w:tabs>
          <w:tab w:leader="none" w:pos="1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stockholder’s notice also shall set forth as to the stockholder(s) giving the notice and the beneficial owner, if any, on whose behalf the nomination is made:</w:t>
      </w:r>
    </w:p>
    <w:p>
      <w:pPr>
        <w:spacing w:after="0" w:line="53" w:lineRule="exact"/>
        <w:rPr>
          <w:rFonts w:ascii="Times New Roman" w:cs="Times New Roman" w:eastAsia="Times New Roman" w:hAnsi="Times New Roman"/>
          <w:sz w:val="18"/>
          <w:szCs w:val="18"/>
          <w:color w:val="auto"/>
        </w:rPr>
      </w:pPr>
    </w:p>
    <w:p>
      <w:pPr>
        <w:ind w:left="2000" w:hanging="209"/>
        <w:spacing w:after="0"/>
        <w:tabs>
          <w:tab w:leader="none" w:pos="2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and beneficial owner, as they appear in the Corporation’s stockholder records;</w:t>
      </w:r>
    </w:p>
    <w:p>
      <w:pPr>
        <w:spacing w:after="0" w:line="117" w:lineRule="exact"/>
        <w:rPr>
          <w:rFonts w:ascii="Times New Roman" w:cs="Times New Roman" w:eastAsia="Times New Roman" w:hAnsi="Times New Roman"/>
          <w:sz w:val="18"/>
          <w:szCs w:val="18"/>
          <w:color w:val="auto"/>
        </w:rPr>
      </w:pPr>
    </w:p>
    <w:p>
      <w:pPr>
        <w:ind w:left="2060" w:hanging="269"/>
        <w:spacing w:after="0"/>
        <w:tabs>
          <w:tab w:leader="none" w:pos="20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Stockholder Information as defined in Section 8(e) of Article I of these Bylaws;</w:t>
      </w:r>
    </w:p>
    <w:p>
      <w:pPr>
        <w:spacing w:after="0" w:line="117" w:lineRule="exact"/>
        <w:rPr>
          <w:rFonts w:ascii="Times New Roman" w:cs="Times New Roman" w:eastAsia="Times New Roman" w:hAnsi="Times New Roman"/>
          <w:sz w:val="18"/>
          <w:szCs w:val="18"/>
          <w:color w:val="auto"/>
        </w:rPr>
      </w:pPr>
    </w:p>
    <w:p>
      <w:pPr>
        <w:ind w:left="420" w:right="200" w:firstLine="1371"/>
        <w:spacing w:after="0" w:line="282" w:lineRule="auto"/>
        <w:tabs>
          <w:tab w:leader="none" w:pos="21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shares of the Corporation, is entitled to vote at such meeting and intends to appear in person or by proxy at the meeting to nominate the person or persons specified in the notice;</w:t>
      </w:r>
    </w:p>
    <w:p>
      <w:pPr>
        <w:spacing w:after="0" w:line="53" w:lineRule="exact"/>
        <w:rPr>
          <w:rFonts w:ascii="Times New Roman" w:cs="Times New Roman" w:eastAsia="Times New Roman" w:hAnsi="Times New Roman"/>
          <w:sz w:val="18"/>
          <w:szCs w:val="18"/>
          <w:color w:val="auto"/>
        </w:rPr>
      </w:pPr>
    </w:p>
    <w:p>
      <w:pPr>
        <w:ind w:left="420" w:right="40" w:firstLine="1371"/>
        <w:spacing w:after="0" w:line="266" w:lineRule="auto"/>
        <w:tabs>
          <w:tab w:leader="none" w:pos="20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67" w:lineRule="exact"/>
        <w:rPr>
          <w:rFonts w:ascii="Times New Roman" w:cs="Times New Roman" w:eastAsia="Times New Roman" w:hAnsi="Times New Roman"/>
          <w:sz w:val="18"/>
          <w:szCs w:val="18"/>
          <w:color w:val="auto"/>
        </w:rPr>
      </w:pPr>
    </w:p>
    <w:p>
      <w:pPr>
        <w:ind w:left="420" w:right="120" w:firstLine="1371"/>
        <w:spacing w:after="0" w:line="261" w:lineRule="auto"/>
        <w:tabs>
          <w:tab w:leader="none" w:pos="20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Corporation’s outstanding capital stock required to elect the nominee, or (ii) otherwise solicit proxies from stockholders in support of such nominee.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70" w:right="459" w:bottom="1440" w:gutter="0" w:footer="0" w:header="0"/>
        </w:sectPr>
      </w:pPr>
    </w:p>
    <w:bookmarkStart w:id="26" w:name="page27"/>
    <w:bookmarkEnd w:id="26"/>
    <w:p>
      <w:pPr>
        <w:ind w:left="-20" w:firstLine="987"/>
        <w:spacing w:after="0" w:line="252" w:lineRule="auto"/>
        <w:tabs>
          <w:tab w:leader="none" w:pos="11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the qualifications set out in Section 11 of Article II of these Bylaws, to be eligible to be a nominee for election or reelection as a director of the Corporation,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Corporation at the principal executive office of the Corporation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Corporation, including without limitation (i) all information concerning such person that would be required to be disclosed in solicitation of proxies for election of directors pursuant to and in accordance with Regulation 14A under the Exchange Act and (ii) any information the Corporation may reasonably request to determine the eligibility of the proposed nominee to serve as an independent director under the rules of any exchange upon which shares of the Corporation’s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Corporation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would be in compliance, if elected as a director of the Corporation, and will comply with all applicable corporate governance, conflict of interest, confidentiality and stock ownership and trading policies and guidelines of the Corporation. For purposes of this Section 1(f) of Article II of these Bylaws a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shall include any person being considered to fill a vacancy on the Board.</w:t>
      </w:r>
    </w:p>
    <w:p>
      <w:pPr>
        <w:spacing w:after="0" w:line="187"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person shall be eligible for election as a director of the Corporation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(e)(v)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any references in these Bylaws to the Exchange Act or the rules promulgated thereunder are not intended to and shall not limit the requirements applicable to nominations to be considered pursuant to this Section 1 of Article II of these Bylaws (including clause (c) of this Section 1). Nothing in this Section 1 of Article II of these Bylaws shall be deemed to affect any rights of the holders of any series of preferred stock of the Corporation to elect directors pursuant to any applicable provisions of the Certificate of Incorporation.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27" w:name="page28"/>
    <w:bookmarkEnd w:id="27"/>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POWERS: The Board shall have power to manage and control the property and affairs of the Corporation, and to do all such lawful acts and things which, in its absolute judgment and discretion, it may deem necessary and appropriate for the expedient conduct and furtherance of the Corporation’s business.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Corporation, by oral, written or email notice duly given, sent or mailed to each director, at such director’s last known address, not less than twenty-four hours before such meeting;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8"/>
          <w:szCs w:val="18"/>
          <w:u w:val="single" w:color="auto"/>
          <w:color w:val="auto"/>
        </w:rPr>
        <w:t>owever,</w:t>
      </w:r>
      <w:r>
        <w:rPr>
          <w:rFonts w:ascii="Times New Roman" w:cs="Times New Roman" w:eastAsia="Times New Roman" w:hAnsi="Times New Roman"/>
          <w:sz w:val="18"/>
          <w:szCs w:val="18"/>
          <w:color w:val="auto"/>
        </w:rPr>
        <w:t xml:space="preserve">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188" w:lineRule="exact"/>
        <w:rPr>
          <w:sz w:val="20"/>
          <w:szCs w:val="20"/>
          <w:color w:val="auto"/>
        </w:rPr>
      </w:pPr>
    </w:p>
    <w:p>
      <w:pPr>
        <w:jc w:val="both"/>
        <w:ind w:right="20" w:firstLine="987"/>
        <w:spacing w:after="0" w:line="266"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QUORUM: A majority of the directors then in office shall constitute a quorum at all meetings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28" w:name="page29"/>
    <w:bookmarkEnd w:id="28"/>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RESIGNATION OF DIRECTORS: Any director of the Corporation may resign at any time by giving notice of such resignation in writing or by electronic transmission to the Board, the Chairperson of the Board or the President or Secretary of the Corporation. Any such resignation shall take effect at the time specified therein or, if no time is specified, upon receipt thereof by the Board, the Chairperson of the Board or one of the above-named officers of the Corporation; and, unless specified therein, the acceptance of such resignation shall not be necessary to make it effective.</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8. VACANCIES: Subject to the rights, if any, of the holders of any class of capital stock of the Corporation (other than the Common Stock) then outstanding, any vacancies in the Board which occur for any reason prior to the expiration of a director’s term of office, and any newly created directorships by reason of an increase in the number of directors, may be filled only by the Board, acting by the affirmative vote of a majority of the remaining directors then in office (even if less than a quorum), or by a sole remaining director.</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 COMPENSATION OF DIRECTORS: The Board may, by resolution passed by a majority of the entire Board, fix the terms and amount of compensation payable to any person for his or her services as director, if he or she is not otherwise compensated for services rendered as an officer or employee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director may be reimbursed for reasonable and necessary expenses of attending meetings of the Board, or otherwise incurred for any Corporation purpose;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members of any special or standing committee of directors also may be allowed compensation and expenses similarly incurred. Nothing herein contained shall be construed to preclude any director from serving the Corporation in any other capacity and receiving compensation therefor.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10. COMMITTEES OF THE BOARD OF DIRECTORS: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Corporation, in the intervals between meetings of the Board, (ii) may appoint any other committee or committees, with such members, functions and powers as the Board may designate, and (iii)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9" w:name="page30"/>
    <w:bookmarkEnd w:id="29"/>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 – OFFICERS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 OFFICERS; ELECTION: The officers of the Corporation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Corporation,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TERMS: All officers of the Corporation shall hold their respective offices until their death, resignation or removal.</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SECTION 3. POWERS; DUTIES: Each officer of the Corporation shall have such powers and duties as may be prescribed by resolution of the Board or as may be assigned by the Board or the President of the Corporation.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Corporation will be served thereby, but such removal shall be without prejudice to the contract rights, if any, of the officer or agent so removed. Any vacancy occurring in any office of the Corporation shall be filled by the person or persons, which shall include the Board where applicable, that have authority to appoint such officer.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 – CAPITAL STOCK</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STOCK CERTIFICATES AND UNCERTIFICATED SHARES: (a)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provide by resolution that some or all of any classes or series of the Corporation’s capital stock shall be uncertificated shares. Any such resolution shall not apply to shares represented by a certificate until such certificate is surrendered to the Corporation. Every holder of stock represented by certificates shall be entitled to have a certificate, in any form approved by the Board, signed by any two authorized officers of the Corporation (it being understood that the Chairperson of the Board, the Chief Executive Officer, the President, any Vice President, the Secretary, any Assistant Secretary, the Treasurer and any Assistant Treasurer shall be an authorized officer for such purpose) and any or all signatures on a certificate may be a facsimile.</w:t>
      </w:r>
    </w:p>
    <w:p>
      <w:pPr>
        <w:spacing w:after="0" w:line="189" w:lineRule="exact"/>
        <w:rPr>
          <w:sz w:val="20"/>
          <w:szCs w:val="20"/>
          <w:color w:val="auto"/>
        </w:rPr>
      </w:pPr>
    </w:p>
    <w:p>
      <w:pPr>
        <w:ind w:left="5420" w:right="3920" w:hanging="4433"/>
        <w:spacing w:after="0" w:line="454" w:lineRule="auto"/>
        <w:tabs>
          <w:tab w:leader="none" w:pos="12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of stock of each class and series shall be numbered appropriately. 14</w:t>
      </w:r>
    </w:p>
    <w:p>
      <w:pPr>
        <w:sectPr>
          <w:pgSz w:w="11900" w:h="16838" w:orient="portrait"/>
          <w:cols w:equalWidth="0" w:num="1">
            <w:col w:w="10980"/>
          </w:cols>
          <w:pgMar w:left="440" w:top="270" w:right="479" w:bottom="1440" w:gutter="0" w:footer="0" w:header="0"/>
        </w:sectPr>
      </w:pPr>
    </w:p>
    <w:bookmarkStart w:id="30" w:name="page31"/>
    <w:bookmarkEnd w:id="30"/>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RECORD OWNERSHIP: The Corporation shall maintain a record of the name and address of the holder of each share of Corporation capital stock, the number of shares held by such holder thereby, and the date of issue thereof. The Corporation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3. TRANSFERS: Transfers of shares of capital stock shall be made on the books of the Corporation only by direction of the holder thereof in person or by his, her or its duly authorized attorney or legal representative. Upon transfer of certificated shares, the old certificates shall be surrendered to the Corporation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Corporation.</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SECTION 4. TRANSFER AGENTS; REGISTRARS: The Board shall, by resolution, from time to time appoint one or more transfer agents, that may be officers or employees of the Corporation, to make transfers of shares of capital stock of the Corporation and one or more registrars to register shares of capital stock issued by or on behalf of the Corporation. The Board may adopt such rules as it may deem expedient concerning the issue, transfer and registration of shares of capital stock of the Corporation.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5. LOST CERTIFICATES: The Corporation may issue a new certificate in place of any certificate theretofore issued by it which is alleged to have been lost, stolen or destroyed and the Board may require the owner of the lost, stolen or destroyed certificate or the owner’s legal representative to give the Corporation a bond in a sum and in a form approved by the Board, and with a surety or sureties which the Board finds satisfactory, to indemnify the Corporation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Corporation any of the powers and authorities contained in this section.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 RECORD DATES: 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the determination of the stockholders entitled to notice of or to vote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 SEAL, BOOKS, FISCAL YEAR, AMENDMENT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SECTION 1. SEAL: The corporate seal, if any, of the Corporation shall be in such form as may be approved from time to time by the Board. The seal may be used by causing it or a facsimile thereof to be impressed or affixed or in any other manner reproduced.</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SECTION 2. PLACE FOR KEEPING BOOKS AND SEAL: The books of the Corporation, and its corporate minutes and corporate seal, shall be kept in the custody of the Secretary of the Corporation at the principal executive office of the Corporation, or at such other place or places and in the custody of such other person or persons as the Board may from time to time determine.</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Corporation, and such notice shall be deemed to be given at the time when the same shall be thus mailed, or may be given by facsimile or other electronic transmission to the extent authorized or allowed by law.</w:t>
      </w:r>
    </w:p>
    <w:p>
      <w:pPr>
        <w:spacing w:after="0" w:line="183" w:lineRule="exact"/>
        <w:rPr>
          <w:sz w:val="20"/>
          <w:szCs w:val="20"/>
          <w:color w:val="auto"/>
        </w:rPr>
      </w:pPr>
    </w:p>
    <w:p>
      <w:pPr>
        <w:ind w:firstLine="987"/>
        <w:spacing w:after="0" w:line="254"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FISCAL YEAR: The fiscal year of the Corporation shall commence with the first day of October in each year.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2" w:name="page33"/>
    <w:bookmarkEnd w:id="3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AMENDMENT: The Board may amend, alter, change or repeal any provision of these Bylaws. The stockholders of the Corporation also may amend, alter, change or repeal any provision of these Bylaws upon the affirmative vote of a majority of all of the voting power of the Corporation entitled to vote thereon.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5"/>
    </w:lvl>
    <w:lvl w:ilvl="1">
      <w:lvlJc w:val="left"/>
      <w:lvlText w:val="(%2)"/>
      <w:numFmt w:val="lowerRoman"/>
      <w:start w:val="1"/>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7"/>
    </w:lvl>
  </w:abstractNum>
  <w:abstractNum w:abstractNumId="5">
    <w:nsid w:val="62BBD95A"/>
    <w:multiLevelType w:val="hybridMultilevel"/>
    <w:lvl w:ilvl="0">
      <w:lvlJc w:val="left"/>
      <w:lvlText w:val="(%1)"/>
      <w:numFmt w:val="decimal"/>
      <w:start w:val="7"/>
    </w:lvl>
  </w:abstractNum>
  <w:abstractNum w:abstractNumId="6">
    <w:nsid w:val="436C6125"/>
    <w:multiLevelType w:val="hybridMultilevel"/>
    <w:lvl w:ilvl="0">
      <w:lvlJc w:val="left"/>
      <w:lvlText w:val="%1."/>
      <w:numFmt w:val="decimal"/>
      <w:start w:val="8"/>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Letter"/>
      <w:start w:val="1"/>
    </w:lvl>
    <w:lvl w:ilvl="1">
      <w:lvlJc w:val="left"/>
      <w:lvlText w:val="(%2)"/>
      <w:numFmt w:val="lowerRoman"/>
      <w:start w:val="2"/>
    </w:lvl>
  </w:abstractNum>
  <w:abstractNum w:abstractNumId="9">
    <w:nsid w:val="721DA317"/>
    <w:multiLevelType w:val="hybridMultilevel"/>
    <w:lvl w:ilvl="0">
      <w:lvlJc w:val="left"/>
      <w:lvlText w:val="(%1)"/>
      <w:numFmt w:val="lowerLetter"/>
      <w:start w:val="2"/>
    </w:lvl>
    <w:lvl w:ilvl="1">
      <w:lvlJc w:val="left"/>
      <w:lvlText w:val="(%2)"/>
      <w:numFmt w:val="lowerRoman"/>
      <w:start w:val="4"/>
    </w:lvl>
  </w:abstractNum>
  <w:abstractNum w:abstractNumId="10">
    <w:nsid w:val="2443A858"/>
    <w:multiLevelType w:val="hybridMultilevel"/>
    <w:lvl w:ilvl="0">
      <w:lvlJc w:val="left"/>
      <w:lvlText w:val="%1"/>
      <w:numFmt w:val="decimal"/>
      <w:start w:val="1"/>
    </w:lvl>
    <w:lvl w:ilvl="1">
      <w:lvlJc w:val="left"/>
      <w:lvlText w:val="(%2)"/>
      <w:numFmt w:val="lowerRoman"/>
      <w:start w:val="1"/>
    </w:lvl>
  </w:abstractNum>
  <w:abstractNum w:abstractNumId="11">
    <w:nsid w:val="2D1D5AE9"/>
    <w:multiLevelType w:val="hybridMultilevel"/>
    <w:lvl w:ilvl="0">
      <w:lvlJc w:val="left"/>
      <w:lvlText w:val="%1."/>
      <w:numFmt w:val="decimal"/>
      <w:start w:val="9"/>
    </w:lvl>
    <w:lvl w:ilvl="1">
      <w:lvlJc w:val="left"/>
      <w:lvlText w:val="%2"/>
      <w:numFmt w:val="lowerRoman"/>
      <w:start w:val="1"/>
    </w:lvl>
  </w:abstractNum>
  <w:abstractNum w:abstractNumId="12">
    <w:nsid w:val="6763845E"/>
    <w:multiLevelType w:val="hybridMultilevel"/>
    <w:lvl w:ilvl="0">
      <w:lvlJc w:val="left"/>
      <w:lvlText w:val="(%1)"/>
      <w:numFmt w:val="lowerRoman"/>
      <w:start w:val="1"/>
    </w:lvl>
  </w:abstractNum>
  <w:abstractNum w:abstractNumId="13">
    <w:nsid w:val="75A2A8D4"/>
    <w:multiLevelType w:val="hybridMultilevel"/>
    <w:lvl w:ilvl="0">
      <w:lvlJc w:val="left"/>
      <w:lvlText w:val="(%1)"/>
      <w:numFmt w:val="lowerRoman"/>
      <w:start w:val="2"/>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Roman"/>
      <w:start w:val="3"/>
    </w:lvl>
  </w:abstractNum>
  <w:abstractNum w:abstractNumId="16">
    <w:nsid w:val="4353D0CD"/>
    <w:multiLevelType w:val="hybridMultilevel"/>
    <w:lvl w:ilvl="0">
      <w:lvlJc w:val="left"/>
      <w:lvlText w:val="%1."/>
      <w:numFmt w:val="decimal"/>
      <w:start w:val="10"/>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3"/>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lowerLetter"/>
      <w:start w:val="1"/>
    </w:lvl>
    <w:lvl w:ilvl="1">
      <w:lvlJc w:val="left"/>
      <w:lvlText w:val="(%2)"/>
      <w:numFmt w:val="lowerLetter"/>
      <w:start w:val="2"/>
    </w:lvl>
  </w:abstractNum>
  <w:abstractNum w:abstractNumId="26">
    <w:nsid w:val="1E7FF521"/>
    <w:multiLevelType w:val="hybridMultilevel"/>
    <w:lvl w:ilvl="0">
      <w:lvlJc w:val="left"/>
      <w:lvlText w:val="(%1)"/>
      <w:numFmt w:val="lowerLetter"/>
      <w:start w:val="24"/>
    </w:lvl>
    <w:lvl w:ilvl="1">
      <w:lvlJc w:val="left"/>
      <w:lvlText w:val="%2"/>
      <w:numFmt w:val="lowerLetter"/>
      <w:start w:val="1"/>
    </w:lvl>
  </w:abstractNum>
  <w:abstractNum w:abstractNumId="27">
    <w:nsid w:val="7C3DBD3D"/>
    <w:multiLevelType w:val="hybridMultilevel"/>
    <w:lvl w:ilvl="0">
      <w:lvlJc w:val="left"/>
      <w:lvlText w:val="(%1)"/>
      <w:numFmt w:val="lowerLetter"/>
      <w:start w:val="4"/>
    </w:lvl>
    <w:lvl w:ilvl="1">
      <w:lvlJc w:val="left"/>
      <w:lvlText w:val="(%2)"/>
      <w:numFmt w:val="lowerRoman"/>
      <w:start w:val="1"/>
    </w:lvl>
  </w:abstractNum>
  <w:abstractNum w:abstractNumId="28">
    <w:nsid w:val="737B8DDC"/>
    <w:multiLevelType w:val="hybridMultilevel"/>
    <w:lvl w:ilvl="0">
      <w:lvlJc w:val="left"/>
      <w:lvlText w:val="%1"/>
      <w:numFmt w:val="lowerLetter"/>
      <w:start w:val="1"/>
    </w:lvl>
    <w:lvl w:ilvl="1">
      <w:lvlJc w:val="left"/>
      <w:lvlText w:val="(%2)"/>
      <w:numFmt w:val="lowerRoman"/>
      <w:start w:val="4"/>
    </w:lvl>
  </w:abstractNum>
  <w:abstractNum w:abstractNumId="29">
    <w:nsid w:val="6CEAF087"/>
    <w:multiLevelType w:val="hybridMultilevel"/>
    <w:lvl w:ilvl="0">
      <w:lvlJc w:val="left"/>
      <w:lvlText w:val="(%1)"/>
      <w:numFmt w:val="lowerLetter"/>
      <w:start w:val="5"/>
    </w:lvl>
    <w:lvl w:ilvl="1">
      <w:lvlJc w:val="left"/>
      <w:lvlText w:val="(%2)"/>
      <w:numFmt w:val="lowerRoman"/>
      <w:start w:val="1"/>
    </w:lvl>
  </w:abstractNum>
  <w:abstractNum w:abstractNumId="30">
    <w:nsid w:val="22221A70"/>
    <w:multiLevelType w:val="hybridMultilevel"/>
    <w:lvl w:ilvl="0">
      <w:lvlJc w:val="left"/>
      <w:lvlText w:val="(%1)"/>
      <w:numFmt w:val="lowerLetter"/>
      <w:start w:val="6"/>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2025-01-31T15:13:58Z</dcterms:created>
  <dcterms:modified xsi:type="dcterms:W3CDTF">2025-01-31T15:13:58Z</dcterms:modified>
</cp:coreProperties>
</file>