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370840</wp:posOffset>
            </wp:positionH>
            <wp:positionV relativeFrom="page">
              <wp:posOffset>852170</wp:posOffset>
            </wp:positionV>
            <wp:extent cx="60947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94730" cy="8255"/>
                    </a:xfrm>
                    <a:prstGeom prst="rect">
                      <a:avLst/>
                    </a:prstGeom>
                    <a:noFill/>
                  </pic:spPr>
                </pic:pic>
              </a:graphicData>
            </a:graphic>
          </wp:anchor>
        </w:drawing>
        <w:drawing>
          <wp:anchor simplePos="0" relativeHeight="251657728" behindDoc="1" locked="0" layoutInCell="0" allowOverlap="1">
            <wp:simplePos x="0" y="0"/>
            <wp:positionH relativeFrom="page">
              <wp:posOffset>370840</wp:posOffset>
            </wp:positionH>
            <wp:positionV relativeFrom="page">
              <wp:posOffset>877570</wp:posOffset>
            </wp:positionV>
            <wp:extent cx="60947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94730" cy="8890"/>
                    </a:xfrm>
                    <a:prstGeom prst="rect">
                      <a:avLst/>
                    </a:prstGeom>
                    <a:noFill/>
                  </pic:spPr>
                </pic:pic>
              </a:graphicData>
            </a:graphic>
          </wp:anchor>
        </w:drawing>
      </w:r>
    </w:p>
    <w:p>
      <w:pPr>
        <w:jc w:val="center"/>
        <w:ind w:right="-15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59"/>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9" w:lineRule="exact"/>
        <w:rPr>
          <w:sz w:val="24"/>
          <w:szCs w:val="24"/>
          <w:color w:val="auto"/>
        </w:rPr>
      </w:pPr>
    </w:p>
    <w:p>
      <w:pPr>
        <w:ind w:left="4440"/>
        <w:spacing w:after="0"/>
        <w:rPr>
          <w:sz w:val="20"/>
          <w:szCs w:val="20"/>
          <w:color w:val="auto"/>
        </w:rPr>
      </w:pPr>
      <w:r>
        <w:rPr>
          <w:rFonts w:ascii="Arial" w:cs="Arial" w:eastAsia="Arial" w:hAnsi="Arial"/>
          <w:sz w:val="22"/>
          <w:szCs w:val="22"/>
          <w:color w:val="auto"/>
        </w:rPr>
        <w:t>______________________</w:t>
      </w:r>
    </w:p>
    <w:p>
      <w:pPr>
        <w:spacing w:after="0" w:line="74"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8-K</w:t>
      </w:r>
    </w:p>
    <w:p>
      <w:pPr>
        <w:spacing w:after="0" w:line="321"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ind w:left="412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4" w:lineRule="exact"/>
        <w:rPr>
          <w:sz w:val="24"/>
          <w:szCs w:val="24"/>
          <w:color w:val="auto"/>
        </w:rPr>
      </w:pPr>
    </w:p>
    <w:p>
      <w:pPr>
        <w:ind w:left="4140"/>
        <w:spacing w:after="0"/>
        <w:rPr>
          <w:sz w:val="20"/>
          <w:szCs w:val="20"/>
          <w:color w:val="auto"/>
        </w:rPr>
      </w:pPr>
      <w:r>
        <w:rPr>
          <w:rFonts w:ascii="Arial" w:cs="Arial" w:eastAsia="Arial" w:hAnsi="Arial"/>
          <w:sz w:val="22"/>
          <w:szCs w:val="22"/>
          <w:b w:val="1"/>
          <w:bCs w:val="1"/>
          <w:color w:val="auto"/>
        </w:rPr>
        <w:t>Securities Exchange Act of 1934</w:t>
      </w:r>
    </w:p>
    <w:p>
      <w:pPr>
        <w:spacing w:after="0" w:line="151"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March 3,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120015</wp:posOffset>
            </wp:positionV>
            <wp:extent cx="1499870" cy="7626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9870" cy="7626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p>
      <w:pPr>
        <w:jc w:val="center"/>
        <w:ind w:right="-159"/>
        <w:spacing w:after="0"/>
        <w:rPr>
          <w:sz w:val="20"/>
          <w:szCs w:val="20"/>
          <w:color w:val="auto"/>
        </w:rPr>
      </w:pPr>
      <w:r>
        <w:rPr>
          <w:rFonts w:ascii="Arial" w:cs="Arial" w:eastAsia="Arial" w:hAnsi="Arial"/>
          <w:sz w:val="36"/>
          <w:szCs w:val="36"/>
          <w:b w:val="1"/>
          <w:bCs w:val="1"/>
          <w:color w:val="auto"/>
        </w:rPr>
        <w:t>BellRing Brands, Inc.</w:t>
      </w:r>
    </w:p>
    <w:p>
      <w:pPr>
        <w:spacing w:after="0" w:line="150"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080"/>
          </w:cols>
          <w:pgMar w:left="320" w:top="1440" w:right="499" w:bottom="1440" w:gutter="0" w:footer="0" w:header="0"/>
        </w:sectPr>
      </w:pPr>
    </w:p>
    <w:p>
      <w:pPr>
        <w:spacing w:after="0" w:line="41" w:lineRule="exact"/>
        <w:rPr>
          <w:sz w:val="24"/>
          <w:szCs w:val="24"/>
          <w:color w:val="auto"/>
        </w:rPr>
      </w:pPr>
    </w:p>
    <w:p>
      <w:pPr>
        <w:ind w:left="1240"/>
        <w:spacing w:after="0"/>
        <w:rPr>
          <w:sz w:val="20"/>
          <w:szCs w:val="20"/>
          <w:color w:val="auto"/>
        </w:rPr>
      </w:pPr>
      <w:r>
        <w:rPr>
          <w:rFonts w:ascii="Arial" w:cs="Arial" w:eastAsia="Arial" w:hAnsi="Arial"/>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jc w:val="center"/>
        <w:ind w:right="1680"/>
        <w:spacing w:after="0"/>
        <w:rPr>
          <w:sz w:val="20"/>
          <w:szCs w:val="20"/>
          <w:color w:val="auto"/>
        </w:rPr>
      </w:pPr>
      <w:r>
        <w:rPr>
          <w:rFonts w:ascii="Arial" w:cs="Arial" w:eastAsia="Arial" w:hAnsi="Arial"/>
          <w:sz w:val="16"/>
          <w:szCs w:val="16"/>
          <w:b w:val="1"/>
          <w:bCs w:val="1"/>
          <w:color w:val="auto"/>
        </w:rPr>
        <w:t>001-39093</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jc w:val="center"/>
        <w:ind w:right="2380"/>
        <w:spacing w:after="0"/>
        <w:rPr>
          <w:sz w:val="20"/>
          <w:szCs w:val="20"/>
          <w:color w:val="auto"/>
        </w:rPr>
      </w:pPr>
      <w:r>
        <w:rPr>
          <w:rFonts w:ascii="Arial" w:cs="Arial" w:eastAsia="Arial" w:hAnsi="Arial"/>
          <w:sz w:val="16"/>
          <w:szCs w:val="16"/>
          <w:b w:val="1"/>
          <w:bCs w:val="1"/>
          <w:color w:val="auto"/>
        </w:rPr>
        <w:t>83-4096323</w:t>
      </w:r>
    </w:p>
    <w:p>
      <w:pPr>
        <w:spacing w:after="0" w:line="71" w:lineRule="exact"/>
        <w:rPr>
          <w:sz w:val="24"/>
          <w:szCs w:val="24"/>
          <w:color w:val="auto"/>
        </w:rPr>
      </w:pPr>
    </w:p>
    <w:p>
      <w:pPr>
        <w:sectPr>
          <w:pgSz w:w="11900" w:h="16838" w:orient="portrait"/>
          <w:cols w:equalWidth="0" w:num="3">
            <w:col w:w="3780" w:space="720"/>
            <w:col w:w="2540" w:space="720"/>
            <w:col w:w="3320"/>
          </w:cols>
          <w:pgMar w:left="320" w:top="1440" w:right="499" w:bottom="1440" w:gutter="0" w:footer="0" w:header="0"/>
          <w:type w:val="continuous"/>
        </w:sectPr>
      </w:pPr>
    </w:p>
    <w:p>
      <w:pPr>
        <w:ind w:left="6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(IRS Employer Identification No.)</w:t>
      </w:r>
    </w:p>
    <w:p>
      <w:pPr>
        <w:spacing w:after="0" w:line="200" w:lineRule="exact"/>
        <w:rPr>
          <w:sz w:val="24"/>
          <w:szCs w:val="24"/>
          <w:color w:val="auto"/>
        </w:rPr>
      </w:pPr>
    </w:p>
    <w:p>
      <w:pPr>
        <w:sectPr>
          <w:pgSz w:w="11900" w:h="16838" w:orient="portrait"/>
          <w:cols w:equalWidth="0" w:num="3">
            <w:col w:w="3220" w:space="720"/>
            <w:col w:w="2340" w:space="720"/>
            <w:col w:w="4080"/>
          </w:cols>
          <w:pgMar w:left="320" w:top="1440" w:right="499" w:bottom="1440" w:gutter="0" w:footer="0" w:header="0"/>
          <w:type w:val="continuous"/>
        </w:sectPr>
      </w:pPr>
    </w:p>
    <w:p>
      <w:pPr>
        <w:spacing w:after="0" w:line="170" w:lineRule="exact"/>
        <w:rPr>
          <w:sz w:val="24"/>
          <w:szCs w:val="24"/>
          <w:color w:val="auto"/>
        </w:rPr>
      </w:pPr>
    </w:p>
    <w:p>
      <w:pPr>
        <w:ind w:left="760"/>
        <w:spacing w:after="0"/>
        <w:rPr>
          <w:sz w:val="20"/>
          <w:szCs w:val="20"/>
          <w:color w:val="auto"/>
        </w:rPr>
      </w:pPr>
      <w:r>
        <w:rPr>
          <w:rFonts w:ascii="Arial" w:cs="Arial" w:eastAsia="Arial" w:hAnsi="Arial"/>
          <w:sz w:val="16"/>
          <w:szCs w:val="16"/>
          <w:b w:val="1"/>
          <w:bCs w:val="1"/>
          <w:color w:val="auto"/>
        </w:rPr>
        <w:t>2503 S. Hanley Road</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St. Louis</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Missouri</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63144</w:t>
      </w:r>
    </w:p>
    <w:p>
      <w:pPr>
        <w:spacing w:after="0" w:line="72" w:lineRule="exact"/>
        <w:rPr>
          <w:sz w:val="24"/>
          <w:szCs w:val="24"/>
          <w:color w:val="auto"/>
        </w:rPr>
      </w:pPr>
    </w:p>
    <w:p>
      <w:pPr>
        <w:sectPr>
          <w:pgSz w:w="11900" w:h="16838" w:orient="portrait"/>
          <w:cols w:equalWidth="0" w:num="4">
            <w:col w:w="3080" w:space="720"/>
            <w:col w:w="940" w:space="720"/>
            <w:col w:w="1800" w:space="720"/>
            <w:col w:w="3100"/>
          </w:cols>
          <w:pgMar w:left="320" w:top="1440" w:right="499" w:bottom="1440" w:gutter="0" w:footer="0" w:header="0"/>
          <w:type w:val="continuous"/>
        </w:sectPr>
      </w:pPr>
    </w:p>
    <w:p>
      <w:pPr>
        <w:ind w:left="182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140" w:lineRule="exact"/>
        <w:rPr>
          <w:sz w:val="24"/>
          <w:szCs w:val="24"/>
          <w:color w:val="auto"/>
        </w:rPr>
      </w:pPr>
    </w:p>
    <w:p>
      <w:pPr>
        <w:sectPr>
          <w:pgSz w:w="11900" w:h="16838" w:orient="portrait"/>
          <w:cols w:equalWidth="0" w:num="2">
            <w:col w:w="7120" w:space="720"/>
            <w:col w:w="3240"/>
          </w:cols>
          <w:pgMar w:left="320" w:top="1440" w:right="499" w:bottom="1440" w:gutter="0" w:footer="0" w:header="0"/>
          <w:type w:val="continuous"/>
        </w:sectPr>
      </w:pPr>
    </w:p>
    <w:p>
      <w:pPr>
        <w:jc w:val="center"/>
        <w:ind w:right="-17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9"/>
          <w:szCs w:val="19"/>
          <w:b w:val="1"/>
          <w:bCs w:val="1"/>
          <w:color w:val="auto"/>
        </w:rPr>
        <w:t>(314) 644-7600</w:t>
      </w:r>
    </w:p>
    <w:p>
      <w:pPr>
        <w:spacing w:after="0" w:line="195"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680" w:hanging="348"/>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700" w:hanging="368"/>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700" w:hanging="368"/>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700" w:hanging="368"/>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2" w:lineRule="exact"/>
        <w:rPr>
          <w:sz w:val="24"/>
          <w:szCs w:val="24"/>
          <w:color w:val="auto"/>
        </w:rPr>
      </w:pPr>
    </w:p>
    <w:tbl>
      <w:tblPr>
        <w:tblLayout w:type="fixed"/>
        <w:tblInd w:w="160" w:type="dxa"/>
        <w:tblCellMar>
          <w:top w:w="0" w:type="dxa"/>
          <w:left w:w="0" w:type="dxa"/>
          <w:bottom w:w="0" w:type="dxa"/>
          <w:right w:w="0" w:type="dxa"/>
        </w:tblCellMar>
      </w:tblPr>
      <w:tr>
        <w:trPr>
          <w:trHeight w:val="207"/>
        </w:trPr>
        <w:tc>
          <w:tcPr>
            <w:tcW w:w="1040" w:type="dxa"/>
            <w:vAlign w:val="bottom"/>
          </w:tcPr>
          <w:p>
            <w:pPr>
              <w:spacing w:after="0"/>
              <w:rPr>
                <w:sz w:val="18"/>
                <w:szCs w:val="18"/>
                <w:color w:val="auto"/>
              </w:rPr>
            </w:pPr>
          </w:p>
        </w:tc>
        <w:tc>
          <w:tcPr>
            <w:tcW w:w="2680" w:type="dxa"/>
            <w:vAlign w:val="bottom"/>
            <w:gridSpan w:val="2"/>
          </w:tcPr>
          <w:p>
            <w:pPr>
              <w:jc w:val="center"/>
              <w:ind w:right="1380"/>
              <w:spacing w:after="0"/>
              <w:rPr>
                <w:sz w:val="20"/>
                <w:szCs w:val="20"/>
                <w:color w:val="auto"/>
              </w:rPr>
            </w:pPr>
            <w:r>
              <w:rPr>
                <w:rFonts w:ascii="Arial" w:cs="Arial" w:eastAsia="Arial" w:hAnsi="Arial"/>
                <w:sz w:val="18"/>
                <w:szCs w:val="18"/>
                <w:color w:val="auto"/>
                <w:w w:val="90"/>
              </w:rPr>
              <w:t>Title of each class</w:t>
            </w:r>
          </w:p>
        </w:tc>
        <w:tc>
          <w:tcPr>
            <w:tcW w:w="2120" w:type="dxa"/>
            <w:vAlign w:val="bottom"/>
            <w:gridSpan w:val="3"/>
          </w:tcPr>
          <w:p>
            <w:pPr>
              <w:jc w:val="center"/>
              <w:ind w:right="80"/>
              <w:spacing w:after="0"/>
              <w:rPr>
                <w:sz w:val="20"/>
                <w:szCs w:val="20"/>
                <w:color w:val="auto"/>
              </w:rPr>
            </w:pPr>
            <w:r>
              <w:rPr>
                <w:rFonts w:ascii="Arial" w:cs="Arial" w:eastAsia="Arial" w:hAnsi="Arial"/>
                <w:sz w:val="18"/>
                <w:szCs w:val="18"/>
                <w:color w:val="auto"/>
                <w:w w:val="92"/>
              </w:rPr>
              <w:t>Trading Symbol(s)</w:t>
            </w:r>
          </w:p>
        </w:tc>
        <w:tc>
          <w:tcPr>
            <w:tcW w:w="3580" w:type="dxa"/>
            <w:vAlign w:val="bottom"/>
            <w:gridSpan w:val="2"/>
          </w:tcPr>
          <w:p>
            <w:pPr>
              <w:jc w:val="center"/>
              <w:ind w:left="310"/>
              <w:spacing w:after="0"/>
              <w:rPr>
                <w:sz w:val="20"/>
                <w:szCs w:val="20"/>
                <w:color w:val="auto"/>
              </w:rPr>
            </w:pPr>
            <w:r>
              <w:rPr>
                <w:rFonts w:ascii="Arial" w:cs="Arial" w:eastAsia="Arial" w:hAnsi="Arial"/>
                <w:sz w:val="18"/>
                <w:szCs w:val="18"/>
                <w:color w:val="auto"/>
                <w:w w:val="89"/>
              </w:rPr>
              <w:t>Name of each exchange on which registered</w:t>
            </w:r>
          </w:p>
        </w:tc>
      </w:tr>
      <w:tr>
        <w:trPr>
          <w:trHeight w:val="20"/>
        </w:trPr>
        <w:tc>
          <w:tcPr>
            <w:tcW w:w="10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196"/>
        </w:trPr>
        <w:tc>
          <w:tcPr>
            <w:tcW w:w="3720" w:type="dxa"/>
            <w:vAlign w:val="bottom"/>
            <w:gridSpan w:val="3"/>
          </w:tcPr>
          <w:p>
            <w:pPr>
              <w:jc w:val="center"/>
              <w:ind w:right="340"/>
              <w:spacing w:after="0" w:line="196" w:lineRule="exact"/>
              <w:rPr>
                <w:sz w:val="20"/>
                <w:szCs w:val="20"/>
                <w:color w:val="auto"/>
              </w:rPr>
            </w:pPr>
            <w:r>
              <w:rPr>
                <w:rFonts w:ascii="Arial" w:cs="Arial" w:eastAsia="Arial" w:hAnsi="Arial"/>
                <w:sz w:val="18"/>
                <w:szCs w:val="18"/>
                <w:b w:val="1"/>
                <w:bCs w:val="1"/>
                <w:color w:val="auto"/>
                <w:w w:val="90"/>
              </w:rPr>
              <w:t>Class A Common Stock, $0.01 par value per</w:t>
            </w:r>
          </w:p>
        </w:tc>
        <w:tc>
          <w:tcPr>
            <w:tcW w:w="340" w:type="dxa"/>
            <w:vAlign w:val="bottom"/>
          </w:tcPr>
          <w:p>
            <w:pPr>
              <w:spacing w:after="0"/>
              <w:rPr>
                <w:sz w:val="17"/>
                <w:szCs w:val="17"/>
                <w:color w:val="auto"/>
              </w:rPr>
            </w:pPr>
          </w:p>
        </w:tc>
        <w:tc>
          <w:tcPr>
            <w:tcW w:w="1780" w:type="dxa"/>
            <w:vAlign w:val="bottom"/>
            <w:gridSpan w:val="2"/>
          </w:tcPr>
          <w:p>
            <w:pPr>
              <w:jc w:val="center"/>
              <w:ind w:right="400"/>
              <w:spacing w:after="0" w:line="196" w:lineRule="exact"/>
              <w:rPr>
                <w:sz w:val="20"/>
                <w:szCs w:val="20"/>
                <w:color w:val="auto"/>
              </w:rPr>
            </w:pPr>
            <w:r>
              <w:rPr>
                <w:rFonts w:ascii="Arial" w:cs="Arial" w:eastAsia="Arial" w:hAnsi="Arial"/>
                <w:sz w:val="18"/>
                <w:szCs w:val="18"/>
                <w:b w:val="1"/>
                <w:bCs w:val="1"/>
                <w:color w:val="auto"/>
                <w:w w:val="96"/>
              </w:rPr>
              <w:t>BRBR</w:t>
            </w:r>
          </w:p>
        </w:tc>
        <w:tc>
          <w:tcPr>
            <w:tcW w:w="400" w:type="dxa"/>
            <w:vAlign w:val="bottom"/>
          </w:tcPr>
          <w:p>
            <w:pPr>
              <w:spacing w:after="0"/>
              <w:rPr>
                <w:sz w:val="17"/>
                <w:szCs w:val="17"/>
                <w:color w:val="auto"/>
              </w:rPr>
            </w:pPr>
          </w:p>
        </w:tc>
        <w:tc>
          <w:tcPr>
            <w:tcW w:w="3180" w:type="dxa"/>
            <w:vAlign w:val="bottom"/>
          </w:tcPr>
          <w:p>
            <w:pPr>
              <w:jc w:val="center"/>
              <w:spacing w:after="0" w:line="196" w:lineRule="exact"/>
              <w:rPr>
                <w:sz w:val="20"/>
                <w:szCs w:val="20"/>
                <w:color w:val="auto"/>
              </w:rPr>
            </w:pPr>
            <w:r>
              <w:rPr>
                <w:rFonts w:ascii="Arial" w:cs="Arial" w:eastAsia="Arial" w:hAnsi="Arial"/>
                <w:sz w:val="18"/>
                <w:szCs w:val="18"/>
                <w:b w:val="1"/>
                <w:bCs w:val="1"/>
                <w:color w:val="auto"/>
                <w:w w:val="90"/>
              </w:rPr>
              <w:t>New York Stock Exchange</w:t>
            </w:r>
          </w:p>
        </w:tc>
      </w:tr>
      <w:tr>
        <w:trPr>
          <w:trHeight w:val="234"/>
        </w:trPr>
        <w:tc>
          <w:tcPr>
            <w:tcW w:w="1040" w:type="dxa"/>
            <w:vAlign w:val="bottom"/>
          </w:tcPr>
          <w:p>
            <w:pPr>
              <w:spacing w:after="0"/>
              <w:rPr>
                <w:sz w:val="20"/>
                <w:szCs w:val="20"/>
                <w:color w:val="auto"/>
              </w:rPr>
            </w:pPr>
          </w:p>
        </w:tc>
        <w:tc>
          <w:tcPr>
            <w:tcW w:w="2680" w:type="dxa"/>
            <w:vAlign w:val="bottom"/>
            <w:gridSpan w:val="2"/>
          </w:tcPr>
          <w:p>
            <w:pPr>
              <w:jc w:val="center"/>
              <w:ind w:right="1380"/>
              <w:spacing w:after="0"/>
              <w:rPr>
                <w:sz w:val="20"/>
                <w:szCs w:val="20"/>
                <w:color w:val="auto"/>
              </w:rPr>
            </w:pPr>
            <w:r>
              <w:rPr>
                <w:rFonts w:ascii="Arial" w:cs="Arial" w:eastAsia="Arial" w:hAnsi="Arial"/>
                <w:sz w:val="18"/>
                <w:szCs w:val="18"/>
                <w:b w:val="1"/>
                <w:bCs w:val="1"/>
                <w:color w:val="auto"/>
                <w:w w:val="87"/>
              </w:rPr>
              <w:t>share</w:t>
            </w: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180" w:type="dxa"/>
            <w:vAlign w:val="bottom"/>
          </w:tcPr>
          <w:p>
            <w:pPr>
              <w:spacing w:after="0"/>
              <w:rPr>
                <w:sz w:val="20"/>
                <w:szCs w:val="20"/>
                <w:color w:val="auto"/>
              </w:rPr>
            </w:pPr>
          </w:p>
        </w:tc>
      </w:tr>
    </w:tbl>
    <w:p>
      <w:pPr>
        <w:spacing w:after="0" w:line="89" w:lineRule="exact"/>
        <w:rPr>
          <w:sz w:val="24"/>
          <w:szCs w:val="24"/>
          <w:color w:val="auto"/>
        </w:rPr>
      </w:pPr>
    </w:p>
    <w:p>
      <w:pPr>
        <w:ind w:right="3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1110615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219075</wp:posOffset>
            </wp:positionV>
            <wp:extent cx="60261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26150" cy="825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245110</wp:posOffset>
            </wp:positionV>
            <wp:extent cx="60261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26150" cy="8890"/>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type w:val="continuous"/>
        </w:sectPr>
      </w:pPr>
    </w:p>
    <w:bookmarkStart w:id="1" w:name="page2"/>
    <w:bookmarkEnd w:id="1"/>
    <w:p>
      <w:pPr>
        <w:spacing w:after="0"/>
        <w:tabs>
          <w:tab w:leader="none" w:pos="94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43" w:lineRule="exact"/>
        <w:rPr>
          <w:sz w:val="20"/>
          <w:szCs w:val="20"/>
          <w:color w:val="auto"/>
        </w:rPr>
      </w:pPr>
    </w:p>
    <w:p>
      <w:pPr>
        <w:ind w:right="60"/>
        <w:spacing w:after="0" w:line="299" w:lineRule="auto"/>
        <w:rPr>
          <w:sz w:val="20"/>
          <w:szCs w:val="20"/>
          <w:color w:val="auto"/>
        </w:rPr>
      </w:pPr>
      <w:r>
        <w:rPr>
          <w:rFonts w:ascii="Arial" w:cs="Arial" w:eastAsia="Arial" w:hAnsi="Arial"/>
          <w:sz w:val="16"/>
          <w:szCs w:val="16"/>
          <w:color w:val="auto"/>
        </w:rPr>
        <w:t>BellRing Brands, Inc. (the “Company”) held its annual meeting of stockholders (the “Annual Meeting”) entirely virtually, conducted via a live audio-only webcast on Wednesday, March 3, 2021. At the Annual Meeting, 36,692,044 votes for the holders of 39,509,247 shares of the Class A common stock of the Company and 80,215,744 votes for the holder of 1 share of the Class B common stock of the Company, totaling 116,907,818 votes of the common stock of</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the Company, were represented, constituting a 97.65% quorum. The final result for each of the matters submitted to a vote of the stockholders at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Annual Meeting are as follows:</w:t>
      </w:r>
    </w:p>
    <w:p>
      <w:pPr>
        <w:spacing w:after="0" w:line="238" w:lineRule="exact"/>
        <w:rPr>
          <w:sz w:val="20"/>
          <w:szCs w:val="20"/>
          <w:color w:val="auto"/>
        </w:rPr>
      </w:pPr>
    </w:p>
    <w:p>
      <w:pPr>
        <w:ind w:left="1040" w:right="160" w:hanging="1295"/>
        <w:spacing w:after="0" w:line="273" w:lineRule="auto"/>
        <w:tabs>
          <w:tab w:leader="none" w:pos="1020" w:val="left"/>
        </w:tabs>
        <w:rPr>
          <w:sz w:val="20"/>
          <w:szCs w:val="20"/>
          <w:color w:val="auto"/>
        </w:rPr>
      </w:pPr>
      <w:r>
        <w:rPr>
          <w:rFonts w:ascii="Arial" w:cs="Arial" w:eastAsia="Arial" w:hAnsi="Arial"/>
          <w:sz w:val="18"/>
          <w:szCs w:val="18"/>
          <w:i w:val="1"/>
          <w:iCs w:val="1"/>
          <w:color w:val="auto"/>
        </w:rPr>
        <w:t>Proposal 1:</w:t>
      </w:r>
      <w:r>
        <w:rPr>
          <w:sz w:val="20"/>
          <w:szCs w:val="20"/>
          <w:color w:val="auto"/>
        </w:rPr>
        <w:tab/>
      </w:r>
      <w:r>
        <w:rPr>
          <w:rFonts w:ascii="Arial" w:cs="Arial" w:eastAsia="Arial" w:hAnsi="Arial"/>
          <w:sz w:val="18"/>
          <w:szCs w:val="18"/>
          <w:color w:val="auto"/>
        </w:rPr>
        <w:t>Both of the nominees for director were elected to serve until the Company’s annual meeting of stockholders to be held in 2024 or until their respective successors are elected and qualified, by the votes set forth in the table below:</w:t>
      </w:r>
    </w:p>
    <w:tbl>
      <w:tblPr>
        <w:tblLayout w:type="fixed"/>
        <w:tblInd w:w="1220" w:type="dxa"/>
        <w:tblCellMar>
          <w:top w:w="0" w:type="dxa"/>
          <w:left w:w="0" w:type="dxa"/>
          <w:bottom w:w="0" w:type="dxa"/>
          <w:right w:w="0" w:type="dxa"/>
        </w:tblCellMar>
      </w:tblPr>
      <w:tr>
        <w:trPr>
          <w:trHeight w:val="178"/>
        </w:trPr>
        <w:tc>
          <w:tcPr>
            <w:tcW w:w="2020" w:type="dxa"/>
            <w:vAlign w:val="bottom"/>
            <w:gridSpan w:val="2"/>
            <w:vMerge w:val="restart"/>
          </w:tcPr>
          <w:p>
            <w:pPr>
              <w:ind w:left="600"/>
              <w:spacing w:after="0"/>
              <w:rPr>
                <w:sz w:val="20"/>
                <w:szCs w:val="20"/>
                <w:color w:val="auto"/>
              </w:rPr>
            </w:pPr>
            <w:r>
              <w:rPr>
                <w:rFonts w:ascii="Arial" w:cs="Arial" w:eastAsia="Arial" w:hAnsi="Arial"/>
                <w:sz w:val="18"/>
                <w:szCs w:val="18"/>
                <w:color w:val="auto"/>
              </w:rPr>
              <w:t>Nominee</w:t>
            </w:r>
          </w:p>
        </w:tc>
        <w:tc>
          <w:tcPr>
            <w:tcW w:w="1660" w:type="dxa"/>
            <w:vAlign w:val="bottom"/>
            <w:gridSpan w:val="2"/>
            <w:vMerge w:val="restart"/>
          </w:tcPr>
          <w:p>
            <w:pPr>
              <w:jc w:val="center"/>
              <w:ind w:right="180"/>
              <w:spacing w:after="0"/>
              <w:rPr>
                <w:sz w:val="20"/>
                <w:szCs w:val="20"/>
                <w:color w:val="auto"/>
              </w:rPr>
            </w:pPr>
            <w:r>
              <w:rPr>
                <w:rFonts w:ascii="Arial" w:cs="Arial" w:eastAsia="Arial" w:hAnsi="Arial"/>
                <w:sz w:val="18"/>
                <w:szCs w:val="18"/>
                <w:color w:val="auto"/>
                <w:w w:val="88"/>
              </w:rPr>
              <w:t>For</w:t>
            </w:r>
          </w:p>
        </w:tc>
        <w:tc>
          <w:tcPr>
            <w:tcW w:w="1640" w:type="dxa"/>
            <w:vAlign w:val="bottom"/>
            <w:gridSpan w:val="2"/>
            <w:vMerge w:val="restart"/>
          </w:tcPr>
          <w:p>
            <w:pPr>
              <w:ind w:left="400"/>
              <w:spacing w:after="0"/>
              <w:rPr>
                <w:sz w:val="20"/>
                <w:szCs w:val="20"/>
                <w:color w:val="auto"/>
              </w:rPr>
            </w:pPr>
            <w:r>
              <w:rPr>
                <w:rFonts w:ascii="Arial" w:cs="Arial" w:eastAsia="Arial" w:hAnsi="Arial"/>
                <w:sz w:val="18"/>
                <w:szCs w:val="18"/>
                <w:color w:val="auto"/>
              </w:rPr>
              <w:t>Withhold</w:t>
            </w:r>
          </w:p>
        </w:tc>
        <w:tc>
          <w:tcPr>
            <w:tcW w:w="1640" w:type="dxa"/>
            <w:vAlign w:val="bottom"/>
            <w:gridSpan w:val="2"/>
          </w:tcPr>
          <w:p>
            <w:pPr>
              <w:jc w:val="center"/>
              <w:ind w:right="180"/>
              <w:spacing w:after="0" w:line="178" w:lineRule="exact"/>
              <w:rPr>
                <w:sz w:val="20"/>
                <w:szCs w:val="20"/>
                <w:color w:val="auto"/>
              </w:rPr>
            </w:pPr>
            <w:r>
              <w:rPr>
                <w:rFonts w:ascii="Arial" w:cs="Arial" w:eastAsia="Arial" w:hAnsi="Arial"/>
                <w:sz w:val="18"/>
                <w:szCs w:val="18"/>
                <w:color w:val="auto"/>
                <w:w w:val="94"/>
              </w:rPr>
              <w:t>Broker</w:t>
            </w:r>
          </w:p>
        </w:tc>
        <w:tc>
          <w:tcPr>
            <w:tcW w:w="1500" w:type="dxa"/>
            <w:vAlign w:val="bottom"/>
          </w:tcPr>
          <w:p>
            <w:pPr>
              <w:jc w:val="center"/>
              <w:spacing w:after="0" w:line="178" w:lineRule="exact"/>
              <w:rPr>
                <w:sz w:val="20"/>
                <w:szCs w:val="20"/>
                <w:color w:val="auto"/>
              </w:rPr>
            </w:pPr>
            <w:r>
              <w:rPr>
                <w:rFonts w:ascii="Arial" w:cs="Arial" w:eastAsia="Arial" w:hAnsi="Arial"/>
                <w:sz w:val="18"/>
                <w:szCs w:val="18"/>
                <w:color w:val="auto"/>
                <w:w w:val="87"/>
              </w:rPr>
              <w:t>Percentage of</w:t>
            </w:r>
          </w:p>
        </w:tc>
        <w:tc>
          <w:tcPr>
            <w:tcW w:w="0" w:type="dxa"/>
            <w:vAlign w:val="bottom"/>
          </w:tcPr>
          <w:p>
            <w:pPr>
              <w:spacing w:after="0"/>
              <w:rPr>
                <w:sz w:val="1"/>
                <w:szCs w:val="1"/>
                <w:color w:val="auto"/>
              </w:rPr>
            </w:pPr>
          </w:p>
        </w:tc>
      </w:tr>
      <w:tr>
        <w:trPr>
          <w:trHeight w:val="230"/>
        </w:trPr>
        <w:tc>
          <w:tcPr>
            <w:tcW w:w="2020" w:type="dxa"/>
            <w:vAlign w:val="bottom"/>
            <w:gridSpan w:val="2"/>
            <w:vMerge w:val="continue"/>
          </w:tcPr>
          <w:p>
            <w:pPr>
              <w:spacing w:after="0"/>
              <w:rPr>
                <w:sz w:val="19"/>
                <w:szCs w:val="19"/>
                <w:color w:val="auto"/>
              </w:rPr>
            </w:pPr>
          </w:p>
        </w:tc>
        <w:tc>
          <w:tcPr>
            <w:tcW w:w="1660" w:type="dxa"/>
            <w:vAlign w:val="bottom"/>
            <w:gridSpan w:val="2"/>
            <w:vMerge w:val="continue"/>
          </w:tcPr>
          <w:p>
            <w:pPr>
              <w:spacing w:after="0"/>
              <w:rPr>
                <w:sz w:val="19"/>
                <w:szCs w:val="19"/>
                <w:color w:val="auto"/>
              </w:rPr>
            </w:pPr>
          </w:p>
        </w:tc>
        <w:tc>
          <w:tcPr>
            <w:tcW w:w="1640" w:type="dxa"/>
            <w:vAlign w:val="bottom"/>
            <w:gridSpan w:val="2"/>
            <w:vMerge w:val="continue"/>
          </w:tcPr>
          <w:p>
            <w:pPr>
              <w:spacing w:after="0"/>
              <w:rPr>
                <w:sz w:val="19"/>
                <w:szCs w:val="19"/>
                <w:color w:val="auto"/>
              </w:rPr>
            </w:pPr>
          </w:p>
        </w:tc>
        <w:tc>
          <w:tcPr>
            <w:tcW w:w="164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Non-Votes</w:t>
            </w:r>
          </w:p>
        </w:tc>
        <w:tc>
          <w:tcPr>
            <w:tcW w:w="1500" w:type="dxa"/>
            <w:vAlign w:val="bottom"/>
          </w:tcPr>
          <w:p>
            <w:pPr>
              <w:jc w:val="center"/>
              <w:spacing w:after="0"/>
              <w:rPr>
                <w:sz w:val="20"/>
                <w:szCs w:val="20"/>
                <w:color w:val="auto"/>
              </w:rPr>
            </w:pPr>
            <w:r>
              <w:rPr>
                <w:rFonts w:ascii="Arial" w:cs="Arial" w:eastAsia="Arial" w:hAnsi="Arial"/>
                <w:sz w:val="18"/>
                <w:szCs w:val="18"/>
                <w:color w:val="auto"/>
                <w:w w:val="88"/>
              </w:rPr>
              <w:t>Votes Cast For</w:t>
            </w:r>
          </w:p>
        </w:tc>
        <w:tc>
          <w:tcPr>
            <w:tcW w:w="0" w:type="dxa"/>
            <w:vAlign w:val="bottom"/>
          </w:tcPr>
          <w:p>
            <w:pPr>
              <w:spacing w:after="0"/>
              <w:rPr>
                <w:sz w:val="1"/>
                <w:szCs w:val="1"/>
                <w:color w:val="auto"/>
              </w:rPr>
            </w:pPr>
          </w:p>
        </w:tc>
      </w:tr>
      <w:tr>
        <w:trPr>
          <w:trHeight w:val="223"/>
        </w:trPr>
        <w:tc>
          <w:tcPr>
            <w:tcW w:w="1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Thomas P. Erickson</w:t>
            </w:r>
          </w:p>
        </w:tc>
        <w:tc>
          <w:tcPr>
            <w:tcW w:w="16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104,532,214</w:t>
            </w:r>
          </w:p>
        </w:tc>
        <w:tc>
          <w:tcPr>
            <w:tcW w:w="18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11,146,192</w:t>
            </w:r>
          </w:p>
        </w:tc>
        <w:tc>
          <w:tcPr>
            <w:tcW w:w="18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1,229,412</w:t>
            </w:r>
          </w:p>
        </w:tc>
        <w:tc>
          <w:tcPr>
            <w:tcW w:w="16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90.36%</w:t>
            </w:r>
          </w:p>
        </w:tc>
        <w:tc>
          <w:tcPr>
            <w:tcW w:w="0" w:type="dxa"/>
            <w:vAlign w:val="bottom"/>
          </w:tcPr>
          <w:p>
            <w:pPr>
              <w:spacing w:after="0"/>
              <w:rPr>
                <w:sz w:val="1"/>
                <w:szCs w:val="1"/>
                <w:color w:val="auto"/>
              </w:rPr>
            </w:pPr>
          </w:p>
        </w:tc>
      </w:tr>
      <w:tr>
        <w:trPr>
          <w:trHeight w:val="230"/>
        </w:trPr>
        <w:tc>
          <w:tcPr>
            <w:tcW w:w="2020" w:type="dxa"/>
            <w:vAlign w:val="bottom"/>
            <w:gridSpan w:val="2"/>
          </w:tcPr>
          <w:p>
            <w:pPr>
              <w:ind w:left="20"/>
              <w:spacing w:after="0"/>
              <w:rPr>
                <w:sz w:val="20"/>
                <w:szCs w:val="20"/>
                <w:color w:val="auto"/>
              </w:rPr>
            </w:pPr>
            <w:r>
              <w:rPr>
                <w:rFonts w:ascii="Arial" w:cs="Arial" w:eastAsia="Arial" w:hAnsi="Arial"/>
                <w:sz w:val="18"/>
                <w:szCs w:val="18"/>
                <w:color w:val="auto"/>
              </w:rPr>
              <w:t>Jennifer Kuperman</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105,954,425</w:t>
            </w:r>
          </w:p>
        </w:tc>
        <w:tc>
          <w:tcPr>
            <w:tcW w:w="180" w:type="dxa"/>
            <w:vAlign w:val="bottom"/>
          </w:tcPr>
          <w:p>
            <w:pPr>
              <w:spacing w:after="0"/>
              <w:rPr>
                <w:sz w:val="20"/>
                <w:szCs w:val="20"/>
                <w:color w:val="auto"/>
              </w:rPr>
            </w:pP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9,723,981</w:t>
            </w:r>
          </w:p>
        </w:tc>
        <w:tc>
          <w:tcPr>
            <w:tcW w:w="18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1,229,412</w:t>
            </w:r>
          </w:p>
        </w:tc>
        <w:tc>
          <w:tcPr>
            <w:tcW w:w="16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8"/>
              </w:rPr>
              <w:t>91.59%</w:t>
            </w:r>
          </w:p>
        </w:tc>
        <w:tc>
          <w:tcPr>
            <w:tcW w:w="0" w:type="dxa"/>
            <w:vAlign w:val="bottom"/>
          </w:tcPr>
          <w:p>
            <w:pPr>
              <w:spacing w:after="0"/>
              <w:rPr>
                <w:sz w:val="1"/>
                <w:szCs w:val="1"/>
                <w:color w:val="auto"/>
              </w:rPr>
            </w:pPr>
          </w:p>
        </w:tc>
      </w:tr>
    </w:tbl>
    <w:p>
      <w:pPr>
        <w:spacing w:after="0" w:line="336" w:lineRule="exact"/>
        <w:rPr>
          <w:sz w:val="20"/>
          <w:szCs w:val="20"/>
          <w:color w:val="auto"/>
        </w:rPr>
      </w:pPr>
    </w:p>
    <w:p>
      <w:pPr>
        <w:ind w:left="1040" w:right="120" w:hanging="1295"/>
        <w:spacing w:after="0" w:line="273" w:lineRule="auto"/>
        <w:tabs>
          <w:tab w:leader="none" w:pos="1020" w:val="left"/>
        </w:tabs>
        <w:rPr>
          <w:sz w:val="20"/>
          <w:szCs w:val="20"/>
          <w:color w:val="auto"/>
        </w:rPr>
      </w:pPr>
      <w:r>
        <w:rPr>
          <w:rFonts w:ascii="Arial" w:cs="Arial" w:eastAsia="Arial" w:hAnsi="Arial"/>
          <w:sz w:val="18"/>
          <w:szCs w:val="18"/>
          <w:i w:val="1"/>
          <w:iCs w:val="1"/>
          <w:color w:val="auto"/>
        </w:rPr>
        <w:t>Proposal 2:</w:t>
      </w:r>
      <w:r>
        <w:rPr>
          <w:sz w:val="20"/>
          <w:szCs w:val="20"/>
          <w:color w:val="auto"/>
        </w:rPr>
        <w:tab/>
      </w:r>
      <w:r>
        <w:rPr>
          <w:rFonts w:ascii="Arial" w:cs="Arial" w:eastAsia="Arial" w:hAnsi="Arial"/>
          <w:sz w:val="18"/>
          <w:szCs w:val="18"/>
          <w:color w:val="auto"/>
        </w:rPr>
        <w:t>The appointment of PricewaterhouseCoopers LLP as the Company’s independent registered public accounting firm for fiscal year 2021 was ratified by the stockholders, by the votes set forth in the table below:</w:t>
      </w:r>
    </w:p>
    <w:tbl>
      <w:tblPr>
        <w:tblLayout w:type="fixed"/>
        <w:tblInd w:w="0" w:type="dxa"/>
        <w:tblCellMar>
          <w:top w:w="0" w:type="dxa"/>
          <w:left w:w="0" w:type="dxa"/>
          <w:bottom w:w="0" w:type="dxa"/>
          <w:right w:w="0" w:type="dxa"/>
        </w:tblCellMar>
      </w:tblPr>
      <w:tr>
        <w:trPr>
          <w:trHeight w:val="178"/>
        </w:trPr>
        <w:tc>
          <w:tcPr>
            <w:tcW w:w="1220" w:type="dxa"/>
            <w:vAlign w:val="bottom"/>
          </w:tcPr>
          <w:p>
            <w:pPr>
              <w:spacing w:after="0"/>
              <w:rPr>
                <w:sz w:val="15"/>
                <w:szCs w:val="15"/>
                <w:color w:val="auto"/>
              </w:rPr>
            </w:pPr>
          </w:p>
        </w:tc>
        <w:tc>
          <w:tcPr>
            <w:tcW w:w="2040" w:type="dxa"/>
            <w:vAlign w:val="bottom"/>
            <w:gridSpan w:val="2"/>
            <w:vMerge w:val="restart"/>
          </w:tcPr>
          <w:p>
            <w:pPr>
              <w:jc w:val="center"/>
              <w:ind w:right="180"/>
              <w:spacing w:after="0"/>
              <w:rPr>
                <w:sz w:val="20"/>
                <w:szCs w:val="20"/>
                <w:color w:val="auto"/>
              </w:rPr>
            </w:pPr>
            <w:r>
              <w:rPr>
                <w:rFonts w:ascii="Arial" w:cs="Arial" w:eastAsia="Arial" w:hAnsi="Arial"/>
                <w:sz w:val="18"/>
                <w:szCs w:val="18"/>
                <w:color w:val="auto"/>
                <w:w w:val="96"/>
              </w:rPr>
              <w:t>For</w:t>
            </w:r>
          </w:p>
        </w:tc>
        <w:tc>
          <w:tcPr>
            <w:tcW w:w="1640" w:type="dxa"/>
            <w:vAlign w:val="bottom"/>
            <w:gridSpan w:val="2"/>
            <w:vMerge w:val="restart"/>
          </w:tcPr>
          <w:p>
            <w:pPr>
              <w:jc w:val="center"/>
              <w:ind w:right="160"/>
              <w:spacing w:after="0"/>
              <w:rPr>
                <w:sz w:val="20"/>
                <w:szCs w:val="20"/>
                <w:color w:val="auto"/>
              </w:rPr>
            </w:pPr>
            <w:r>
              <w:rPr>
                <w:rFonts w:ascii="Arial" w:cs="Arial" w:eastAsia="Arial" w:hAnsi="Arial"/>
                <w:sz w:val="18"/>
                <w:szCs w:val="18"/>
                <w:color w:val="auto"/>
                <w:w w:val="93"/>
              </w:rPr>
              <w:t>Against</w:t>
            </w:r>
          </w:p>
        </w:tc>
        <w:tc>
          <w:tcPr>
            <w:tcW w:w="1660" w:type="dxa"/>
            <w:vAlign w:val="bottom"/>
            <w:gridSpan w:val="2"/>
            <w:vMerge w:val="restart"/>
          </w:tcPr>
          <w:p>
            <w:pPr>
              <w:jc w:val="center"/>
              <w:ind w:right="180"/>
              <w:spacing w:after="0"/>
              <w:rPr>
                <w:sz w:val="20"/>
                <w:szCs w:val="20"/>
                <w:color w:val="auto"/>
              </w:rPr>
            </w:pPr>
            <w:r>
              <w:rPr>
                <w:rFonts w:ascii="Arial" w:cs="Arial" w:eastAsia="Arial" w:hAnsi="Arial"/>
                <w:sz w:val="18"/>
                <w:szCs w:val="18"/>
                <w:color w:val="auto"/>
                <w:w w:val="93"/>
              </w:rPr>
              <w:t>Abstain</w:t>
            </w:r>
          </w:p>
        </w:tc>
        <w:tc>
          <w:tcPr>
            <w:tcW w:w="4680" w:type="dxa"/>
            <w:vAlign w:val="bottom"/>
            <w:gridSpan w:val="2"/>
          </w:tcPr>
          <w:p>
            <w:pPr>
              <w:jc w:val="center"/>
              <w:ind w:right="3200"/>
              <w:spacing w:after="0" w:line="178" w:lineRule="exact"/>
              <w:rPr>
                <w:sz w:val="20"/>
                <w:szCs w:val="20"/>
                <w:color w:val="auto"/>
              </w:rPr>
            </w:pPr>
            <w:r>
              <w:rPr>
                <w:rFonts w:ascii="Arial" w:cs="Arial" w:eastAsia="Arial" w:hAnsi="Arial"/>
                <w:sz w:val="18"/>
                <w:szCs w:val="18"/>
                <w:color w:val="auto"/>
                <w:w w:val="89"/>
              </w:rPr>
              <w:t>Percentage of</w:t>
            </w:r>
          </w:p>
        </w:tc>
        <w:tc>
          <w:tcPr>
            <w:tcW w:w="0" w:type="dxa"/>
            <w:vAlign w:val="bottom"/>
          </w:tcPr>
          <w:p>
            <w:pPr>
              <w:spacing w:after="0"/>
              <w:rPr>
                <w:sz w:val="1"/>
                <w:szCs w:val="1"/>
                <w:color w:val="auto"/>
              </w:rPr>
            </w:pPr>
          </w:p>
        </w:tc>
      </w:tr>
      <w:tr>
        <w:trPr>
          <w:trHeight w:val="230"/>
        </w:trPr>
        <w:tc>
          <w:tcPr>
            <w:tcW w:w="1220" w:type="dxa"/>
            <w:vAlign w:val="bottom"/>
          </w:tcPr>
          <w:p>
            <w:pPr>
              <w:spacing w:after="0"/>
              <w:rPr>
                <w:sz w:val="19"/>
                <w:szCs w:val="19"/>
                <w:color w:val="auto"/>
              </w:rPr>
            </w:pPr>
          </w:p>
        </w:tc>
        <w:tc>
          <w:tcPr>
            <w:tcW w:w="2040" w:type="dxa"/>
            <w:vAlign w:val="bottom"/>
            <w:gridSpan w:val="2"/>
            <w:vMerge w:val="continue"/>
          </w:tcPr>
          <w:p>
            <w:pPr>
              <w:spacing w:after="0"/>
              <w:rPr>
                <w:sz w:val="19"/>
                <w:szCs w:val="19"/>
                <w:color w:val="auto"/>
              </w:rPr>
            </w:pPr>
          </w:p>
        </w:tc>
        <w:tc>
          <w:tcPr>
            <w:tcW w:w="1640" w:type="dxa"/>
            <w:vAlign w:val="bottom"/>
            <w:gridSpan w:val="2"/>
            <w:vMerge w:val="continue"/>
          </w:tcPr>
          <w:p>
            <w:pPr>
              <w:spacing w:after="0"/>
              <w:rPr>
                <w:sz w:val="19"/>
                <w:szCs w:val="19"/>
                <w:color w:val="auto"/>
              </w:rPr>
            </w:pPr>
          </w:p>
        </w:tc>
        <w:tc>
          <w:tcPr>
            <w:tcW w:w="1660" w:type="dxa"/>
            <w:vAlign w:val="bottom"/>
            <w:gridSpan w:val="2"/>
            <w:vMerge w:val="continue"/>
          </w:tcPr>
          <w:p>
            <w:pPr>
              <w:spacing w:after="0"/>
              <w:rPr>
                <w:sz w:val="19"/>
                <w:szCs w:val="19"/>
                <w:color w:val="auto"/>
              </w:rPr>
            </w:pPr>
          </w:p>
        </w:tc>
        <w:tc>
          <w:tcPr>
            <w:tcW w:w="4680" w:type="dxa"/>
            <w:vAlign w:val="bottom"/>
            <w:gridSpan w:val="2"/>
          </w:tcPr>
          <w:p>
            <w:pPr>
              <w:jc w:val="center"/>
              <w:ind w:right="3220"/>
              <w:spacing w:after="0"/>
              <w:rPr>
                <w:sz w:val="20"/>
                <w:szCs w:val="20"/>
                <w:color w:val="auto"/>
              </w:rPr>
            </w:pPr>
            <w:r>
              <w:rPr>
                <w:rFonts w:ascii="Arial" w:cs="Arial" w:eastAsia="Arial" w:hAnsi="Arial"/>
                <w:sz w:val="18"/>
                <w:szCs w:val="18"/>
                <w:color w:val="auto"/>
                <w:w w:val="88"/>
              </w:rPr>
              <w:t>Votes Cast For</w:t>
            </w:r>
          </w:p>
        </w:tc>
        <w:tc>
          <w:tcPr>
            <w:tcW w:w="0" w:type="dxa"/>
            <w:vAlign w:val="bottom"/>
          </w:tcPr>
          <w:p>
            <w:pPr>
              <w:spacing w:after="0"/>
              <w:rPr>
                <w:sz w:val="1"/>
                <w:szCs w:val="1"/>
                <w:color w:val="auto"/>
              </w:rPr>
            </w:pPr>
          </w:p>
        </w:tc>
      </w:tr>
      <w:tr>
        <w:trPr>
          <w:trHeight w:val="223"/>
        </w:trPr>
        <w:tc>
          <w:tcPr>
            <w:tcW w:w="1220" w:type="dxa"/>
            <w:vAlign w:val="bottom"/>
          </w:tcPr>
          <w:p>
            <w:pPr>
              <w:spacing w:after="0"/>
              <w:rPr>
                <w:sz w:val="19"/>
                <w:szCs w:val="19"/>
                <w:color w:val="auto"/>
              </w:rPr>
            </w:pPr>
          </w:p>
        </w:tc>
        <w:tc>
          <w:tcPr>
            <w:tcW w:w="1860" w:type="dxa"/>
            <w:vAlign w:val="bottom"/>
            <w:tcBorders>
              <w:top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116,860,024</w:t>
            </w:r>
          </w:p>
        </w:tc>
        <w:tc>
          <w:tcPr>
            <w:tcW w:w="18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1,802</w:t>
            </w:r>
          </w:p>
        </w:tc>
        <w:tc>
          <w:tcPr>
            <w:tcW w:w="16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45,991</w:t>
            </w:r>
          </w:p>
        </w:tc>
        <w:tc>
          <w:tcPr>
            <w:tcW w:w="18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99.96%</w:t>
            </w:r>
          </w:p>
        </w:tc>
        <w:tc>
          <w:tcPr>
            <w:tcW w:w="3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2"/>
        </w:trPr>
        <w:tc>
          <w:tcPr>
            <w:tcW w:w="122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32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 w:name="page3"/>
    <w:bookmarkEnd w:id="2"/>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r>
              <w:rPr>
                <w:rFonts w:ascii="Arial" w:cs="Arial" w:eastAsia="Arial" w:hAnsi="Arial"/>
                <w:sz w:val="18"/>
                <w:szCs w:val="18"/>
                <w:color w:val="auto"/>
              </w:rPr>
              <w:t>Date: March 9, 2021</w:t>
            </w:r>
          </w:p>
        </w:tc>
        <w:tc>
          <w:tcPr>
            <w:tcW w:w="7500" w:type="dxa"/>
            <w:vAlign w:val="bottom"/>
            <w:gridSpan w:val="2"/>
          </w:tcPr>
          <w:p>
            <w:pPr>
              <w:ind w:left="2000"/>
              <w:spacing w:after="0"/>
              <w:rPr>
                <w:sz w:val="20"/>
                <w:szCs w:val="20"/>
                <w:color w:val="auto"/>
              </w:rPr>
            </w:pPr>
            <w:r>
              <w:rPr>
                <w:rFonts w:ascii="Arial" w:cs="Arial" w:eastAsia="Arial" w:hAnsi="Arial"/>
                <w:sz w:val="18"/>
                <w:szCs w:val="18"/>
                <w:b w:val="1"/>
                <w:bCs w:val="1"/>
                <w:color w:val="auto"/>
              </w:rPr>
              <w:t>BellRing Brands, Inc.</w:t>
            </w:r>
          </w:p>
        </w:tc>
      </w:tr>
      <w:tr>
        <w:trPr>
          <w:trHeight w:val="338"/>
        </w:trPr>
        <w:tc>
          <w:tcPr>
            <w:tcW w:w="3500" w:type="dxa"/>
            <w:vAlign w:val="bottom"/>
          </w:tcPr>
          <w:p>
            <w:pPr>
              <w:spacing w:after="0"/>
              <w:rPr>
                <w:sz w:val="24"/>
                <w:szCs w:val="24"/>
                <w:color w:val="auto"/>
              </w:rPr>
            </w:pPr>
          </w:p>
        </w:tc>
        <w:tc>
          <w:tcPr>
            <w:tcW w:w="2900" w:type="dxa"/>
            <w:vAlign w:val="bottom"/>
          </w:tcPr>
          <w:p>
            <w:pPr>
              <w:ind w:left="2000"/>
              <w:spacing w:after="0"/>
              <w:rPr>
                <w:sz w:val="20"/>
                <w:szCs w:val="20"/>
                <w:color w:val="auto"/>
              </w:rPr>
            </w:pPr>
            <w:r>
              <w:rPr>
                <w:rFonts w:ascii="Arial" w:cs="Arial" w:eastAsia="Arial" w:hAnsi="Arial"/>
                <w:sz w:val="18"/>
                <w:szCs w:val="18"/>
                <w:color w:val="auto"/>
                <w:w w:val="93"/>
              </w:rPr>
              <w:t>(Registrant)</w:t>
            </w:r>
          </w:p>
        </w:tc>
        <w:tc>
          <w:tcPr>
            <w:tcW w:w="4600" w:type="dxa"/>
            <w:vAlign w:val="bottom"/>
          </w:tcPr>
          <w:p>
            <w:pPr>
              <w:spacing w:after="0"/>
              <w:rPr>
                <w:sz w:val="24"/>
                <w:szCs w:val="24"/>
                <w:color w:val="auto"/>
              </w:rPr>
            </w:pPr>
          </w:p>
        </w:tc>
      </w:tr>
      <w:tr>
        <w:trPr>
          <w:trHeight w:val="675"/>
        </w:trPr>
        <w:tc>
          <w:tcPr>
            <w:tcW w:w="3500" w:type="dxa"/>
            <w:vAlign w:val="bottom"/>
          </w:tcPr>
          <w:p>
            <w:pPr>
              <w:spacing w:after="0"/>
              <w:rPr>
                <w:sz w:val="24"/>
                <w:szCs w:val="24"/>
                <w:color w:val="auto"/>
              </w:rPr>
            </w:pPr>
          </w:p>
        </w:tc>
        <w:tc>
          <w:tcPr>
            <w:tcW w:w="2900" w:type="dxa"/>
            <w:vAlign w:val="bottom"/>
          </w:tcPr>
          <w:p>
            <w:pPr>
              <w:ind w:left="2000"/>
              <w:spacing w:after="0"/>
              <w:rPr>
                <w:sz w:val="20"/>
                <w:szCs w:val="20"/>
                <w:color w:val="auto"/>
              </w:rPr>
            </w:pPr>
            <w:r>
              <w:rPr>
                <w:rFonts w:ascii="Arial" w:cs="Arial" w:eastAsia="Arial" w:hAnsi="Arial"/>
                <w:sz w:val="18"/>
                <w:szCs w:val="18"/>
                <w:color w:val="auto"/>
              </w:rPr>
              <w:t>By:</w:t>
            </w:r>
          </w:p>
        </w:tc>
        <w:tc>
          <w:tcPr>
            <w:tcW w:w="4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Craig L. Rosenthal</w:t>
            </w:r>
          </w:p>
        </w:tc>
      </w:tr>
      <w:tr>
        <w:trPr>
          <w:trHeight w:val="317"/>
        </w:trPr>
        <w:tc>
          <w:tcPr>
            <w:tcW w:w="3500" w:type="dxa"/>
            <w:vAlign w:val="bottom"/>
          </w:tcPr>
          <w:p>
            <w:pPr>
              <w:spacing w:after="0"/>
              <w:rPr>
                <w:sz w:val="24"/>
                <w:szCs w:val="24"/>
                <w:color w:val="auto"/>
              </w:rPr>
            </w:pPr>
          </w:p>
        </w:tc>
        <w:tc>
          <w:tcPr>
            <w:tcW w:w="2900" w:type="dxa"/>
            <w:vAlign w:val="bottom"/>
          </w:tcPr>
          <w:p>
            <w:pPr>
              <w:ind w:left="2000"/>
              <w:spacing w:after="0"/>
              <w:rPr>
                <w:sz w:val="20"/>
                <w:szCs w:val="20"/>
                <w:color w:val="auto"/>
              </w:rPr>
            </w:pPr>
            <w:r>
              <w:rPr>
                <w:rFonts w:ascii="Arial" w:cs="Arial" w:eastAsia="Arial" w:hAnsi="Arial"/>
                <w:sz w:val="18"/>
                <w:szCs w:val="18"/>
                <w:color w:val="auto"/>
              </w:rPr>
              <w:t>Name:</w:t>
            </w:r>
          </w:p>
        </w:tc>
        <w:tc>
          <w:tcPr>
            <w:tcW w:w="4600" w:type="dxa"/>
            <w:vAlign w:val="bottom"/>
          </w:tcPr>
          <w:p>
            <w:pPr>
              <w:ind w:left="20"/>
              <w:spacing w:after="0"/>
              <w:rPr>
                <w:sz w:val="20"/>
                <w:szCs w:val="20"/>
                <w:color w:val="auto"/>
              </w:rPr>
            </w:pPr>
            <w:r>
              <w:rPr>
                <w:rFonts w:ascii="Arial" w:cs="Arial" w:eastAsia="Arial" w:hAnsi="Arial"/>
                <w:sz w:val="18"/>
                <w:szCs w:val="18"/>
                <w:color w:val="auto"/>
              </w:rPr>
              <w:t>Craig L. Rosenthal</w:t>
            </w:r>
          </w:p>
        </w:tc>
      </w:tr>
      <w:tr>
        <w:trPr>
          <w:trHeight w:val="230"/>
        </w:trPr>
        <w:tc>
          <w:tcPr>
            <w:tcW w:w="3500" w:type="dxa"/>
            <w:vAlign w:val="bottom"/>
          </w:tcPr>
          <w:p>
            <w:pPr>
              <w:spacing w:after="0"/>
              <w:rPr>
                <w:sz w:val="20"/>
                <w:szCs w:val="20"/>
                <w:color w:val="auto"/>
              </w:rPr>
            </w:pPr>
          </w:p>
        </w:tc>
        <w:tc>
          <w:tcPr>
            <w:tcW w:w="2900" w:type="dxa"/>
            <w:vAlign w:val="bottom"/>
          </w:tcPr>
          <w:p>
            <w:pPr>
              <w:ind w:left="2000"/>
              <w:spacing w:after="0"/>
              <w:rPr>
                <w:sz w:val="20"/>
                <w:szCs w:val="20"/>
                <w:color w:val="auto"/>
              </w:rPr>
            </w:pPr>
            <w:r>
              <w:rPr>
                <w:rFonts w:ascii="Arial" w:cs="Arial" w:eastAsia="Arial" w:hAnsi="Arial"/>
                <w:sz w:val="18"/>
                <w:szCs w:val="18"/>
                <w:color w:val="auto"/>
              </w:rPr>
              <w:t>Title:</w:t>
            </w:r>
          </w:p>
        </w:tc>
        <w:tc>
          <w:tcPr>
            <w:tcW w:w="4600" w:type="dxa"/>
            <w:vAlign w:val="bottom"/>
          </w:tcPr>
          <w:p>
            <w:pPr>
              <w:ind w:left="20"/>
              <w:spacing w:after="0"/>
              <w:rPr>
                <w:sz w:val="20"/>
                <w:szCs w:val="20"/>
                <w:color w:val="auto"/>
              </w:rPr>
            </w:pPr>
            <w:r>
              <w:rPr>
                <w:rFonts w:ascii="Arial" w:cs="Arial" w:eastAsia="Arial" w:hAnsi="Arial"/>
                <w:sz w:val="18"/>
                <w:szCs w:val="18"/>
                <w:color w:val="auto"/>
              </w:rPr>
              <w:t>SVP, General Counsel and Secretary</w:t>
            </w:r>
          </w:p>
        </w:tc>
      </w:tr>
    </w:tbl>
    <w:p>
      <w:pPr>
        <w:spacing w:after="0" w:line="1" w:lineRule="exact"/>
        <w:rPr>
          <w:sz w:val="20"/>
          <w:szCs w:val="20"/>
          <w:color w:val="auto"/>
        </w:rPr>
      </w:pPr>
    </w:p>
    <w:sectPr>
      <w:pgSz w:w="11900" w:h="16838" w:orient="portrait"/>
      <w:cols w:equalWidth="0" w:num="1">
        <w:col w:w="11200"/>
      </w:cols>
      <w:pgMar w:left="320" w:top="14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2021-03-09T15:36:31Z</dcterms:created>
  <dcterms:modified xsi:type="dcterms:W3CDTF">2021-03-09T15:36:31Z</dcterms:modified>
</cp:coreProperties>
</file>