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February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6840" w:type="dxa"/>
            <w:vAlign w:val="bottom"/>
            <w:gridSpan w:val="3"/>
          </w:tcPr>
          <w:p>
            <w:pPr>
              <w:jc w:val="center"/>
              <w:ind w:left="2826"/>
              <w:spacing w:after="0"/>
              <w:rPr>
                <w:sz w:val="20"/>
                <w:szCs w:val="20"/>
                <w:color w:val="auto"/>
              </w:rPr>
            </w:pPr>
            <w:r>
              <w:rPr>
                <w:rFonts w:ascii="Arial" w:cs="Arial" w:eastAsia="Arial" w:hAnsi="Arial"/>
                <w:sz w:val="18"/>
                <w:szCs w:val="18"/>
                <w:color w:val="auto"/>
                <w:w w:val="90"/>
              </w:rPr>
              <w:t>(Exact name of registrant as specified in its charter)</w:t>
            </w:r>
          </w:p>
        </w:tc>
        <w:tc>
          <w:tcPr>
            <w:tcW w:w="2580" w:type="dxa"/>
            <w:vAlign w:val="bottom"/>
          </w:tcPr>
          <w:p>
            <w:pPr>
              <w:spacing w:after="0"/>
              <w:rPr>
                <w:sz w:val="20"/>
                <w:szCs w:val="20"/>
                <w:color w:val="auto"/>
              </w:rPr>
            </w:pPr>
          </w:p>
        </w:tc>
      </w:tr>
      <w:tr>
        <w:trPr>
          <w:trHeight w:val="274"/>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91"/>
              </w:rPr>
              <w:t>Delaware</w:t>
            </w:r>
          </w:p>
        </w:tc>
        <w:tc>
          <w:tcPr>
            <w:tcW w:w="1880" w:type="dxa"/>
            <w:vAlign w:val="bottom"/>
          </w:tcPr>
          <w:p>
            <w:pPr>
              <w:jc w:val="center"/>
              <w:ind w:left="844"/>
              <w:spacing w:after="0"/>
              <w:rPr>
                <w:sz w:val="20"/>
                <w:szCs w:val="20"/>
                <w:color w:val="auto"/>
              </w:rPr>
            </w:pPr>
            <w:r>
              <w:rPr>
                <w:rFonts w:ascii="Arial" w:cs="Arial" w:eastAsia="Arial" w:hAnsi="Arial"/>
                <w:sz w:val="20"/>
                <w:szCs w:val="20"/>
                <w:b w:val="1"/>
                <w:bCs w:val="1"/>
                <w:color w:val="auto"/>
                <w:w w:val="89"/>
              </w:rPr>
              <w:t>001-39093</w:t>
            </w:r>
          </w:p>
        </w:tc>
        <w:tc>
          <w:tcPr>
            <w:tcW w:w="1500" w:type="dxa"/>
            <w:vAlign w:val="bottom"/>
          </w:tcPr>
          <w:p>
            <w:pPr>
              <w:spacing w:after="0"/>
              <w:rPr>
                <w:sz w:val="23"/>
                <w:szCs w:val="23"/>
                <w:color w:val="auto"/>
              </w:rPr>
            </w:pPr>
          </w:p>
        </w:tc>
        <w:tc>
          <w:tcPr>
            <w:tcW w:w="2580" w:type="dxa"/>
            <w:vAlign w:val="bottom"/>
          </w:tcPr>
          <w:p>
            <w:pPr>
              <w:jc w:val="right"/>
              <w:ind w:right="686"/>
              <w:spacing w:after="0"/>
              <w:rPr>
                <w:sz w:val="20"/>
                <w:szCs w:val="20"/>
                <w:color w:val="auto"/>
              </w:rPr>
            </w:pPr>
            <w:r>
              <w:rPr>
                <w:rFonts w:ascii="Arial" w:cs="Arial" w:eastAsia="Arial" w:hAnsi="Arial"/>
                <w:sz w:val="20"/>
                <w:szCs w:val="20"/>
                <w:b w:val="1"/>
                <w:bCs w:val="1"/>
                <w:color w:val="auto"/>
              </w:rPr>
              <w:t>87-3296749</w:t>
            </w:r>
          </w:p>
        </w:tc>
      </w:tr>
      <w:tr>
        <w:trPr>
          <w:trHeight w:val="239"/>
        </w:trPr>
        <w:tc>
          <w:tcPr>
            <w:tcW w:w="3460" w:type="dxa"/>
            <w:vAlign w:val="bottom"/>
          </w:tcPr>
          <w:p>
            <w:pPr>
              <w:jc w:val="center"/>
              <w:ind w:right="206"/>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2"/>
          </w:tcPr>
          <w:p>
            <w:pPr>
              <w:jc w:val="center"/>
              <w:ind w:right="461"/>
              <w:spacing w:after="0"/>
              <w:rPr>
                <w:sz w:val="20"/>
                <w:szCs w:val="20"/>
                <w:color w:val="auto"/>
              </w:rPr>
            </w:pPr>
            <w:r>
              <w:rPr>
                <w:rFonts w:ascii="Arial" w:cs="Arial" w:eastAsia="Arial" w:hAnsi="Arial"/>
                <w:sz w:val="18"/>
                <w:szCs w:val="18"/>
                <w:color w:val="auto"/>
                <w:w w:val="92"/>
              </w:rPr>
              <w:t>(Commission File Number)</w:t>
            </w:r>
          </w:p>
        </w:tc>
        <w:tc>
          <w:tcPr>
            <w:tcW w:w="2580" w:type="dxa"/>
            <w:vAlign w:val="bottom"/>
          </w:tcPr>
          <w:p>
            <w:pPr>
              <w:jc w:val="center"/>
              <w:ind w:left="6"/>
              <w:spacing w:after="0"/>
              <w:rPr>
                <w:sz w:val="20"/>
                <w:szCs w:val="20"/>
                <w:color w:val="auto"/>
              </w:rPr>
            </w:pPr>
            <w:r>
              <w:rPr>
                <w:rFonts w:ascii="Arial" w:cs="Arial" w:eastAsia="Arial" w:hAnsi="Arial"/>
                <w:sz w:val="18"/>
                <w:szCs w:val="18"/>
                <w:color w:val="auto"/>
                <w:w w:val="94"/>
              </w:rPr>
              <w:t>(IRS Employer Identification No.)</w:t>
            </w:r>
          </w:p>
        </w:tc>
      </w:tr>
      <w:tr>
        <w:trPr>
          <w:trHeight w:val="584"/>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89"/>
              </w:rPr>
              <w:t>2503 S. Hanley Road</w:t>
            </w:r>
          </w:p>
        </w:tc>
        <w:tc>
          <w:tcPr>
            <w:tcW w:w="1880" w:type="dxa"/>
            <w:vAlign w:val="bottom"/>
          </w:tcPr>
          <w:p>
            <w:pPr>
              <w:ind w:left="280"/>
              <w:spacing w:after="0"/>
              <w:rPr>
                <w:sz w:val="20"/>
                <w:szCs w:val="20"/>
                <w:color w:val="auto"/>
              </w:rPr>
            </w:pPr>
            <w:r>
              <w:rPr>
                <w:rFonts w:ascii="Arial" w:cs="Arial" w:eastAsia="Arial" w:hAnsi="Arial"/>
                <w:sz w:val="20"/>
                <w:szCs w:val="20"/>
                <w:b w:val="1"/>
                <w:bCs w:val="1"/>
                <w:color w:val="auto"/>
              </w:rPr>
              <w:t>St. Louis</w:t>
            </w:r>
          </w:p>
        </w:tc>
        <w:tc>
          <w:tcPr>
            <w:tcW w:w="1500" w:type="dxa"/>
            <w:vAlign w:val="bottom"/>
          </w:tcPr>
          <w:p>
            <w:pPr>
              <w:ind w:left="60"/>
              <w:spacing w:after="0"/>
              <w:rPr>
                <w:sz w:val="20"/>
                <w:szCs w:val="20"/>
                <w:color w:val="auto"/>
              </w:rPr>
            </w:pPr>
            <w:r>
              <w:rPr>
                <w:rFonts w:ascii="Arial" w:cs="Arial" w:eastAsia="Arial" w:hAnsi="Arial"/>
                <w:sz w:val="20"/>
                <w:szCs w:val="20"/>
                <w:b w:val="1"/>
                <w:bCs w:val="1"/>
                <w:color w:val="auto"/>
              </w:rPr>
              <w:t>Missouri</w:t>
            </w:r>
          </w:p>
        </w:tc>
        <w:tc>
          <w:tcPr>
            <w:tcW w:w="2580" w:type="dxa"/>
            <w:vAlign w:val="bottom"/>
          </w:tcPr>
          <w:p>
            <w:pPr>
              <w:jc w:val="right"/>
              <w:ind w:right="906"/>
              <w:spacing w:after="0"/>
              <w:rPr>
                <w:sz w:val="20"/>
                <w:szCs w:val="20"/>
                <w:color w:val="auto"/>
              </w:rPr>
            </w:pPr>
            <w:r>
              <w:rPr>
                <w:rFonts w:ascii="Arial" w:cs="Arial" w:eastAsia="Arial" w:hAnsi="Arial"/>
                <w:sz w:val="20"/>
                <w:szCs w:val="20"/>
                <w:b w:val="1"/>
                <w:bCs w:val="1"/>
                <w:color w:val="auto"/>
              </w:rPr>
              <w:t>63144</w:t>
            </w:r>
          </w:p>
        </w:tc>
      </w:tr>
      <w:tr>
        <w:trPr>
          <w:trHeight w:val="239"/>
        </w:trPr>
        <w:tc>
          <w:tcPr>
            <w:tcW w:w="5340" w:type="dxa"/>
            <w:vAlign w:val="bottom"/>
            <w:gridSpan w:val="2"/>
          </w:tcPr>
          <w:p>
            <w:pPr>
              <w:ind w:left="1760"/>
              <w:spacing w:after="0"/>
              <w:rPr>
                <w:sz w:val="20"/>
                <w:szCs w:val="20"/>
                <w:color w:val="auto"/>
              </w:rPr>
            </w:pPr>
            <w:r>
              <w:rPr>
                <w:rFonts w:ascii="Arial" w:cs="Arial" w:eastAsia="Arial" w:hAnsi="Arial"/>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Arial" w:cs="Arial" w:eastAsia="Arial" w:hAnsi="Arial"/>
                <w:sz w:val="18"/>
                <w:szCs w:val="18"/>
                <w:color w:val="auto"/>
                <w:w w:val="90"/>
              </w:rPr>
              <w:t>Title of each class</w:t>
            </w:r>
          </w:p>
        </w:tc>
        <w:tc>
          <w:tcPr>
            <w:tcW w:w="21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Trading Symbol(s)</w:t>
            </w:r>
          </w:p>
        </w:tc>
        <w:tc>
          <w:tcPr>
            <w:tcW w:w="358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7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219075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BellRing Brands, Inc. (the “Company”) held its annual meeting of stockholders (the “Annual Meeting”) entirely virtually, conducted via a live audio-only webcast on Monday, February 6, 2023. At the Annual Meeting, of the 134,425,726 shares outstanding and entitled to vote, 126,811,464 shares were</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represented, constituting a 94.34% quorum. The final result for each of the matters submitted to a vote of the stockholders at the Annual Meeting are as follows:</w:t>
      </w:r>
    </w:p>
    <w:p>
      <w:pPr>
        <w:spacing w:after="0" w:line="211" w:lineRule="exact"/>
        <w:rPr>
          <w:sz w:val="20"/>
          <w:szCs w:val="20"/>
          <w:color w:val="auto"/>
        </w:rPr>
      </w:pPr>
    </w:p>
    <w:p>
      <w:pPr>
        <w:ind w:left="1040" w:right="160" w:hanging="1295"/>
        <w:spacing w:after="0" w:line="273" w:lineRule="auto"/>
        <w:tabs>
          <w:tab w:leader="none" w:pos="102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Both of the nominees for director were elected to serve until the Company’s annual meeting of stockholders to be held in 2026 or until their respective successors are elected and qualified, by the votes set forth in the table below:</w:t>
      </w:r>
    </w:p>
    <w:tbl>
      <w:tblPr>
        <w:tblLayout w:type="fixed"/>
        <w:tblInd w:w="1300" w:type="dxa"/>
        <w:tblCellMar>
          <w:top w:w="0" w:type="dxa"/>
          <w:left w:w="0" w:type="dxa"/>
          <w:bottom w:w="0" w:type="dxa"/>
          <w:right w:w="0" w:type="dxa"/>
        </w:tblCellMar>
      </w:tblPr>
      <w:tr>
        <w:trPr>
          <w:trHeight w:val="178"/>
        </w:trPr>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180"/>
              <w:spacing w:after="0" w:line="178" w:lineRule="exact"/>
              <w:rPr>
                <w:sz w:val="20"/>
                <w:szCs w:val="20"/>
                <w:color w:val="auto"/>
              </w:rPr>
            </w:pPr>
            <w:r>
              <w:rPr>
                <w:rFonts w:ascii="Arial" w:cs="Arial" w:eastAsia="Arial" w:hAnsi="Arial"/>
                <w:sz w:val="18"/>
                <w:szCs w:val="18"/>
                <w:color w:val="auto"/>
                <w:w w:val="94"/>
              </w:rPr>
              <w:t>Broker</w:t>
            </w:r>
          </w:p>
        </w:tc>
        <w:tc>
          <w:tcPr>
            <w:tcW w:w="1460" w:type="dxa"/>
            <w:vAlign w:val="bottom"/>
          </w:tcPr>
          <w:p>
            <w:pPr>
              <w:jc w:val="center"/>
              <w:spacing w:after="0" w:line="178" w:lineRule="exact"/>
              <w:rPr>
                <w:sz w:val="20"/>
                <w:szCs w:val="20"/>
                <w:color w:val="auto"/>
              </w:rPr>
            </w:pPr>
            <w:r>
              <w:rPr>
                <w:rFonts w:ascii="Arial" w:cs="Arial" w:eastAsia="Arial" w:hAnsi="Arial"/>
                <w:sz w:val="18"/>
                <w:szCs w:val="18"/>
                <w:color w:val="auto"/>
                <w:w w:val="87"/>
              </w:rPr>
              <w:t>Percentage of</w:t>
            </w:r>
          </w:p>
        </w:tc>
      </w:tr>
      <w:tr>
        <w:trPr>
          <w:trHeight w:val="243"/>
        </w:trPr>
        <w:tc>
          <w:tcPr>
            <w:tcW w:w="2020" w:type="dxa"/>
            <w:vAlign w:val="bottom"/>
            <w:gridSpan w:val="2"/>
          </w:tcPr>
          <w:p>
            <w:pPr>
              <w:ind w:left="600"/>
              <w:spacing w:after="0"/>
              <w:rPr>
                <w:sz w:val="20"/>
                <w:szCs w:val="20"/>
                <w:color w:val="auto"/>
              </w:rPr>
            </w:pPr>
            <w:r>
              <w:rPr>
                <w:rFonts w:ascii="Arial" w:cs="Arial" w:eastAsia="Arial" w:hAnsi="Arial"/>
                <w:sz w:val="18"/>
                <w:szCs w:val="18"/>
                <w:color w:val="auto"/>
              </w:rPr>
              <w:t>Nominee</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For</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rPr>
              <w:t>Withhold</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Non-Votes</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Votes Cast For</w:t>
            </w:r>
          </w:p>
        </w:tc>
      </w:tr>
      <w:tr>
        <w:trPr>
          <w:trHeight w:val="223"/>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Darcy H. Davenport</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113,839,468</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3,147,751</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9,824,245</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97.31%</w:t>
            </w:r>
          </w:p>
        </w:tc>
      </w:tr>
      <w:tr>
        <w:trPr>
          <w:trHeight w:val="23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Elliot H. Stein, Jr.</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84,883,728</w:t>
            </w:r>
          </w:p>
        </w:tc>
        <w:tc>
          <w:tcPr>
            <w:tcW w:w="16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32,103,491</w:t>
            </w:r>
          </w:p>
        </w:tc>
        <w:tc>
          <w:tcPr>
            <w:tcW w:w="1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9,824,245</w:t>
            </w:r>
          </w:p>
        </w:tc>
        <w:tc>
          <w:tcPr>
            <w:tcW w:w="1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72.56%</w:t>
            </w:r>
          </w:p>
        </w:tc>
      </w:tr>
    </w:tbl>
    <w:p>
      <w:pPr>
        <w:spacing w:after="0" w:line="322" w:lineRule="exact"/>
        <w:rPr>
          <w:sz w:val="20"/>
          <w:szCs w:val="20"/>
          <w:color w:val="auto"/>
        </w:rPr>
      </w:pPr>
    </w:p>
    <w:p>
      <w:pPr>
        <w:ind w:left="1040" w:right="120" w:hanging="1295"/>
        <w:spacing w:after="0" w:line="273" w:lineRule="auto"/>
        <w:tabs>
          <w:tab w:leader="none" w:pos="1020" w:val="left"/>
        </w:tabs>
        <w:rPr>
          <w:sz w:val="20"/>
          <w:szCs w:val="20"/>
          <w:color w:val="auto"/>
        </w:rPr>
      </w:pPr>
      <w:r>
        <w:rPr>
          <w:rFonts w:ascii="Arial" w:cs="Arial" w:eastAsia="Arial" w:hAnsi="Arial"/>
          <w:sz w:val="18"/>
          <w:szCs w:val="18"/>
          <w:i w:val="1"/>
          <w:iCs w:val="1"/>
          <w:color w:val="auto"/>
        </w:rPr>
        <w:t>Proposal 2:</w:t>
      </w:r>
      <w:r>
        <w:rPr>
          <w:sz w:val="20"/>
          <w:szCs w:val="20"/>
          <w:color w:val="auto"/>
        </w:rPr>
        <w:tab/>
      </w:r>
      <w:r>
        <w:rPr>
          <w:rFonts w:ascii="Arial" w:cs="Arial" w:eastAsia="Arial" w:hAnsi="Arial"/>
          <w:sz w:val="18"/>
          <w:szCs w:val="18"/>
          <w:color w:val="auto"/>
        </w:rPr>
        <w:t>The appointment of PricewaterhouseCoopers LLP as the Company’s independent registered public accounting firm for fiscal year 2023 was ratified by the stockholders, by the votes set forth in the table below:</w:t>
      </w:r>
    </w:p>
    <w:tbl>
      <w:tblPr>
        <w:tblLayout w:type="fixed"/>
        <w:tblInd w:w="1300" w:type="dxa"/>
        <w:tblCellMar>
          <w:top w:w="0" w:type="dxa"/>
          <w:left w:w="0" w:type="dxa"/>
          <w:bottom w:w="0" w:type="dxa"/>
          <w:right w:w="0" w:type="dxa"/>
        </w:tblCellMar>
      </w:tblPr>
      <w:tr>
        <w:trPr>
          <w:trHeight w:val="178"/>
        </w:trPr>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spacing w:after="0" w:line="178" w:lineRule="exact"/>
              <w:rPr>
                <w:sz w:val="20"/>
                <w:szCs w:val="20"/>
                <w:color w:val="auto"/>
              </w:rPr>
            </w:pPr>
            <w:r>
              <w:rPr>
                <w:rFonts w:ascii="Arial" w:cs="Arial" w:eastAsia="Arial" w:hAnsi="Arial"/>
                <w:sz w:val="18"/>
                <w:szCs w:val="18"/>
                <w:color w:val="auto"/>
                <w:w w:val="87"/>
              </w:rPr>
              <w:t>Percentage of</w:t>
            </w:r>
          </w:p>
        </w:tc>
      </w:tr>
      <w:tr>
        <w:trPr>
          <w:trHeight w:val="243"/>
        </w:trPr>
        <w:tc>
          <w:tcPr>
            <w:tcW w:w="2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For</w:t>
            </w:r>
          </w:p>
        </w:tc>
        <w:tc>
          <w:tcPr>
            <w:tcW w:w="1620" w:type="dxa"/>
            <w:vAlign w:val="bottom"/>
            <w:gridSpan w:val="2"/>
          </w:tcPr>
          <w:p>
            <w:pPr>
              <w:ind w:left="440"/>
              <w:spacing w:after="0"/>
              <w:rPr>
                <w:sz w:val="20"/>
                <w:szCs w:val="20"/>
                <w:color w:val="auto"/>
              </w:rPr>
            </w:pPr>
            <w:r>
              <w:rPr>
                <w:rFonts w:ascii="Arial" w:cs="Arial" w:eastAsia="Arial" w:hAnsi="Arial"/>
                <w:sz w:val="18"/>
                <w:szCs w:val="18"/>
                <w:color w:val="auto"/>
              </w:rPr>
              <w:t>Against</w:t>
            </w: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Abstain</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Votes Cast For</w:t>
            </w:r>
          </w:p>
        </w:tc>
      </w:tr>
      <w:tr>
        <w:trPr>
          <w:trHeight w:val="223"/>
        </w:trPr>
        <w:tc>
          <w:tcPr>
            <w:tcW w:w="18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126,486,595</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237,141</w:t>
            </w: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87,728</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99.74%</w:t>
            </w:r>
          </w:p>
        </w:tc>
      </w:tr>
    </w:tbl>
    <w:p>
      <w:pPr>
        <w:spacing w:after="0" w:line="296" w:lineRule="exact"/>
        <w:rPr>
          <w:sz w:val="20"/>
          <w:szCs w:val="20"/>
          <w:color w:val="auto"/>
        </w:rPr>
      </w:pPr>
    </w:p>
    <w:p>
      <w:pPr>
        <w:ind w:left="1040" w:right="140" w:hanging="1214"/>
        <w:spacing w:after="0" w:line="258" w:lineRule="auto"/>
        <w:tabs>
          <w:tab w:leader="none" w:pos="1020" w:val="left"/>
        </w:tabs>
        <w:rPr>
          <w:sz w:val="20"/>
          <w:szCs w:val="20"/>
          <w:color w:val="auto"/>
        </w:rPr>
      </w:pPr>
      <w:r>
        <w:rPr>
          <w:rFonts w:ascii="Arial" w:cs="Arial" w:eastAsia="Arial" w:hAnsi="Arial"/>
          <w:sz w:val="18"/>
          <w:szCs w:val="18"/>
          <w:i w:val="1"/>
          <w:iCs w:val="1"/>
          <w:color w:val="auto"/>
        </w:rPr>
        <w:t>Proposal 3:</w:t>
      </w:r>
      <w:r>
        <w:rPr>
          <w:sz w:val="20"/>
          <w:szCs w:val="20"/>
          <w:color w:val="auto"/>
        </w:rPr>
        <w:tab/>
      </w:r>
      <w:r>
        <w:rPr>
          <w:rFonts w:ascii="Arial" w:cs="Arial" w:eastAsia="Arial" w:hAnsi="Arial"/>
          <w:sz w:val="18"/>
          <w:szCs w:val="18"/>
          <w:color w:val="auto"/>
        </w:rPr>
        <w:t>The increase in the number of authorized shares under the Company’s 2019 Long-Term Incentive Plan by 6,000,000 shares, from 2,000,000 shares to 8,000,000 shares, was approved by the stockholders by the votes set forth in the table below:</w:t>
      </w:r>
    </w:p>
    <w:tbl>
      <w:tblPr>
        <w:tblLayout w:type="fixed"/>
        <w:tblInd w:w="180" w:type="dxa"/>
        <w:tblCellMar>
          <w:top w:w="0" w:type="dxa"/>
          <w:left w:w="0" w:type="dxa"/>
          <w:bottom w:w="0" w:type="dxa"/>
          <w:right w:w="0" w:type="dxa"/>
        </w:tblCellMar>
      </w:tblPr>
      <w:tr>
        <w:trPr>
          <w:trHeight w:val="177"/>
        </w:trPr>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180"/>
              <w:spacing w:after="0" w:line="177" w:lineRule="exact"/>
              <w:rPr>
                <w:sz w:val="20"/>
                <w:szCs w:val="20"/>
                <w:color w:val="auto"/>
              </w:rPr>
            </w:pPr>
            <w:r>
              <w:rPr>
                <w:rFonts w:ascii="Arial" w:cs="Arial" w:eastAsia="Arial" w:hAnsi="Arial"/>
                <w:sz w:val="18"/>
                <w:szCs w:val="18"/>
                <w:color w:val="auto"/>
                <w:w w:val="94"/>
              </w:rPr>
              <w:t>Broker</w:t>
            </w:r>
          </w:p>
        </w:tc>
        <w:tc>
          <w:tcPr>
            <w:tcW w:w="1460" w:type="dxa"/>
            <w:vAlign w:val="bottom"/>
          </w:tcPr>
          <w:p>
            <w:pPr>
              <w:jc w:val="center"/>
              <w:spacing w:after="0" w:line="177" w:lineRule="exact"/>
              <w:rPr>
                <w:sz w:val="20"/>
                <w:szCs w:val="20"/>
                <w:color w:val="auto"/>
              </w:rPr>
            </w:pPr>
            <w:r>
              <w:rPr>
                <w:rFonts w:ascii="Arial" w:cs="Arial" w:eastAsia="Arial" w:hAnsi="Arial"/>
                <w:sz w:val="18"/>
                <w:szCs w:val="18"/>
                <w:color w:val="auto"/>
                <w:w w:val="87"/>
              </w:rPr>
              <w:t>Percentage of</w:t>
            </w:r>
          </w:p>
        </w:tc>
      </w:tr>
      <w:tr>
        <w:trPr>
          <w:trHeight w:val="243"/>
        </w:trPr>
        <w:tc>
          <w:tcPr>
            <w:tcW w:w="20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For</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Against</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Abstain</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Non-Votes</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Votes Cast For</w:t>
            </w:r>
          </w:p>
        </w:tc>
      </w:tr>
      <w:tr>
        <w:trPr>
          <w:trHeight w:val="223"/>
        </w:trPr>
        <w:tc>
          <w:tcPr>
            <w:tcW w:w="18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115,604,981</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1,327,149</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55,089</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9,824,245</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98.82%</w:t>
            </w:r>
          </w:p>
        </w:tc>
      </w:tr>
    </w:tbl>
    <w:p>
      <w:pPr>
        <w:spacing w:after="0" w:line="323" w:lineRule="exact"/>
        <w:rPr>
          <w:sz w:val="20"/>
          <w:szCs w:val="20"/>
          <w:color w:val="auto"/>
        </w:rPr>
      </w:pPr>
    </w:p>
    <w:p>
      <w:pPr>
        <w:ind w:left="1040" w:right="20" w:hanging="1214"/>
        <w:spacing w:after="0" w:line="282" w:lineRule="auto"/>
        <w:tabs>
          <w:tab w:leader="none" w:pos="1020" w:val="left"/>
        </w:tabs>
        <w:rPr>
          <w:sz w:val="20"/>
          <w:szCs w:val="20"/>
          <w:color w:val="auto"/>
        </w:rPr>
      </w:pPr>
      <w:r>
        <w:rPr>
          <w:rFonts w:ascii="Arial" w:cs="Arial" w:eastAsia="Arial" w:hAnsi="Arial"/>
          <w:sz w:val="18"/>
          <w:szCs w:val="18"/>
          <w:i w:val="1"/>
          <w:iCs w:val="1"/>
          <w:color w:val="auto"/>
        </w:rPr>
        <w:t>Proposal 4:</w:t>
      </w:r>
      <w:r>
        <w:rPr>
          <w:sz w:val="20"/>
          <w:szCs w:val="20"/>
          <w:color w:val="auto"/>
        </w:rPr>
        <w:tab/>
      </w:r>
      <w:r>
        <w:rPr>
          <w:rFonts w:ascii="Arial" w:cs="Arial" w:eastAsia="Arial" w:hAnsi="Arial"/>
          <w:sz w:val="16"/>
          <w:szCs w:val="16"/>
          <w:color w:val="auto"/>
        </w:rPr>
        <w:t>The Company's executive compensation as described in the Company's Definitive Proxy Statement on Schedule 14A filed with the Securities and Exchange Commission on December 21, 2022, was approved by the non-binding advisory votes of the stockholders set forth in the</w:t>
      </w: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2020" w:type="dxa"/>
            <w:vAlign w:val="bottom"/>
            <w:gridSpan w:val="2"/>
          </w:tcPr>
          <w:p>
            <w:pPr>
              <w:ind w:left="1040"/>
              <w:spacing w:after="0"/>
              <w:rPr>
                <w:sz w:val="20"/>
                <w:szCs w:val="20"/>
                <w:color w:val="auto"/>
              </w:rPr>
            </w:pPr>
            <w:r>
              <w:rPr>
                <w:rFonts w:ascii="Arial" w:cs="Arial" w:eastAsia="Arial" w:hAnsi="Arial"/>
                <w:sz w:val="18"/>
                <w:szCs w:val="18"/>
                <w:color w:val="auto"/>
                <w:w w:val="99"/>
              </w:rPr>
              <w:t>table below:</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176"/>
        </w:trPr>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4"/>
              </w:rPr>
              <w:t>Broker</w:t>
            </w:r>
          </w:p>
        </w:tc>
        <w:tc>
          <w:tcPr>
            <w:tcW w:w="4140" w:type="dxa"/>
            <w:vAlign w:val="bottom"/>
            <w:gridSpan w:val="2"/>
          </w:tcPr>
          <w:p>
            <w:pPr>
              <w:jc w:val="center"/>
              <w:ind w:right="2680"/>
              <w:spacing w:after="0" w:line="176" w:lineRule="exact"/>
              <w:rPr>
                <w:sz w:val="20"/>
                <w:szCs w:val="20"/>
                <w:color w:val="auto"/>
              </w:rPr>
            </w:pPr>
            <w:r>
              <w:rPr>
                <w:rFonts w:ascii="Arial" w:cs="Arial" w:eastAsia="Arial" w:hAnsi="Arial"/>
                <w:sz w:val="18"/>
                <w:szCs w:val="18"/>
                <w:color w:val="auto"/>
                <w:w w:val="87"/>
              </w:rPr>
              <w:t>Percentage of</w:t>
            </w:r>
          </w:p>
        </w:tc>
      </w:tr>
      <w:tr>
        <w:trPr>
          <w:trHeight w:val="243"/>
        </w:trPr>
        <w:tc>
          <w:tcPr>
            <w:tcW w:w="180" w:type="dxa"/>
            <w:vAlign w:val="bottom"/>
          </w:tcPr>
          <w:p>
            <w:pPr>
              <w:spacing w:after="0"/>
              <w:rPr>
                <w:sz w:val="21"/>
                <w:szCs w:val="21"/>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For</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Against</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Abstain</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Non-Votes</w:t>
            </w:r>
          </w:p>
        </w:tc>
        <w:tc>
          <w:tcPr>
            <w:tcW w:w="4140" w:type="dxa"/>
            <w:vAlign w:val="bottom"/>
            <w:gridSpan w:val="2"/>
          </w:tcPr>
          <w:p>
            <w:pPr>
              <w:jc w:val="center"/>
              <w:ind w:right="2680"/>
              <w:spacing w:after="0"/>
              <w:rPr>
                <w:sz w:val="20"/>
                <w:szCs w:val="20"/>
                <w:color w:val="auto"/>
              </w:rPr>
            </w:pPr>
            <w:r>
              <w:rPr>
                <w:rFonts w:ascii="Arial" w:cs="Arial" w:eastAsia="Arial" w:hAnsi="Arial"/>
                <w:sz w:val="18"/>
                <w:szCs w:val="18"/>
                <w:color w:val="auto"/>
                <w:w w:val="88"/>
              </w:rPr>
              <w:t>Votes Cast For</w:t>
            </w:r>
          </w:p>
        </w:tc>
      </w:tr>
      <w:tr>
        <w:trPr>
          <w:trHeight w:val="223"/>
        </w:trPr>
        <w:tc>
          <w:tcPr>
            <w:tcW w:w="180" w:type="dxa"/>
            <w:vAlign w:val="bottom"/>
          </w:tcPr>
          <w:p>
            <w:pPr>
              <w:spacing w:after="0"/>
              <w:rPr>
                <w:sz w:val="19"/>
                <w:szCs w:val="19"/>
                <w:color w:val="auto"/>
              </w:rPr>
            </w:pPr>
          </w:p>
        </w:tc>
        <w:tc>
          <w:tcPr>
            <w:tcW w:w="18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115,433,149</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1,486,428.00</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67,642</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9,824,245</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98.67%</w:t>
            </w:r>
          </w:p>
        </w:tc>
        <w:tc>
          <w:tcPr>
            <w:tcW w:w="2680" w:type="dxa"/>
            <w:vAlign w:val="bottom"/>
          </w:tcPr>
          <w:p>
            <w:pPr>
              <w:spacing w:after="0"/>
              <w:rPr>
                <w:sz w:val="19"/>
                <w:szCs w:val="19"/>
                <w:color w:val="auto"/>
              </w:rPr>
            </w:pPr>
          </w:p>
        </w:tc>
      </w:tr>
      <w:tr>
        <w:trPr>
          <w:trHeight w:val="2477"/>
        </w:trPr>
        <w:tc>
          <w:tcPr>
            <w:tcW w:w="1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Date: February 9, 2023</w:t>
            </w: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BellRing Brands, Inc.</w:t>
            </w:r>
          </w:p>
        </w:tc>
      </w:tr>
      <w:tr>
        <w:trPr>
          <w:trHeight w:val="338"/>
        </w:trPr>
        <w:tc>
          <w:tcPr>
            <w:tcW w:w="3580" w:type="dxa"/>
            <w:vAlign w:val="bottom"/>
          </w:tcPr>
          <w:p>
            <w:pPr>
              <w:spacing w:after="0"/>
              <w:rPr>
                <w:sz w:val="24"/>
                <w:szCs w:val="24"/>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w w:val="93"/>
              </w:rPr>
              <w:t>(Registrant)</w:t>
            </w:r>
          </w:p>
        </w:tc>
        <w:tc>
          <w:tcPr>
            <w:tcW w:w="4600" w:type="dxa"/>
            <w:vAlign w:val="bottom"/>
          </w:tcPr>
          <w:p>
            <w:pPr>
              <w:spacing w:after="0"/>
              <w:rPr>
                <w:sz w:val="24"/>
                <w:szCs w:val="24"/>
                <w:color w:val="auto"/>
              </w:rPr>
            </w:pPr>
          </w:p>
        </w:tc>
      </w:tr>
      <w:tr>
        <w:trPr>
          <w:trHeight w:val="675"/>
        </w:trPr>
        <w:tc>
          <w:tcPr>
            <w:tcW w:w="3580" w:type="dxa"/>
            <w:vAlign w:val="bottom"/>
          </w:tcPr>
          <w:p>
            <w:pPr>
              <w:spacing w:after="0"/>
              <w:rPr>
                <w:sz w:val="24"/>
                <w:szCs w:val="24"/>
                <w:color w:val="auto"/>
              </w:rPr>
            </w:pPr>
          </w:p>
        </w:tc>
        <w:tc>
          <w:tcPr>
            <w:tcW w:w="2820" w:type="dxa"/>
            <w:vAlign w:val="bottom"/>
          </w:tcPr>
          <w:p>
            <w:pPr>
              <w:ind w:left="19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L. Rosenthal</w:t>
            </w:r>
          </w:p>
        </w:tc>
      </w:tr>
    </w:tbl>
    <w:p>
      <w:pPr>
        <w:spacing w:after="0" w:line="94" w:lineRule="exact"/>
        <w:rPr>
          <w:sz w:val="20"/>
          <w:szCs w:val="20"/>
          <w:color w:val="auto"/>
        </w:rPr>
      </w:pPr>
    </w:p>
    <w:p>
      <w:pPr>
        <w:sectPr>
          <w:pgSz w:w="11900" w:h="16838" w:orient="portrait"/>
          <w:cols w:equalWidth="0" w:num="1">
            <w:col w:w="11200"/>
          </w:cols>
          <w:pgMar w:left="320" w:top="1440" w:right="379" w:bottom="1440" w:gutter="0" w:footer="0" w:header="0"/>
        </w:sectPr>
      </w:pPr>
    </w:p>
    <w:p>
      <w:pPr>
        <w:ind w:left="5520"/>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Sr. Vice President, General Counsel and Corporate Secretary</w:t>
      </w:r>
    </w:p>
    <w:sectPr>
      <w:pgSz w:w="11900" w:h="16838" w:orient="portrait"/>
      <w:cols w:equalWidth="0" w:num="2">
        <w:col w:w="6000" w:space="440"/>
        <w:col w:w="4760"/>
      </w:cols>
      <w:pgMar w:left="320" w:top="14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2023-02-09T15:44:20Z</dcterms:created>
  <dcterms:modified xsi:type="dcterms:W3CDTF">2023-02-09T15:44:20Z</dcterms:modified>
</cp:coreProperties>
</file>