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kswfform4_157445700281931"/>
      <w:bookmarkEnd w:id="0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952"/>
        <w:gridCol w:w="6170"/>
        <w:gridCol w:w="2057"/>
      </w:tblGrid>
      <w:tr>
        <w:trPr/>
        <w:tc>
          <w:tcPr>
            <w:tcW w:w="2312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170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57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37"/>
            </w:tblGrid>
            <w:tr>
              <w:trPr/>
              <w:tc>
                <w:tcPr>
                  <w:tcW w:w="1937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88"/>
                    <w:gridCol w:w="693"/>
                  </w:tblGrid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81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37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170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7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88"/>
        <w:gridCol w:w="3689"/>
        <w:gridCol w:w="3162"/>
      </w:tblGrid>
      <w:tr>
        <w:trPr/>
        <w:tc>
          <w:tcPr>
            <w:tcW w:w="368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CORNILLE DOUGLAS J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2503 S. HANLEY ROAD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ST. LOUIS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MO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63144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9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BRBR</w:t>
            </w:r>
            <w:r>
              <w:rPr/>
              <w:t xml:space="preserve"> ] </w:t>
            </w:r>
          </w:p>
        </w:tc>
        <w:tc>
          <w:tcPr>
            <w:tcW w:w="31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1066"/>
              <w:gridCol w:w="455"/>
              <w:gridCol w:w="1066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30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SVP, MARKETING OF PNC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  <w:r>
              <w:rPr/>
              <w:t xml:space="preserve"> </w:t>
            </w:r>
          </w:p>
        </w:tc>
        <w:tc>
          <w:tcPr>
            <w:tcW w:w="31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2587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631"/>
        <w:gridCol w:w="903"/>
        <w:gridCol w:w="771"/>
        <w:gridCol w:w="600"/>
        <w:gridCol w:w="357"/>
        <w:gridCol w:w="992"/>
        <w:gridCol w:w="479"/>
        <w:gridCol w:w="641"/>
        <w:gridCol w:w="1204"/>
        <w:gridCol w:w="1026"/>
        <w:gridCol w:w="935"/>
      </w:tblGrid>
      <w:tr>
        <w:trPr>
          <w:tblHeader w:val="true"/>
        </w:trPr>
        <w:tc>
          <w:tcPr>
            <w:tcW w:w="10539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6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6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6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25,806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2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25,806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39"/>
      </w:tblGrid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BellRing Brands, Inc. Class A common stock. The restricted stock units were granted under the BellRing Brands, Inc. 2019 Long-Term Incentive Plan in a transaction exempt under Rule 16b-3 and vest in equal increments over three years.</w:t>
            </w:r>
          </w:p>
        </w:tc>
      </w:tr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23"/>
        <w:gridCol w:w="2108"/>
        <w:gridCol w:w="2108"/>
      </w:tblGrid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Craig L. Rosenthal, Attorney-in-Fact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11/22/2019</w:t>
            </w:r>
          </w:p>
        </w:tc>
      </w:tr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sectPr>
      <w:type w:val="nextPage"/>
      <w:pgSz w:w="11906" w:h="16838"/>
      <w:pgMar w:left="216" w:right="216" w:header="0" w:top="216" w:footer="0" w:bottom="216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../../../../cgi-bin/browse-edgar%3Faction=getcompany&amp;CIK=0001790179" TargetMode="External"/><Relationship Id="rId4" Type="http://schemas.openxmlformats.org/officeDocument/2006/relationships/hyperlink" Target="../../../../cgi-bin/browse-edgar%3Faction=getcompany&amp;CIK=000177201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579</Words>
  <CharactersWithSpaces>3650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