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73328.xml.htm"/>
      <w:bookmarkStart w:id="1" w:name="kswkform4_17833733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Nwamu Chonda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BELLRING BRANDS,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 BRENTWOOD BLVD., SUITE 1550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ST. LOUIS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BELLRING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BRBR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30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30"/>
        <w:gridCol w:w="861"/>
        <w:gridCol w:w="891"/>
        <w:gridCol w:w="771"/>
        <w:gridCol w:w="591"/>
        <w:gridCol w:w="300"/>
        <w:gridCol w:w="966"/>
        <w:gridCol w:w="276"/>
        <w:gridCol w:w="906"/>
        <w:gridCol w:w="801"/>
        <w:gridCol w:w="891"/>
        <w:gridCol w:w="110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30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3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3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BellRing Brands, Inc. Common Stock Equivalents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2,447.131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2,447.131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12.94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14,259.811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Common Stock equivalents have no fixed exercisable or expiration dates.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Craig L. Rosenthal,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4398" TargetMode="External"/><Relationship Id="rId5" Type="http://schemas.openxmlformats.org/officeDocument/2006/relationships/hyperlink" Target="http://www.sec.gov/cgi-bin/browse-edgar?action=getcompany&amp;CIK=0001772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667</Words>
  <Characters>3638</Characters>
  <CharactersWithSpaces>4241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