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7"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3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-612140</wp:posOffset>
            </wp:positionV>
            <wp:extent cx="57150" cy="6254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5475"/>
                    </a:xfrm>
                    <a:prstGeom prst="rect">
                      <a:avLst/>
                    </a:prstGeom>
                    <a:noFill/>
                  </pic:spPr>
                </pic:pic>
              </a:graphicData>
            </a:graphic>
          </wp:anchor>
        </w:drawing>
        <w:drawing>
          <wp:anchor simplePos="0" relativeHeight="251657728" behindDoc="1" locked="0" layoutInCell="0" allowOverlap="1">
            <wp:simplePos x="0" y="0"/>
            <wp:positionH relativeFrom="column">
              <wp:posOffset>3942715</wp:posOffset>
            </wp:positionH>
            <wp:positionV relativeFrom="paragraph">
              <wp:posOffset>-612140</wp:posOffset>
            </wp:positionV>
            <wp:extent cx="57150" cy="6254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547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20320</wp:posOffset>
            </wp:positionV>
            <wp:extent cx="7047865" cy="44913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4491355"/>
                    </a:xfrm>
                    <a:prstGeom prst="rect">
                      <a:avLst/>
                    </a:prstGeom>
                    <a:noFill/>
                  </pic:spPr>
                </pic:pic>
              </a:graphicData>
            </a:graphic>
          </wp:anchor>
        </w:drawing>
      </w:r>
    </w:p>
    <w:p>
      <w:pPr>
        <w:spacing w:after="0" w:line="49" w:lineRule="exact"/>
        <w:rPr>
          <w:sz w:val="24"/>
          <w:szCs w:val="24"/>
          <w:color w:val="auto"/>
        </w:rPr>
      </w:pPr>
    </w:p>
    <w:p>
      <w:pPr>
        <w:sectPr>
          <w:pgSz w:w="11900" w:h="16838" w:orient="portrait"/>
          <w:cols w:equalWidth="0" w:num="2">
            <w:col w:w="2200" w:space="420"/>
            <w:col w:w="8460"/>
          </w:cols>
          <w:pgMar w:left="460" w:top="215"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6"/>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ERICKSON THOMAS P</w:t>
              </w:r>
            </w:hyperlink>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80" w:type="dxa"/>
            <w:vAlign w:val="bottom"/>
            <w:gridSpan w:val="8"/>
          </w:tcPr>
          <w:p>
            <w:pPr>
              <w:spacing w:after="0" w:line="164"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BELLRING BRANDS,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BRBR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420" w:type="dxa"/>
            <w:vAlign w:val="bottom"/>
            <w:gridSpan w:val="6"/>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68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7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Borders>
              <w:top w:val="single" w:sz="8" w:color="0000EE"/>
            </w:tcBorders>
          </w:tcPr>
          <w:p>
            <w:pPr>
              <w:spacing w:after="0"/>
              <w:rPr>
                <w:sz w:val="9"/>
                <w:szCs w:val="9"/>
                <w:color w:val="auto"/>
              </w:rPr>
            </w:pPr>
          </w:p>
        </w:tc>
        <w:tc>
          <w:tcPr>
            <w:tcW w:w="580" w:type="dxa"/>
            <w:vAlign w:val="bottom"/>
            <w:tcBorders>
              <w:top w:val="single" w:sz="8" w:color="0000EE"/>
            </w:tcBorders>
          </w:tcPr>
          <w:p>
            <w:pPr>
              <w:spacing w:after="0"/>
              <w:rPr>
                <w:sz w:val="9"/>
                <w:szCs w:val="9"/>
                <w:color w:val="auto"/>
              </w:rPr>
            </w:pPr>
          </w:p>
        </w:tc>
        <w:tc>
          <w:tcPr>
            <w:tcW w:w="200" w:type="dxa"/>
            <w:vAlign w:val="bottom"/>
            <w:tcBorders>
              <w:top w:val="single" w:sz="8" w:color="0000EE"/>
            </w:tcBorders>
          </w:tcPr>
          <w:p>
            <w:pPr>
              <w:spacing w:after="0"/>
              <w:rPr>
                <w:sz w:val="9"/>
                <w:szCs w:val="9"/>
                <w:color w:val="auto"/>
              </w:rPr>
            </w:pPr>
          </w:p>
        </w:tc>
        <w:tc>
          <w:tcPr>
            <w:tcW w:w="680" w:type="dxa"/>
            <w:vAlign w:val="bottom"/>
            <w:tcBorders>
              <w:top w:val="single" w:sz="8" w:color="0000EE"/>
            </w:tcBorders>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6"/>
                <w:szCs w:val="6"/>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80" w:type="dxa"/>
            <w:vAlign w:val="bottom"/>
            <w:tcBorders>
              <w:top w:val="single" w:sz="8" w:color="EEEEEE"/>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20" w:type="dxa"/>
            <w:vAlign w:val="bottom"/>
            <w:gridSpan w:val="7"/>
            <w:vMerge w:val="restart"/>
          </w:tcPr>
          <w:p>
            <w:pPr>
              <w:spacing w:after="0"/>
              <w:rPr>
                <w:sz w:val="20"/>
                <w:szCs w:val="20"/>
                <w:color w:val="auto"/>
              </w:rPr>
            </w:pPr>
            <w:r>
              <w:rPr>
                <w:rFonts w:ascii="Arial" w:cs="Arial" w:eastAsia="Arial" w:hAnsi="Arial"/>
                <w:sz w:val="13"/>
                <w:szCs w:val="13"/>
                <w:color w:val="auto"/>
                <w:w w:val="99"/>
              </w:rPr>
              <w:t>3. Date of Earliest Transaction (Month/Day/Year)</w:t>
            </w: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00" w:type="dxa"/>
            <w:vAlign w:val="bottom"/>
          </w:tcPr>
          <w:p>
            <w:pPr>
              <w:ind w:left="40"/>
              <w:spacing w:after="0"/>
              <w:rPr>
                <w:sz w:val="20"/>
                <w:szCs w:val="20"/>
                <w:color w:val="auto"/>
              </w:rPr>
            </w:pPr>
            <w:r>
              <w:rPr>
                <w:rFonts w:ascii="Arial" w:cs="Arial" w:eastAsia="Arial" w:hAnsi="Arial"/>
                <w:sz w:val="13"/>
                <w:szCs w:val="13"/>
                <w:color w:val="auto"/>
              </w:rPr>
              <w:t>(Middle)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20" w:type="dxa"/>
            <w:vAlign w:val="bottom"/>
            <w:gridSpan w:val="7"/>
            <w:vMerge w:val="continue"/>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2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C/O BELLRING BRANDS, INC.</w:t>
            </w:r>
          </w:p>
        </w:tc>
        <w:tc>
          <w:tcPr>
            <w:tcW w:w="1100" w:type="dxa"/>
            <w:vAlign w:val="bottom"/>
          </w:tcPr>
          <w:p>
            <w:pPr>
              <w:spacing w:after="0"/>
              <w:rPr>
                <w:sz w:val="18"/>
                <w:szCs w:val="18"/>
                <w:color w:val="auto"/>
              </w:rPr>
            </w:pPr>
          </w:p>
        </w:tc>
        <w:tc>
          <w:tcPr>
            <w:tcW w:w="1420" w:type="dxa"/>
            <w:vAlign w:val="bottom"/>
            <w:gridSpan w:val="5"/>
          </w:tcPr>
          <w:p>
            <w:pPr>
              <w:ind w:left="280"/>
              <w:spacing w:after="0"/>
              <w:rPr>
                <w:sz w:val="20"/>
                <w:szCs w:val="20"/>
                <w:color w:val="auto"/>
              </w:rPr>
            </w:pPr>
            <w:r>
              <w:rPr>
                <w:rFonts w:ascii="Times New Roman" w:cs="Times New Roman" w:eastAsia="Times New Roman" w:hAnsi="Times New Roman"/>
                <w:sz w:val="16"/>
                <w:szCs w:val="16"/>
                <w:color w:val="0000FF"/>
              </w:rPr>
              <w:t>07/01/2022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2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20" w:type="dxa"/>
            <w:vAlign w:val="bottom"/>
            <w:gridSpan w:val="6"/>
            <w:vMerge w:val="restart"/>
          </w:tcPr>
          <w:p>
            <w:pPr>
              <w:ind w:left="20"/>
              <w:spacing w:after="0"/>
              <w:rPr>
                <w:sz w:val="20"/>
                <w:szCs w:val="20"/>
                <w:color w:val="auto"/>
              </w:rPr>
            </w:pPr>
            <w:r>
              <w:rPr>
                <w:rFonts w:ascii="Times New Roman" w:cs="Times New Roman" w:eastAsia="Times New Roman" w:hAnsi="Times New Roman"/>
                <w:sz w:val="16"/>
                <w:szCs w:val="16"/>
                <w:color w:val="0000FF"/>
              </w:rPr>
              <w:t>2503 S. HANLEY ROAD</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48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00" w:type="dxa"/>
            <w:vAlign w:val="bottom"/>
          </w:tcPr>
          <w:p>
            <w:pPr>
              <w:spacing w:after="0"/>
              <w:rPr>
                <w:sz w:val="8"/>
                <w:szCs w:val="8"/>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80" w:type="dxa"/>
            <w:vAlign w:val="bottom"/>
            <w:gridSpan w:val="8"/>
            <w:vMerge w:val="continue"/>
          </w:tcPr>
          <w:p>
            <w:pPr>
              <w:spacing w:after="0"/>
              <w:rPr>
                <w:sz w:val="6"/>
                <w:szCs w:val="6"/>
                <w:color w:val="auto"/>
              </w:rPr>
            </w:pPr>
          </w:p>
        </w:tc>
        <w:tc>
          <w:tcPr>
            <w:tcW w:w="300" w:type="dxa"/>
            <w:vAlign w:val="bottom"/>
          </w:tcPr>
          <w:p>
            <w:pPr>
              <w:spacing w:after="0"/>
              <w:rPr>
                <w:sz w:val="6"/>
                <w:szCs w:val="6"/>
                <w:color w:val="auto"/>
              </w:rPr>
            </w:pPr>
          </w:p>
        </w:tc>
        <w:tc>
          <w:tcPr>
            <w:tcW w:w="340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300" w:type="dxa"/>
            <w:vAlign w:val="bottom"/>
            <w:vMerge w:val="restart"/>
          </w:tcPr>
          <w:p>
            <w:pPr>
              <w:spacing w:after="0"/>
              <w:rPr>
                <w:sz w:val="5"/>
                <w:szCs w:val="5"/>
                <w:color w:val="auto"/>
              </w:rPr>
            </w:pPr>
          </w:p>
        </w:tc>
        <w:tc>
          <w:tcPr>
            <w:tcW w:w="42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ST. LOUIS</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0000FF"/>
              </w:rPr>
              <w:t>MO</w:t>
            </w:r>
          </w:p>
        </w:tc>
        <w:tc>
          <w:tcPr>
            <w:tcW w:w="110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63144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ind w:left="160"/>
              <w:spacing w:after="0" w:line="139"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00" w:type="dxa"/>
            <w:vAlign w:val="bottom"/>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1400" w:type="dxa"/>
            <w:vAlign w:val="bottom"/>
            <w:tcBorders>
              <w:bottom w:val="single" w:sz="8" w:color="2C2C2C"/>
            </w:tcBorders>
            <w:gridSpan w:val="3"/>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6560" w:type="dxa"/>
            <w:vAlign w:val="bottom"/>
            <w:tcBorders>
              <w:top w:val="single" w:sz="8" w:color="2C2C2C"/>
            </w:tcBorders>
            <w:gridSpan w:val="17"/>
          </w:tcPr>
          <w:p>
            <w:pPr>
              <w:ind w:left="2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6"/>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ind w:left="84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00" w:type="dxa"/>
            <w:vAlign w:val="bottom"/>
            <w:gridSpan w:val="7"/>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40" w:type="dxa"/>
            <w:vAlign w:val="bottom"/>
            <w:gridSpan w:val="5"/>
          </w:tcPr>
          <w:p>
            <w:pPr>
              <w:ind w:left="84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w w:val="98"/>
              </w:rPr>
              <w:t>Code (Instr.</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74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20" w:type="dxa"/>
            <w:vAlign w:val="bottom"/>
            <w:gridSpan w:val="2"/>
            <w:vMerge w:val="restart"/>
          </w:tcPr>
          <w:p>
            <w:pPr>
              <w:jc w:val="right"/>
              <w:ind w:right="6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720" w:type="dxa"/>
            <w:vAlign w:val="bottom"/>
            <w:gridSpan w:val="3"/>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2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3"/>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1500" w:type="dxa"/>
            <w:vAlign w:val="bottom"/>
            <w:tcBorders>
              <w:bottom w:val="single" w:sz="8" w:color="2C2C2C"/>
            </w:tcBorders>
            <w:gridSpan w:val="4"/>
          </w:tcPr>
          <w:p>
            <w:pPr>
              <w:spacing w:after="0"/>
              <w:rPr>
                <w:sz w:val="6"/>
                <w:szCs w:val="6"/>
                <w:color w:val="auto"/>
              </w:rPr>
            </w:pPr>
          </w:p>
        </w:tc>
        <w:tc>
          <w:tcPr>
            <w:tcW w:w="880" w:type="dxa"/>
            <w:vAlign w:val="bottom"/>
            <w:tcBorders>
              <w:bottom w:val="single" w:sz="8" w:color="2C2C2C"/>
            </w:tcBorders>
            <w:gridSpan w:val="2"/>
          </w:tcPr>
          <w:p>
            <w:pPr>
              <w:spacing w:after="0"/>
              <w:rPr>
                <w:sz w:val="6"/>
                <w:szCs w:val="6"/>
                <w:color w:val="auto"/>
              </w:rPr>
            </w:pPr>
          </w:p>
        </w:tc>
        <w:tc>
          <w:tcPr>
            <w:tcW w:w="1760" w:type="dxa"/>
            <w:vAlign w:val="bottom"/>
            <w:tcBorders>
              <w:bottom w:val="single" w:sz="8" w:color="2C2C2C"/>
            </w:tcBorders>
            <w:gridSpan w:val="4"/>
          </w:tcPr>
          <w:p>
            <w:pPr>
              <w:spacing w:after="0"/>
              <w:rPr>
                <w:sz w:val="6"/>
                <w:szCs w:val="6"/>
                <w:color w:val="auto"/>
              </w:rPr>
            </w:pPr>
          </w:p>
        </w:tc>
        <w:tc>
          <w:tcPr>
            <w:tcW w:w="700" w:type="dxa"/>
            <w:vAlign w:val="bottom"/>
            <w:tcBorders>
              <w:bottom w:val="single" w:sz="8" w:color="2C2C2C"/>
            </w:tcBorders>
            <w:gridSpan w:val="2"/>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6"/>
          </w:tcPr>
          <w:p>
            <w:pPr>
              <w:ind w:left="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580" w:type="dxa"/>
            <w:vAlign w:val="bottom"/>
            <w:gridSpan w:val="15"/>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3"/>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3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20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3A. Deemed</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4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Expiration Date</w:t>
            </w: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142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Underlying Derivative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ind w:left="100"/>
              <w:spacing w:after="0"/>
              <w:rPr>
                <w:sz w:val="20"/>
                <w:szCs w:val="20"/>
                <w:color w:val="auto"/>
              </w:rPr>
            </w:pPr>
            <w:r>
              <w:rPr>
                <w:rFonts w:ascii="Arial" w:cs="Arial" w:eastAsia="Arial" w:hAnsi="Arial"/>
                <w:sz w:val="11"/>
                <w:szCs w:val="11"/>
                <w:b w:val="1"/>
                <w:bCs w:val="1"/>
                <w:color w:val="auto"/>
              </w:rPr>
              <w:t>(Month/Day/Year)</w:t>
            </w:r>
          </w:p>
        </w:tc>
        <w:tc>
          <w:tcPr>
            <w:tcW w:w="22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380" w:type="dxa"/>
            <w:vAlign w:val="bottom"/>
            <w:gridSpan w:val="4"/>
          </w:tcPr>
          <w:p>
            <w:pPr>
              <w:ind w:left="80"/>
              <w:spacing w:after="0"/>
              <w:rPr>
                <w:sz w:val="20"/>
                <w:szCs w:val="20"/>
                <w:color w:val="auto"/>
              </w:rPr>
            </w:pPr>
            <w:r>
              <w:rPr>
                <w:rFonts w:ascii="Arial" w:cs="Arial" w:eastAsia="Arial" w:hAnsi="Arial"/>
                <w:sz w:val="11"/>
                <w:szCs w:val="11"/>
                <w:b w:val="1"/>
                <w:bCs w:val="1"/>
                <w:color w:val="auto"/>
              </w:rPr>
              <w:t>Security (Instr. 3 and</w:t>
            </w:r>
          </w:p>
        </w:tc>
        <w:tc>
          <w:tcPr>
            <w:tcW w:w="640" w:type="dxa"/>
            <w:vAlign w:val="bottom"/>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3, 4 and 5)</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2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w w:val="92"/>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BellRing</w:t>
            </w: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gridSpan w:val="3"/>
          </w:tcPr>
          <w:p>
            <w:pPr>
              <w:ind w:left="60"/>
              <w:spacing w:after="0" w:line="139" w:lineRule="exact"/>
              <w:rPr>
                <w:sz w:val="20"/>
                <w:szCs w:val="20"/>
                <w:color w:val="auto"/>
              </w:rPr>
            </w:pPr>
            <w:r>
              <w:rPr>
                <w:rFonts w:ascii="Times New Roman" w:cs="Times New Roman" w:eastAsia="Times New Roman" w:hAnsi="Times New Roman"/>
                <w:sz w:val="13"/>
                <w:szCs w:val="13"/>
                <w:color w:val="0000FF"/>
              </w:rPr>
              <w:t>Brands,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Inc.</w:t>
            </w:r>
          </w:p>
        </w:tc>
        <w:tc>
          <w:tcPr>
            <w:tcW w:w="580" w:type="dxa"/>
            <w:vAlign w:val="bottom"/>
          </w:tcPr>
          <w:p>
            <w:pPr>
              <w:ind w:left="340"/>
              <w:spacing w:after="0"/>
              <w:rPr>
                <w:sz w:val="20"/>
                <w:szCs w:val="20"/>
                <w:color w:val="auto"/>
              </w:rPr>
            </w:pPr>
            <w:r>
              <w:rPr>
                <w:rFonts w:ascii="Times New Roman" w:cs="Times New Roman" w:eastAsia="Times New Roman" w:hAnsi="Times New Roman"/>
                <w:sz w:val="10"/>
                <w:szCs w:val="10"/>
                <w:color w:val="008000"/>
              </w:rPr>
              <w:t>(1)</w:t>
            </w:r>
          </w:p>
        </w:tc>
        <w:tc>
          <w:tcPr>
            <w:tcW w:w="200" w:type="dxa"/>
            <w:vAlign w:val="bottom"/>
          </w:tcPr>
          <w:p>
            <w:pPr>
              <w:spacing w:after="0"/>
              <w:rPr>
                <w:sz w:val="17"/>
                <w:szCs w:val="17"/>
                <w:color w:val="auto"/>
              </w:rPr>
            </w:pPr>
          </w:p>
        </w:tc>
        <w:tc>
          <w:tcPr>
            <w:tcW w:w="1020" w:type="dxa"/>
            <w:vAlign w:val="bottom"/>
            <w:gridSpan w:val="2"/>
          </w:tcPr>
          <w:p>
            <w:pPr>
              <w:jc w:val="right"/>
              <w:ind w:right="118"/>
              <w:spacing w:after="0"/>
              <w:rPr>
                <w:sz w:val="20"/>
                <w:szCs w:val="20"/>
                <w:color w:val="auto"/>
              </w:rPr>
            </w:pPr>
            <w:r>
              <w:rPr>
                <w:rFonts w:ascii="Times New Roman" w:cs="Times New Roman" w:eastAsia="Times New Roman" w:hAnsi="Times New Roman"/>
                <w:sz w:val="13"/>
                <w:szCs w:val="13"/>
                <w:color w:val="0000FF"/>
              </w:rPr>
              <w:t>07/01/2022</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1,138.34</w:t>
            </w:r>
          </w:p>
        </w:tc>
        <w:tc>
          <w:tcPr>
            <w:tcW w:w="26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Times New Roman" w:cs="Times New Roman" w:eastAsia="Times New Roman" w:hAnsi="Times New Roman"/>
                <w:sz w:val="10"/>
                <w:szCs w:val="10"/>
                <w:color w:val="008000"/>
              </w:rPr>
              <w:t>(2)</w:t>
            </w:r>
          </w:p>
        </w:tc>
        <w:tc>
          <w:tcPr>
            <w:tcW w:w="620" w:type="dxa"/>
            <w:vAlign w:val="bottom"/>
            <w:gridSpan w:val="2"/>
          </w:tcPr>
          <w:p>
            <w:pPr>
              <w:jc w:val="right"/>
              <w:ind w:right="280"/>
              <w:spacing w:after="0"/>
              <w:rPr>
                <w:sz w:val="20"/>
                <w:szCs w:val="20"/>
                <w:color w:val="auto"/>
              </w:rPr>
            </w:pPr>
            <w:r>
              <w:rPr>
                <w:rFonts w:ascii="Times New Roman" w:cs="Times New Roman" w:eastAsia="Times New Roman" w:hAnsi="Times New Roman"/>
                <w:sz w:val="10"/>
                <w:szCs w:val="10"/>
                <w:color w:val="008000"/>
              </w:rPr>
              <w:t>(2)</w:t>
            </w:r>
          </w:p>
        </w:tc>
        <w:tc>
          <w:tcPr>
            <w:tcW w:w="66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1,138.34</w:t>
            </w:r>
          </w:p>
        </w:tc>
        <w:tc>
          <w:tcPr>
            <w:tcW w:w="6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24.89</w:t>
            </w:r>
          </w:p>
        </w:tc>
        <w:tc>
          <w:tcPr>
            <w:tcW w:w="88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3"/>
                <w:szCs w:val="13"/>
                <w:color w:val="0000FF"/>
              </w:rPr>
              <w:t>10,765.25</w:t>
            </w:r>
            <w:r>
              <w:rPr>
                <w:rFonts w:ascii="Times New Roman" w:cs="Times New Roman" w:eastAsia="Times New Roman" w:hAnsi="Times New Roman"/>
                <w:sz w:val="20"/>
                <w:szCs w:val="20"/>
                <w:color w:val="008000"/>
                <w:vertAlign w:val="superscript"/>
              </w:rPr>
              <w:t>(3)</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gridSpan w:val="3"/>
          </w:tcPr>
          <w:p>
            <w:pPr>
              <w:ind w:left="60"/>
              <w:spacing w:after="0" w:line="90" w:lineRule="exact"/>
              <w:rPr>
                <w:sz w:val="20"/>
                <w:szCs w:val="20"/>
                <w:color w:val="auto"/>
              </w:rPr>
            </w:pPr>
            <w:r>
              <w:rPr>
                <w:rFonts w:ascii="Times New Roman" w:cs="Times New Roman" w:eastAsia="Times New Roman" w:hAnsi="Times New Roman"/>
                <w:sz w:val="9"/>
                <w:szCs w:val="9"/>
                <w:color w:val="0000FF"/>
              </w:rPr>
              <w:t>Common</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ind w:left="180"/>
              <w:spacing w:after="0" w:line="90" w:lineRule="exact"/>
              <w:rPr>
                <w:sz w:val="20"/>
                <w:szCs w:val="20"/>
                <w:color w:val="auto"/>
              </w:rPr>
            </w:pPr>
            <w:r>
              <w:rPr>
                <w:rFonts w:ascii="Times New Roman" w:cs="Times New Roman" w:eastAsia="Times New Roman" w:hAnsi="Times New Roman"/>
                <w:sz w:val="9"/>
                <w:szCs w:val="9"/>
                <w:color w:val="0000FF"/>
              </w:rPr>
              <w:t>Stock</w:t>
            </w: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2" w:lineRule="auto"/>
        <w:rPr>
          <w:sz w:val="20"/>
          <w:szCs w:val="20"/>
          <w:color w:val="auto"/>
        </w:rPr>
      </w:pPr>
      <w:r>
        <w:rPr>
          <w:rFonts w:ascii="Times New Roman" w:cs="Times New Roman" w:eastAsia="Times New Roman" w:hAnsi="Times New Roman"/>
          <w:sz w:val="13"/>
          <w:szCs w:val="13"/>
          <w:color w:val="0000FF"/>
        </w:rPr>
        <w:t>Stock</w:t>
      </w:r>
    </w:p>
    <w:p>
      <w:pPr>
        <w:ind w:left="80"/>
        <w:spacing w:after="0"/>
        <w:rPr>
          <w:sz w:val="20"/>
          <w:szCs w:val="20"/>
          <w:color w:val="auto"/>
        </w:rPr>
      </w:pPr>
      <w:r>
        <w:rPr>
          <w:rFonts w:ascii="Times New Roman" w:cs="Times New Roman" w:eastAsia="Times New Roman" w:hAnsi="Times New Roman"/>
          <w:sz w:val="13"/>
          <w:szCs w:val="13"/>
          <w:color w:val="0000FF"/>
        </w:rPr>
        <w:t>Equivalents</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0"/>
          <w:szCs w:val="20"/>
          <w:color w:val="auto"/>
        </w:rPr>
      </w:pPr>
    </w:p>
    <w:p>
      <w:pPr>
        <w:jc w:val="both"/>
        <w:ind w:left="40" w:right="320" w:hanging="1"/>
        <w:spacing w:after="0" w:line="236"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Person's retainer earned as a Director of Issuer is deferred into Issuer Common Stock equivalents under the Issuer's Deferred Compensation Plan for Directors. Reporting Person is credited with stock equivalents on a quarterly basis as soon as administratively practical following the quarter in which such retainer is earned. The value of these stock equivalents is distributed (on a one-for-one basis) in the form of Issuer Common Stock upon Reporting Person's retirement from the Board of Directors.</w:t>
      </w:r>
    </w:p>
    <w:p>
      <w:pPr>
        <w:spacing w:after="0" w:line="25"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Common Stock equivalents have no fixed exercisable or expiration dates.</w:t>
      </w:r>
    </w:p>
    <w:p>
      <w:pPr>
        <w:spacing w:after="0" w:line="39" w:lineRule="exact"/>
        <w:rPr>
          <w:rFonts w:ascii="Times New Roman" w:cs="Times New Roman" w:eastAsia="Times New Roman" w:hAnsi="Times New Roman"/>
          <w:sz w:val="13"/>
          <w:szCs w:val="13"/>
          <w:color w:val="008000"/>
        </w:rPr>
      </w:pPr>
    </w:p>
    <w:p>
      <w:pPr>
        <w:ind w:left="40" w:right="240" w:hanging="1"/>
        <w:spacing w:after="0" w:line="230" w:lineRule="auto"/>
        <w:tabs>
          <w:tab w:leader="none" w:pos="166"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transactions under the transaction agreement and plan of merger entered into on October 26, 2021, as amended on February 28, 2022, whereby BellRing Intermediate Holdings, Inc. (formerly known as BellRing Brands, Inc.) ("Old BellRing") merged with a subsidiary of Issuer and each outstanding share of Old BellRing Class A common stock was converted into one share of Issuer common stock and $2.97 in cash (the "Cash Consideration" and such transactions the "Transactions"), awards under the Old BellRing Deferred Compensation Plan for Directors were adjusted to account for the Cash Consideration paid to holders of Old Bell Ring common stock in the Transactions. The amount of securities beneficially owned following the reported transaction includes 878 additional Common Stock equivalents received in connection with such adjustment, which Common Stock equivalents are subject to the same terms and conditions as the underlying awards.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4"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Craig L. Rosenthal,</w:t>
            </w:r>
          </w:p>
        </w:tc>
        <w:tc>
          <w:tcPr>
            <w:tcW w:w="540" w:type="dxa"/>
            <w:vAlign w:val="bottom"/>
          </w:tcPr>
          <w:p>
            <w:pPr>
              <w:spacing w:after="0"/>
              <w:rPr>
                <w:sz w:val="16"/>
                <w:szCs w:val="16"/>
                <w:color w:val="auto"/>
              </w:rPr>
            </w:pP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0000FF"/>
                <w:w w:val="98"/>
              </w:rPr>
              <w:t>07/06/2022</w:t>
            </w:r>
          </w:p>
        </w:tc>
        <w:tc>
          <w:tcPr>
            <w:tcW w:w="0" w:type="dxa"/>
            <w:vAlign w:val="bottom"/>
          </w:tcPr>
          <w:p>
            <w:pPr>
              <w:spacing w:after="0"/>
              <w:rPr>
                <w:sz w:val="1"/>
                <w:szCs w:val="1"/>
                <w:color w:val="auto"/>
              </w:rPr>
            </w:pPr>
          </w:p>
        </w:tc>
      </w:tr>
      <w:tr>
        <w:trPr>
          <w:trHeight w:val="81"/>
        </w:trPr>
        <w:tc>
          <w:tcPr>
            <w:tcW w:w="110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color w:val="0000FF"/>
              </w:rPr>
              <w:t>Attorney-in-Fact</w:t>
            </w:r>
          </w:p>
        </w:tc>
        <w:tc>
          <w:tcPr>
            <w:tcW w:w="92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1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0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0"/>
          <w:szCs w:val="20"/>
          <w:color w:val="auto"/>
        </w:rPr>
      </w:pPr>
    </w:p>
    <w:p>
      <w:pPr>
        <w:jc w:val="both"/>
        <w:ind w:left="40" w:right="3760" w:hanging="1"/>
        <w:spacing w:after="0" w:line="328" w:lineRule="auto"/>
        <w:tabs>
          <w:tab w:leader="none" w:pos="17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90535" TargetMode="External"/><Relationship Id="rId13" Type="http://schemas.openxmlformats.org/officeDocument/2006/relationships/hyperlink" Target="http://www.sec.gov/cgi-bin/browse-edgar?action=getcompany&amp;CIK=00017720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2022-07-06T16:24:37Z</dcterms:created>
  <dcterms:modified xsi:type="dcterms:W3CDTF">2022-07-06T16:24:37Z</dcterms:modified>
</cp:coreProperties>
</file>