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February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0"/>
          </w:cols>
          <w:pgMar w:left="300" w:top="1026" w:right="399" w:bottom="1440" w:gutter="0" w:footer="0" w:header="0"/>
        </w:sectPr>
      </w:pPr>
    </w:p>
    <w:p>
      <w:pPr>
        <w:spacing w:after="0" w:line="27" w:lineRule="exact"/>
        <w:rPr>
          <w:sz w:val="24"/>
          <w:szCs w:val="24"/>
          <w:color w:val="auto"/>
        </w:rPr>
      </w:pPr>
    </w:p>
    <w:p>
      <w:pPr>
        <w:ind w:left="138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001-39093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600"/>
        <w:spacing w:after="0"/>
        <w:rPr>
          <w:sz w:val="20"/>
          <w:szCs w:val="20"/>
          <w:color w:val="auto"/>
        </w:rPr>
      </w:pPr>
      <w:r>
        <w:rPr>
          <w:rFonts w:ascii="Arial" w:cs="Arial" w:eastAsia="Arial" w:hAnsi="Arial"/>
          <w:sz w:val="11"/>
          <w:szCs w:val="11"/>
          <w:b w:val="1"/>
          <w:bCs w:val="1"/>
          <w:color w:val="auto"/>
        </w:rPr>
        <w:t>83-4096323</w:t>
      </w:r>
    </w:p>
    <w:p>
      <w:pPr>
        <w:spacing w:after="0" w:line="43" w:lineRule="exact"/>
        <w:rPr>
          <w:sz w:val="24"/>
          <w:szCs w:val="24"/>
          <w:color w:val="auto"/>
        </w:rPr>
      </w:pPr>
    </w:p>
    <w:p>
      <w:pPr>
        <w:sectPr>
          <w:pgSz w:w="11900" w:h="16838" w:orient="portrait"/>
          <w:cols w:equalWidth="0" w:num="3">
            <w:col w:w="3940" w:space="720"/>
            <w:col w:w="2580" w:space="720"/>
            <w:col w:w="3240"/>
          </w:cols>
          <w:pgMar w:left="300" w:top="1026" w:right="399" w:bottom="1440" w:gutter="0" w:footer="0" w:header="0"/>
          <w:type w:val="continuous"/>
        </w:sectPr>
      </w:pPr>
    </w:p>
    <w:p>
      <w:pPr>
        <w:ind w:left="580"/>
        <w:spacing w:after="0"/>
        <w:rPr>
          <w:sz w:val="20"/>
          <w:szCs w:val="20"/>
          <w:color w:val="auto"/>
        </w:rPr>
      </w:pPr>
      <w:r>
        <w:rPr>
          <w:rFonts w:ascii="Arial" w:cs="Arial" w:eastAsia="Arial" w:hAnsi="Arial"/>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3580" w:space="720"/>
            <w:col w:w="2420" w:space="720"/>
            <w:col w:w="3760"/>
          </w:cols>
          <w:pgMar w:left="300" w:top="1026" w:right="399" w:bottom="1440" w:gutter="0" w:footer="0" w:header="0"/>
          <w:type w:val="continuous"/>
        </w:sectPr>
      </w:pPr>
    </w:p>
    <w:p>
      <w:pPr>
        <w:spacing w:after="0" w:line="44" w:lineRule="exact"/>
        <w:rPr>
          <w:sz w:val="24"/>
          <w:szCs w:val="24"/>
          <w:color w:val="auto"/>
        </w:rPr>
      </w:pPr>
    </w:p>
    <w:p>
      <w:pPr>
        <w:ind w:left="1060"/>
        <w:spacing w:after="0"/>
        <w:rPr>
          <w:sz w:val="20"/>
          <w:szCs w:val="20"/>
          <w:color w:val="auto"/>
        </w:rPr>
      </w:pPr>
      <w:r>
        <w:rPr>
          <w:rFonts w:ascii="Arial" w:cs="Arial" w:eastAsia="Arial" w:hAnsi="Arial"/>
          <w:sz w:val="11"/>
          <w:szCs w:val="11"/>
          <w:b w:val="1"/>
          <w:bCs w:val="1"/>
          <w:color w:val="auto"/>
        </w:rPr>
        <w:t>2503 S. Hanley Road</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St. Louis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Missouri</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63144</w:t>
      </w:r>
    </w:p>
    <w:p>
      <w:pPr>
        <w:spacing w:after="0" w:line="32" w:lineRule="exact"/>
        <w:rPr>
          <w:sz w:val="24"/>
          <w:szCs w:val="24"/>
          <w:color w:val="auto"/>
        </w:rPr>
      </w:pPr>
    </w:p>
    <w:p>
      <w:pPr>
        <w:sectPr>
          <w:pgSz w:w="11900" w:h="16838" w:orient="portrait"/>
          <w:cols w:equalWidth="0" w:num="4">
            <w:col w:w="3240" w:space="720"/>
            <w:col w:w="940" w:space="720"/>
            <w:col w:w="1760" w:space="720"/>
            <w:col w:w="3100"/>
          </w:cols>
          <w:pgMar w:left="300" w:top="1026" w:right="399" w:bottom="1440" w:gutter="0" w:footer="0" w:header="0"/>
          <w:type w:val="continuous"/>
        </w:sectPr>
      </w:pPr>
    </w:p>
    <w:p>
      <w:pPr>
        <w:ind w:left="232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7280" w:space="720"/>
            <w:col w:w="3200"/>
          </w:cols>
          <w:pgMar w:left="300" w:top="1026" w:right="399" w:bottom="1440" w:gutter="0" w:footer="0" w:header="0"/>
          <w:type w:val="continuous"/>
        </w:sectPr>
      </w:pPr>
    </w:p>
    <w:p>
      <w:pPr>
        <w:spacing w:after="0" w:line="383"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63"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741680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147320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164465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26" w:right="399" w:bottom="1440" w:gutter="0" w:footer="0" w:header="0"/>
          <w:type w:val="continuous"/>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jc w:val="both"/>
        <w:ind w:right="220"/>
        <w:spacing w:after="0" w:line="298" w:lineRule="auto"/>
        <w:rPr>
          <w:sz w:val="20"/>
          <w:szCs w:val="20"/>
          <w:color w:val="auto"/>
        </w:rPr>
      </w:pPr>
      <w:r>
        <w:rPr>
          <w:rFonts w:ascii="Arial" w:cs="Arial" w:eastAsia="Arial" w:hAnsi="Arial"/>
          <w:sz w:val="11"/>
          <w:szCs w:val="11"/>
          <w:color w:val="auto"/>
        </w:rPr>
        <w:t>On February 4, 2021, BellRing Brands, Inc. issued a press release announcing results for its first fiscal quarter ended December 31, 2020 and providing a financial outlook for fiscal year 2021. A copy of the press release is attached hereto as Exhibit 99.1 and incorporated herein by reference. In addition, on February 4, 2021, BellRing Brands, Inc. published to the "Investor Relations" section of its website, www.bellringbrands.com, a supplemental presentation related to results for its first fiscal quarter ended December 31, 2020. A copy of the presentation is attached hereto as Exhibit 99.2 and incorporated herein by reference.</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2"/>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68"/>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3"/>
                <w:szCs w:val="23"/>
                <w:color w:val="auto"/>
              </w:rPr>
            </w:pPr>
          </w:p>
        </w:tc>
        <w:tc>
          <w:tcPr>
            <w:tcW w:w="9040" w:type="dxa"/>
            <w:vAlign w:val="bottom"/>
            <w:gridSpan w:val="2"/>
          </w:tcPr>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Press Release dated February 4, 2021</w:t>
              </w:r>
            </w:hyperlink>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99.2</w:t>
            </w:r>
          </w:p>
        </w:tc>
        <w:tc>
          <w:tcPr>
            <w:tcW w:w="1700" w:type="dxa"/>
            <w:vAlign w:val="bottom"/>
          </w:tcPr>
          <w:p>
            <w:pPr>
              <w:spacing w:after="0"/>
              <w:rPr>
                <w:sz w:val="13"/>
                <w:szCs w:val="13"/>
                <w:color w:val="auto"/>
              </w:rPr>
            </w:pPr>
          </w:p>
        </w:tc>
        <w:tc>
          <w:tcPr>
            <w:tcW w:w="9040" w:type="dxa"/>
            <w:vAlign w:val="bottom"/>
            <w:gridSpan w:val="2"/>
          </w:tcPr>
          <w:p>
            <w:pPr>
              <w:spacing w:after="0"/>
              <w:rPr>
                <w:rFonts w:ascii="Arial" w:cs="Arial" w:eastAsia="Arial" w:hAnsi="Arial"/>
                <w:sz w:val="12"/>
                <w:szCs w:val="12"/>
                <w:u w:val="single" w:color="auto"/>
                <w:color w:val="0000FF"/>
              </w:rPr>
            </w:pPr>
            <w:hyperlink w:anchor="page14">
              <w:r>
                <w:rPr>
                  <w:rFonts w:ascii="Arial" w:cs="Arial" w:eastAsia="Arial" w:hAnsi="Arial"/>
                  <w:sz w:val="12"/>
                  <w:szCs w:val="12"/>
                  <w:u w:val="single" w:color="auto"/>
                  <w:color w:val="0000FF"/>
                </w:rPr>
                <w:t>First Quarter Fiscal Year 2021 Supplemental Presentation</w:t>
              </w:r>
            </w:hyperlink>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178"/>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20" w:type="dxa"/>
            <w:vAlign w:val="bottom"/>
          </w:tcPr>
          <w:p>
            <w:pPr>
              <w:spacing w:after="0"/>
              <w:rPr>
                <w:sz w:val="20"/>
                <w:szCs w:val="20"/>
                <w:color w:val="auto"/>
              </w:rPr>
            </w:pPr>
            <w:r>
              <w:rPr>
                <w:rFonts w:ascii="Arial" w:cs="Arial" w:eastAsia="Arial" w:hAnsi="Arial"/>
                <w:sz w:val="12"/>
                <w:szCs w:val="12"/>
                <w:color w:val="auto"/>
              </w:rPr>
              <w:t>Date: February 4, 2021</w:t>
            </w:r>
          </w:p>
        </w:tc>
        <w:tc>
          <w:tcPr>
            <w:tcW w:w="7760" w:type="dxa"/>
            <w:vAlign w:val="bottom"/>
            <w:gridSpan w:val="2"/>
          </w:tcPr>
          <w:p>
            <w:pPr>
              <w:ind w:left="222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First Quarter of Fiscal Year 2021</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St. Louis - February 4, 2021 </w:t>
      </w:r>
      <w:r>
        <w:rPr>
          <w:rFonts w:ascii="Arial" w:cs="Arial" w:eastAsia="Arial" w:hAnsi="Arial"/>
          <w:sz w:val="11"/>
          <w:szCs w:val="11"/>
          <w:color w:val="auto"/>
        </w:rPr>
        <w:t>- BellRing Brands, Inc. (NYSE:BRBR) (“BellRing”), a holding company operating in the global convenient nutrition category, today reported results for the first fiscal quarter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sales of $282.4 million</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profit of $47.8 million; net earnings available to Class A common stockholders of $7.8 million and Adjusted EBITDA of $60.7 million</w:t>
      </w:r>
    </w:p>
    <w:p>
      <w:pPr>
        <w:spacing w:after="0" w:line="6"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Reaffirmed fiscal year 2021 net sales guidance of $1.07-$1.12 billion and Adjusted EBITDA (non-GAAP) guidance of $207-$217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First Quarter Operating Results</w:t>
      </w:r>
    </w:p>
    <w:p>
      <w:pPr>
        <w:spacing w:after="0" w:line="118" w:lineRule="exact"/>
        <w:rPr>
          <w:sz w:val="20"/>
          <w:szCs w:val="20"/>
          <w:color w:val="auto"/>
        </w:rPr>
      </w:pPr>
    </w:p>
    <w:p>
      <w:pPr>
        <w:jc w:val="both"/>
        <w:ind w:right="60"/>
        <w:spacing w:after="0" w:line="285" w:lineRule="auto"/>
        <w:rPr>
          <w:sz w:val="20"/>
          <w:szCs w:val="20"/>
          <w:color w:val="auto"/>
        </w:rPr>
      </w:pPr>
      <w:r>
        <w:rPr>
          <w:rFonts w:ascii="Arial" w:cs="Arial" w:eastAsia="Arial" w:hAnsi="Arial"/>
          <w:sz w:val="11"/>
          <w:szCs w:val="11"/>
          <w:color w:val="auto"/>
        </w:rPr>
        <w:t xml:space="preserve">Net sales were $282.4 million, an increase of 15.7%, or $38.4 million, compared to the prior year period.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increased 17.4%, with volumes up 21.9%, and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ready-to-drink (“RTD”) shake net sales increased 17.5%, with volumes up 22.9%.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net sales benefited from RTD shake distribution gains for both existing and new products, incremental promotional activity and a modest increase in customer trade inventory levels to support certain promotional events that occurred early in January 2021. Dollar consumption of </w:t>
      </w:r>
      <w:r>
        <w:rPr>
          <w:rFonts w:ascii="Arial" w:cs="Arial" w:eastAsia="Arial" w:hAnsi="Arial"/>
          <w:sz w:val="11"/>
          <w:szCs w:val="11"/>
          <w:i w:val="1"/>
          <w:iCs w:val="1"/>
          <w:color w:val="auto"/>
        </w:rPr>
        <w:t>Premier Protein</w:t>
      </w:r>
      <w:r>
        <w:rPr>
          <w:rFonts w:ascii="Arial" w:cs="Arial" w:eastAsia="Arial" w:hAnsi="Arial"/>
          <w:sz w:val="11"/>
          <w:szCs w:val="11"/>
          <w:color w:val="auto"/>
        </w:rPr>
        <w:t xml:space="preserve"> RTD shakes increased 27.5% in the 13-week period ended December 26, 2020 as compared to the same period in 2019 (inclusive of Nielsen Total US xAOC including Convenience and management estimates of untracked channels). </w:t>
      </w:r>
      <w:r>
        <w:rPr>
          <w:rFonts w:ascii="Arial" w:cs="Arial" w:eastAsia="Arial" w:hAnsi="Arial"/>
          <w:sz w:val="11"/>
          <w:szCs w:val="11"/>
          <w:i w:val="1"/>
          <w:iCs w:val="1"/>
          <w:color w:val="auto"/>
        </w:rPr>
        <w:t>Dymatize</w:t>
      </w:r>
      <w:r>
        <w:rPr>
          <w:rFonts w:ascii="Arial" w:cs="Arial" w:eastAsia="Arial" w:hAnsi="Arial"/>
          <w:sz w:val="11"/>
          <w:szCs w:val="11"/>
          <w:color w:val="auto"/>
        </w:rPr>
        <w:t xml:space="preserve"> net sales increased 16.2%, with volumes increasing 10.4%, and benefited from distribution gains for both existing and new products with strong growth in the club, eCommerce and mass channels. Net sales of all other products decreased 11.2%.</w:t>
      </w:r>
    </w:p>
    <w:p>
      <w:pPr>
        <w:spacing w:after="0" w:line="77"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Gross profit was $91.9 million, or 32.5% of net sales, an increase of 0.7%, or $0.6 million, compared to the prior year period gross profit of $91.3 million, or 37.4% of net sales. The lower gross profit margin was driven by higher input costs (predominantly milk-based proteins and freight for RTD shakes) and lower average net selling prices, resulting from incremental promotional activity.</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Selling, general and administrative (“SG&amp;A”) expenses were $38.3 million, or 13.6% of net sales, an increase of $1.8 million compared to the prior year period SG&amp;A expenses of $36.5 million, or 15.0% of net sales. SG&amp;A expenses in the first quarter of 2021 included $4.6 million of restructuring and facility closure costs (which are discussed later in this release), which were partially offset by $1.5 million of lower costs related to BellRing’s separation from Post Holdings, Inc. (“Post”) in the first quarter of 2020. Restructuring and facility closure costs and separation costs were treated as adjustments for non-GAAP measures.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was $47.8 million, a decrease of 3.0%, or $1.5 million, compared to the prior year period operating profit of $49.3 million.</w:t>
      </w:r>
    </w:p>
    <w:p>
      <w:pPr>
        <w:spacing w:after="0" w:line="114"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Interest expense, net was $12.8 million in the first quarter of 2021, compared to $11.6 million in the first quarter of 2020. The increase was primarily driven by the timing of the issuance of debt in connection with the creation of BellRing’s capital structure in the first quarter of 2020.</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Income tax expense was $2.1 million in the first quarter of 2021, an effective income tax rate of 6.0%, compared to $5.9 million in the first quarter of 2020, an effective income tax rate of 15.6%. In both periods,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 in the periods subsequent to BellRing’s initial public offering (the “IPO”).</w:t>
      </w:r>
    </w:p>
    <w:p>
      <w:pPr>
        <w:spacing w:after="0" w:line="86"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Net earnings available to Class A common stockholders were $7.8 million, an increase of 30.0%, or $1.8 million, compared to the prior year period net earnings of $6.0 million. Net earnings available to Class A common stockholders excluded $25.1 million of net earnings attributable to the Company’s redeemable noncontrolling interest (“NCI”) compared to $25.8 million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ind w:right="100"/>
        <w:spacing w:after="0" w:line="323" w:lineRule="auto"/>
        <w:rPr>
          <w:sz w:val="20"/>
          <w:szCs w:val="20"/>
          <w:color w:val="auto"/>
        </w:rPr>
      </w:pPr>
      <w:r>
        <w:rPr>
          <w:rFonts w:ascii="Arial" w:cs="Arial" w:eastAsia="Arial" w:hAnsi="Arial"/>
          <w:sz w:val="11"/>
          <w:szCs w:val="11"/>
          <w:color w:val="auto"/>
        </w:rPr>
        <w:t>excluded in the prior year period. Net earnings per diluted share of Class A common stock were $0.20, compared to $0.15 in the prior year period. Adjusted net earnings available to Class A common stockholders were $9.3 million, or $0.23 per diluted share of Class A common stock compared to the prior year period Adjusted net earnings available to Class A common stockholders of $6.4 million, or $0.16 per diluted share of Class A common stock.</w:t>
      </w:r>
    </w:p>
    <w:p>
      <w:pPr>
        <w:spacing w:after="0" w:line="56"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Adjusted EBITDA was $60.7 million, an increase of 3.6%, or $2.1 million, compared to the prior year period Adjusted EBITDA of $58.6 million.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Realignment</w:t>
      </w:r>
    </w:p>
    <w:p>
      <w:pPr>
        <w:spacing w:after="0" w:line="11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the first quarter of 2021, BellRing management decided to strategically realign its business, resulting in the closing of its Dallas, Texas office and downsizing of its Munich, Germany location. These actions are expected to be completed by the end of the third quarter of 2021. In connection with this business realignment, BellRing incurred $4.6 million of restructuring and facility closure costs and $0.1 million of accelerated depreciation in the first quarter of 2021, which were treated as adjustments for non-GAAP measures.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Effective October 21, 2019, BellRing allocates a portion of the consolidated net earnings of BellRing LLC to NCI, reflecting the entitlement of Post to a portion of the consolidated net earnings. As of December 31, 2020, Post held 71.2% of the economic interest of BellRing LLC. Prior to October 21, 2019, Post held 100% of the economic interest of BellRing LLC, which was allocated to NCI.</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For the period prior to the IPO included in the three months ended December 31, 2019, BellRing’s financial statements present the combined results of Post’s historical active nutrition business which have been prepared on a stand-alone basis and are derived from the consolidated financial statements and accounting records of Post. The combined financial statements reflect the historical results of operations, financial position and cash flows of the active nutrition business. In the opinion of management, the assumptions underlying the active nutrition business’s historical combined financial statements were reasonable.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2"/>
          <w:szCs w:val="12"/>
          <w:color w:val="auto"/>
        </w:rPr>
        <w:t>BellRing continues to monitor the impact of the COVID-19 pandemic on its business and remains focused on ensuring its ability to safeguard the health of its employees, maintaining the continuity of its supply chain and preserving financial liquidity. BellRing’s primary categories, liquids and powders, have returned to growth relatively in line with their pre-pandemic growth rates. The bar category continues to experience year-over-year declines and BellRing’s international sales continue to be soft when compared to the prior year. As of December 31, 2020, BellRing had $50.8 million in cash and cash equivalents and the available borrowing capacity under BellRing LLC’s revolving credit facility was $150.0 million.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jc w:val="both"/>
        <w:ind w:right="140"/>
        <w:spacing w:after="0" w:line="276" w:lineRule="auto"/>
        <w:rPr>
          <w:sz w:val="20"/>
          <w:szCs w:val="20"/>
          <w:color w:val="auto"/>
        </w:rPr>
      </w:pPr>
      <w:r>
        <w:rPr>
          <w:rFonts w:ascii="Arial" w:cs="Arial" w:eastAsia="Arial" w:hAnsi="Arial"/>
          <w:sz w:val="12"/>
          <w:szCs w:val="12"/>
          <w:color w:val="auto"/>
        </w:rPr>
        <w:t>For fiscal year 2021, BellRing management continues to expect net sales and Adjusted EBITDA to grow 8%-13% and 5%-10%, respectively, over fiscal year 2020 (resulting in a net sales range of $1.07-$1.12 billion and an Adjusted EBITDA range of $207-$217 million) and capital expenditures of approximately $4 million.</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NCI, restructuring and facility closures costs, separation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44"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reconciliation of each of these non-GAAP measures to the most directly comparable GAAP measure is provided later in this release under “Explanation and Reconciliation of Non-GAAP Measures.”</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BellRing will host a conference call on Friday, February 5, 2021 at 10:30 a.m. EST to discuss financial results for the first quarter of fiscal year 2021 and fiscal year 2021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Interested parties may join the conference call by dialing (833) 954-1568 in the United States and (409) 216-6583 from outside of the United States. The conference identification number is 1876009.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 replay of the conference call will be available through Friday, February 19, 2021 by dialing (800) 585-8367 in the United States and (404) 537-3406 from outside of the United States and using the conference identification number 1876009.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Certain matters discussed in this release and on BellRing’s conference call are forward-looking statements, including BellRing’s net sales, Adjusted EBITDA and capital expenditures outlook for fiscal year 2021 and statements regarding the effect of the COVID-19 pandemic on BellRing’s business and BellRing’s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2" w:lineRule="exact"/>
        <w:rPr>
          <w:sz w:val="20"/>
          <w:szCs w:val="20"/>
          <w:color w:val="auto"/>
        </w:rPr>
      </w:pPr>
    </w:p>
    <w:p>
      <w:pPr>
        <w:ind w:left="420" w:right="50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and suppliers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and other supplies);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60"/>
          </w:cols>
          <w:pgMar w:left="300" w:top="644" w:right="339" w:bottom="1440" w:gutter="0" w:footer="0" w:header="0"/>
        </w:sectPr>
      </w:pPr>
    </w:p>
    <w:bookmarkStart w:id="6" w:name="page7"/>
    <w:bookmarkEnd w:id="6"/>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14" w:lineRule="exact"/>
        <w:rPr>
          <w:rFonts w:ascii="Arial" w:cs="Arial" w:eastAsia="Arial" w:hAnsi="Arial"/>
          <w:sz w:val="12"/>
          <w:szCs w:val="12"/>
          <w:color w:val="auto"/>
        </w:rPr>
      </w:pPr>
    </w:p>
    <w:p>
      <w:pPr>
        <w:ind w:left="420" w:right="60" w:hanging="212"/>
        <w:spacing w:after="0" w:line="273" w:lineRule="auto"/>
        <w:tabs>
          <w:tab w:leader="none" w:pos="417" w:val="left"/>
        </w:tabs>
        <w:numPr>
          <w:ilvl w:val="0"/>
          <w:numId w:val="4"/>
        </w:numPr>
        <w:rPr>
          <w:rFonts w:ascii="Arial" w:cs="Arial" w:eastAsia="Arial" w:hAnsi="Arial"/>
          <w:sz w:val="11"/>
          <w:szCs w:val="11"/>
          <w:color w:val="auto"/>
        </w:rPr>
      </w:pPr>
      <w:r>
        <w:rPr>
          <w:rFonts w:ascii="Arial" w:cs="Arial" w:eastAsia="Arial" w:hAnsi="Arial"/>
          <w:sz w:val="11"/>
          <w:szCs w:val="11"/>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allegations that BellRing’s products cause injury or illness, product recalls and withdrawals and product liability claims and other litigation;</w:t>
      </w:r>
    </w:p>
    <w:p>
      <w:pPr>
        <w:spacing w:after="0" w:line="6" w:lineRule="exact"/>
        <w:rPr>
          <w:rFonts w:ascii="Arial" w:cs="Arial" w:eastAsia="Arial" w:hAnsi="Arial"/>
          <w:sz w:val="12"/>
          <w:szCs w:val="12"/>
          <w:color w:val="auto"/>
        </w:rPr>
      </w:pPr>
    </w:p>
    <w:p>
      <w:pPr>
        <w:ind w:left="420" w:right="16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and labeling;</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changes in economic conditions, disruptions in the United States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w:t>
      </w:r>
    </w:p>
    <w:p>
      <w:pPr>
        <w:spacing w:after="0" w:line="6" w:lineRule="exact"/>
        <w:rPr>
          <w:rFonts w:ascii="Arial" w:cs="Arial" w:eastAsia="Arial" w:hAnsi="Arial"/>
          <w:sz w:val="12"/>
          <w:szCs w:val="12"/>
          <w:color w:val="auto"/>
        </w:rPr>
      </w:pPr>
    </w:p>
    <w:p>
      <w:pPr>
        <w:ind w:left="42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public company status, including the additional expenses BellRing will continue to incur to create and maintain the corporate infrastructure to operate as a public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644"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right"/>
        <w:ind w:right="447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644"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 xml:space="preserve">CONDENSED 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p>
      <w:pPr>
        <w:spacing w:after="0" w:line="11" w:lineRule="exact"/>
        <w:rPr>
          <w:sz w:val="20"/>
          <w:szCs w:val="20"/>
          <w:color w:val="auto"/>
        </w:rPr>
      </w:pPr>
    </w:p>
    <w:p>
      <w:pPr>
        <w:jc w:val="center"/>
        <w:ind w:left="7140"/>
        <w:spacing w:after="0"/>
        <w:rPr>
          <w:sz w:val="20"/>
          <w:szCs w:val="20"/>
          <w:color w:val="auto"/>
        </w:rPr>
      </w:pPr>
      <w:r>
        <w:rPr>
          <w:rFonts w:ascii="Arial" w:cs="Arial" w:eastAsia="Arial" w:hAnsi="Arial"/>
          <w:sz w:val="11"/>
          <w:szCs w:val="11"/>
          <w:b w:val="1"/>
          <w:bCs w:val="1"/>
          <w:color w:val="auto"/>
        </w:rPr>
        <w:t>Three Months Ended</w:t>
      </w:r>
    </w:p>
    <w:p>
      <w:pPr>
        <w:jc w:val="center"/>
        <w:ind w:left="7140"/>
        <w:spacing w:after="0"/>
        <w:rPr>
          <w:sz w:val="20"/>
          <w:szCs w:val="20"/>
          <w:color w:val="auto"/>
        </w:rPr>
      </w:pPr>
      <w:r>
        <w:rPr>
          <w:rFonts w:ascii="Arial" w:cs="Arial" w:eastAsia="Arial" w:hAnsi="Arial"/>
          <w:sz w:val="11"/>
          <w:szCs w:val="11"/>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140" w:type="dxa"/>
            <w:vAlign w:val="bottom"/>
            <w:tcBorders>
              <w:bottom w:val="single" w:sz="8" w:color="CCEEFF"/>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2019</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1300" w:type="dxa"/>
            <w:vAlign w:val="bottom"/>
            <w:shd w:val="clear" w:color="auto" w:fill="CCEEFF"/>
          </w:tcPr>
          <w:p>
            <w:pPr>
              <w:jc w:val="right"/>
              <w:ind w:right="1161"/>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282.4</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244.0</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190.5</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152.7</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91.3</w:t>
            </w: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38.3</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36.5</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operating income, net</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expense, net</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before Income Taxes</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w:t>
            </w:r>
          </w:p>
        </w:tc>
      </w:tr>
      <w:tr>
        <w:trPr>
          <w:trHeight w:val="142"/>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1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r>
      <w:tr>
        <w:trPr>
          <w:trHeight w:val="153"/>
        </w:trPr>
        <w:tc>
          <w:tcPr>
            <w:tcW w:w="7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w:t>
            </w:r>
          </w:p>
        </w:tc>
      </w:tr>
      <w:tr>
        <w:trPr>
          <w:trHeight w:val="158"/>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300" w:type="dxa"/>
            <w:vAlign w:val="bottom"/>
            <w:tcBorders>
              <w:bottom w:val="single" w:sz="8" w:color="auto"/>
            </w:tcBorders>
            <w:shd w:val="clear" w:color="auto" w:fill="CCEEFF"/>
          </w:tcPr>
          <w:p>
            <w:pPr>
              <w:jc w:val="right"/>
              <w:ind w:right="1161"/>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3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53"/>
        </w:trPr>
        <w:tc>
          <w:tcPr>
            <w:tcW w:w="7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Basic</w:t>
            </w:r>
          </w:p>
        </w:tc>
        <w:tc>
          <w:tcPr>
            <w:tcW w:w="1300" w:type="dxa"/>
            <w:vAlign w:val="bottom"/>
          </w:tcPr>
          <w:p>
            <w:pPr>
              <w:jc w:val="right"/>
              <w:ind w:right="1161"/>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0.20</w:t>
            </w:r>
          </w:p>
        </w:tc>
        <w:tc>
          <w:tcPr>
            <w:tcW w:w="34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0.15</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300" w:type="dxa"/>
            <w:vAlign w:val="bottom"/>
            <w:shd w:val="clear" w:color="auto" w:fill="CCEEFF"/>
          </w:tcPr>
          <w:p>
            <w:pPr>
              <w:jc w:val="right"/>
              <w:ind w:right="1161"/>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r>
      <w:tr>
        <w:trPr>
          <w:trHeight w:val="171"/>
        </w:trPr>
        <w:tc>
          <w:tcPr>
            <w:tcW w:w="7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Arial" w:cs="Arial" w:eastAsia="Arial" w:hAnsi="Arial"/>
                <w:sz w:val="12"/>
                <w:szCs w:val="12"/>
                <w:color w:val="auto"/>
              </w:rPr>
              <w:t>Basic</w:t>
            </w:r>
          </w:p>
        </w:tc>
        <w:tc>
          <w:tcPr>
            <w:tcW w:w="1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39.4</w:t>
            </w:r>
          </w:p>
        </w:tc>
      </w:tr>
      <w:tr>
        <w:trPr>
          <w:trHeight w:val="153"/>
        </w:trPr>
        <w:tc>
          <w:tcPr>
            <w:tcW w:w="7140" w:type="dxa"/>
            <w:vAlign w:val="bottom"/>
            <w:shd w:val="clear" w:color="auto" w:fill="CCEEFF"/>
          </w:tcPr>
          <w:p>
            <w:pPr>
              <w:spacing w:after="0"/>
              <w:rPr>
                <w:sz w:val="20"/>
                <w:szCs w:val="20"/>
                <w:color w:val="auto"/>
              </w:rPr>
            </w:pPr>
            <w:r>
              <w:rPr>
                <w:rFonts w:ascii="Arial" w:cs="Arial" w:eastAsia="Arial" w:hAnsi="Arial"/>
                <w:sz w:val="12"/>
                <w:szCs w:val="12"/>
                <w:color w:val="auto"/>
              </w:rPr>
              <w:t>Diluted</w:t>
            </w:r>
          </w:p>
        </w:tc>
        <w:tc>
          <w:tcPr>
            <w:tcW w:w="1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20"/>
          </w:cols>
          <w:pgMar w:left="340" w:top="64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2020</w:t>
            </w:r>
          </w:p>
        </w:tc>
        <w:tc>
          <w:tcPr>
            <w:tcW w:w="48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w w:val="95"/>
              </w:rPr>
              <w:t>September 30, 2020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20" w:type="dxa"/>
            <w:vAlign w:val="bottom"/>
            <w:gridSpan w:val="2"/>
            <w:shd w:val="clear" w:color="auto" w:fill="CCEEFF"/>
          </w:tcPr>
          <w:p>
            <w:pPr>
              <w:jc w:val="center"/>
              <w:ind w:right="464"/>
              <w:spacing w:after="0"/>
              <w:rPr>
                <w:sz w:val="20"/>
                <w:szCs w:val="20"/>
                <w:color w:val="auto"/>
              </w:rPr>
            </w:pPr>
            <w:r>
              <w:rPr>
                <w:rFonts w:ascii="Arial" w:cs="Arial" w:eastAsia="Arial" w:hAnsi="Arial"/>
                <w:sz w:val="11"/>
                <w:szCs w:val="11"/>
                <w:b w:val="1"/>
                <w:bCs w:val="1"/>
                <w:color w:val="auto"/>
                <w:w w:val="90"/>
              </w:rPr>
              <w:t>ASSETS</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20" w:type="dxa"/>
            <w:vAlign w:val="bottom"/>
            <w:gridSpan w:val="2"/>
            <w:shd w:val="clear" w:color="auto" w:fill="CCEEFF"/>
          </w:tcPr>
          <w:p>
            <w:pPr>
              <w:jc w:val="right"/>
              <w:ind w:right="124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123.3</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324.6</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20" w:type="dxa"/>
            <w:vAlign w:val="bottom"/>
            <w:gridSpan w:val="2"/>
            <w:shd w:val="clear" w:color="auto" w:fill="CCEEFF"/>
          </w:tcPr>
          <w:p>
            <w:pPr>
              <w:jc w:val="right"/>
              <w:ind w:right="124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680.8</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jc w:val="center"/>
              <w:ind w:right="444"/>
              <w:spacing w:after="0"/>
              <w:rPr>
                <w:sz w:val="20"/>
                <w:szCs w:val="20"/>
                <w:color w:val="auto"/>
              </w:rPr>
            </w:pPr>
            <w:r>
              <w:rPr>
                <w:rFonts w:ascii="Arial" w:cs="Arial" w:eastAsia="Arial" w:hAnsi="Arial"/>
                <w:sz w:val="11"/>
                <w:szCs w:val="11"/>
                <w:b w:val="1"/>
                <w:bCs w:val="1"/>
                <w:color w:val="auto"/>
              </w:rPr>
              <w:t>LIABILITIES AND STOCKHOLDERS’ EQUITY</w:t>
            </w: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20" w:type="dxa"/>
            <w:vAlign w:val="bottom"/>
            <w:gridSpan w:val="2"/>
            <w:shd w:val="clear" w:color="auto" w:fill="CCEEFF"/>
          </w:tcPr>
          <w:p>
            <w:pPr>
              <w:jc w:val="right"/>
              <w:ind w:right="124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68.6</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w:t>
            </w:r>
          </w:p>
        </w:tc>
        <w:tc>
          <w:tcPr>
            <w:tcW w:w="3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138.3</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635.1</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622.6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w:t>
            </w:r>
          </w:p>
        </w:tc>
        <w:tc>
          <w:tcPr>
            <w:tcW w:w="3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810.9</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2,369.6</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1"/>
              </w:rPr>
              <w:t>(2,496.5)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(2,179.0)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3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Equity</w:t>
            </w:r>
          </w:p>
        </w:tc>
        <w:tc>
          <w:tcPr>
            <w:tcW w:w="394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(2,499.7)</w:t>
            </w: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(2,182.6)</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Equity</w:t>
            </w:r>
          </w:p>
        </w:tc>
        <w:tc>
          <w:tcPr>
            <w:tcW w:w="39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24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680.8</w:t>
            </w:r>
          </w:p>
        </w:tc>
        <w:tc>
          <w:tcPr>
            <w:tcW w:w="3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513"/>
        </w:trPr>
        <w:tc>
          <w:tcPr>
            <w:tcW w:w="3200" w:type="dxa"/>
            <w:vAlign w:val="bottom"/>
          </w:tcPr>
          <w:p>
            <w:pPr>
              <w:spacing w:after="0"/>
              <w:rPr>
                <w:sz w:val="24"/>
                <w:szCs w:val="24"/>
                <w:color w:val="auto"/>
              </w:rPr>
            </w:pPr>
          </w:p>
        </w:tc>
        <w:tc>
          <w:tcPr>
            <w:tcW w:w="5320" w:type="dxa"/>
            <w:vAlign w:val="bottom"/>
            <w:gridSpan w:val="2"/>
          </w:tcPr>
          <w:p>
            <w:pPr>
              <w:jc w:val="center"/>
              <w:ind w:right="46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20" w:type="dxa"/>
            <w:vAlign w:val="bottom"/>
            <w:gridSpan w:val="2"/>
          </w:tcPr>
          <w:p>
            <w:pPr>
              <w:jc w:val="center"/>
              <w:ind w:right="464"/>
              <w:spacing w:after="0"/>
              <w:rPr>
                <w:sz w:val="20"/>
                <w:szCs w:val="20"/>
                <w:color w:val="auto"/>
              </w:rPr>
            </w:pPr>
            <w:r>
              <w:rPr>
                <w:rFonts w:ascii="Arial" w:cs="Arial" w:eastAsia="Arial" w:hAnsi="Arial"/>
                <w:sz w:val="11"/>
                <w:szCs w:val="11"/>
                <w:b w:val="1"/>
                <w:bCs w:val="1"/>
                <w:color w:val="auto"/>
                <w:w w:val="90"/>
              </w:rPr>
              <w:t>(in millions)</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20" w:type="dxa"/>
            <w:vAlign w:val="bottom"/>
            <w:gridSpan w:val="3"/>
          </w:tcPr>
          <w:p>
            <w:pPr>
              <w:jc w:val="right"/>
              <w:ind w:right="20"/>
              <w:spacing w:after="0" w:line="121" w:lineRule="exact"/>
              <w:rPr>
                <w:sz w:val="20"/>
                <w:szCs w:val="20"/>
                <w:color w:val="auto"/>
              </w:rPr>
            </w:pPr>
            <w:r>
              <w:rPr>
                <w:rFonts w:ascii="Arial" w:cs="Arial" w:eastAsia="Arial" w:hAnsi="Arial"/>
                <w:sz w:val="11"/>
                <w:szCs w:val="11"/>
                <w:b w:val="1"/>
                <w:bCs w:val="1"/>
                <w:color w:val="auto"/>
              </w:rPr>
              <w:t>Three Months Ended</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December 31,</w:t>
            </w:r>
          </w:p>
        </w:tc>
        <w:tc>
          <w:tcPr>
            <w:tcW w:w="1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20" w:type="dxa"/>
            <w:vAlign w:val="bottom"/>
            <w:gridSpan w:val="2"/>
          </w:tcPr>
          <w:p>
            <w:pPr>
              <w:jc w:val="right"/>
              <w:ind w:right="1244"/>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23.3</w:t>
            </w:r>
          </w:p>
        </w:tc>
        <w:tc>
          <w:tcPr>
            <w:tcW w:w="34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(22.0)</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49.9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3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Increase in cash and cash equivalents</w:t>
            </w:r>
          </w:p>
        </w:tc>
        <w:tc>
          <w:tcPr>
            <w:tcW w:w="5320" w:type="dxa"/>
            <w:vAlign w:val="bottom"/>
            <w:gridSpan w:val="2"/>
          </w:tcPr>
          <w:p>
            <w:pPr>
              <w:jc w:val="right"/>
              <w:ind w:right="1244"/>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w:t>
            </w:r>
          </w:p>
        </w:tc>
        <w:tc>
          <w:tcPr>
            <w:tcW w:w="340" w:type="dxa"/>
            <w:vAlign w:val="bottom"/>
          </w:tcPr>
          <w:p>
            <w:pPr>
              <w:spacing w:after="0"/>
              <w:rPr>
                <w:sz w:val="12"/>
                <w:szCs w:val="12"/>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7</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noncontrolling interest in the calculation of Adjusted net earnings.</w:t>
      </w:r>
    </w:p>
    <w:p>
      <w:pPr>
        <w:spacing w:after="0" w:line="6" w:lineRule="exact"/>
        <w:rPr>
          <w:rFonts w:ascii="Arial" w:cs="Arial" w:eastAsia="Arial" w:hAnsi="Arial"/>
          <w:sz w:val="12"/>
          <w:szCs w:val="12"/>
          <w:color w:val="auto"/>
        </w:rPr>
      </w:pPr>
    </w:p>
    <w:p>
      <w:pPr>
        <w:ind w:left="420" w:right="8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 and amortization</w:t>
      </w:r>
      <w:r>
        <w:rPr>
          <w:rFonts w:ascii="Arial" w:cs="Arial" w:eastAsia="Arial" w:hAnsi="Arial"/>
          <w:sz w:val="12"/>
          <w:szCs w:val="12"/>
          <w:color w:val="auto"/>
        </w:rPr>
        <w:t>: BellRing has excluded certain costs associated with facility closures and discontinuance of brands as the amount and frequency of</w:t>
      </w:r>
      <w:r>
        <w:rPr>
          <w:rFonts w:ascii="Arial" w:cs="Arial" w:eastAsia="Arial" w:hAnsi="Arial"/>
          <w:sz w:val="12"/>
          <w:szCs w:val="12"/>
          <w:i w:val="1"/>
          <w:iCs w:val="1"/>
          <w:color w:val="auto"/>
        </w:rPr>
        <w:t xml:space="preserve"> </w:t>
      </w:r>
      <w:r>
        <w:rPr>
          <w:rFonts w:ascii="Arial" w:cs="Arial" w:eastAsia="Arial" w:hAnsi="Arial"/>
          <w:sz w:val="12"/>
          <w:szCs w:val="12"/>
          <w:color w:val="auto"/>
        </w:rPr>
        <w:t>such 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to effect its separation from Post and to support its transition into a separate stand-alone, publicly-traded entity as the amount and frequency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200" w:hanging="212"/>
        <w:spacing w:after="0" w:line="26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93"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Adjusted EBITDA reflects adjustments for income tax expense, interest expense, net and depreciation and amortization including accelerated depreciation and amortization and the adjustments for restructuring and facility closure costs excluding accelerated depreciation and amortization, separation costs and foreign currency gain/loss on intercompany loans, as discussed above.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24"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adjustments for the portion of its consolidated net earnings/loss which was allocated to NCI, allowing for the calculation of Adjusted EBITDA to include 100% of BellRing as BellRing’s</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evaluates BellRing’s operating performance on a basis that includes 100% of BellRing.</w:t>
      </w:r>
    </w:p>
    <w:p>
      <w:pPr>
        <w:ind w:left="420" w:hanging="212"/>
        <w:spacing w:after="0" w:line="253" w:lineRule="auto"/>
        <w:tabs>
          <w:tab w:leader="none" w:pos="444"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Stock-based compensation</w:t>
      </w:r>
      <w:r>
        <w:rPr>
          <w:rFonts w:ascii="Arial" w:cs="Arial" w:eastAsia="Arial" w:hAnsi="Arial"/>
          <w:sz w:val="12"/>
          <w:szCs w:val="12"/>
          <w:color w:val="auto"/>
        </w:rPr>
        <w:t>: BellRing’s compensation strategy after the IPO includes the use of BellRing stock-based compensation to attract and retain executives and employees by aligning their long-term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80"/>
          </w:cols>
          <w:pgMar w:left="300" w:top="643" w:right="319" w:bottom="1440" w:gutter="0" w:footer="0" w:header="0"/>
        </w:sectPr>
      </w:pPr>
    </w:p>
    <w:bookmarkStart w:id="11" w:name="page12"/>
    <w:bookmarkEnd w:id="11"/>
    <w:p>
      <w:pPr>
        <w:ind w:left="100"/>
        <w:spacing w:after="0" w:line="259" w:lineRule="auto"/>
        <w:rPr>
          <w:sz w:val="20"/>
          <w:szCs w:val="20"/>
          <w:color w:val="auto"/>
        </w:rPr>
      </w:pPr>
      <w:r>
        <w:rPr>
          <w:rFonts w:ascii="Arial" w:cs="Arial" w:eastAsia="Arial" w:hAnsi="Arial"/>
          <w:sz w:val="12"/>
          <w:szCs w:val="12"/>
          <w:color w:val="auto"/>
        </w:rPr>
        <w:t>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 not contribute to meaningful comparisons of BellRing’s operating performance to other periods.</w:t>
      </w:r>
    </w:p>
    <w:p>
      <w:pPr>
        <w:spacing w:after="0" w:line="200" w:lineRule="exact"/>
        <w:rPr>
          <w:sz w:val="20"/>
          <w:szCs w:val="20"/>
          <w:color w:val="auto"/>
        </w:rPr>
      </w:pPr>
    </w:p>
    <w:p>
      <w:pPr>
        <w:spacing w:after="0" w:line="248"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4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580" w:type="dxa"/>
            <w:vAlign w:val="bottom"/>
          </w:tcPr>
          <w:p>
            <w:pPr>
              <w:spacing w:after="0"/>
              <w:rPr>
                <w:sz w:val="10"/>
                <w:szCs w:val="10"/>
                <w:color w:val="auto"/>
              </w:rPr>
            </w:pPr>
          </w:p>
        </w:tc>
        <w:tc>
          <w:tcPr>
            <w:tcW w:w="152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Three Months Ended</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jc w:val="center"/>
              <w:ind w:right="262"/>
              <w:spacing w:after="0" w:line="123" w:lineRule="exact"/>
              <w:rPr>
                <w:sz w:val="20"/>
                <w:szCs w:val="20"/>
                <w:color w:val="auto"/>
              </w:rPr>
            </w:pPr>
            <w:r>
              <w:rPr>
                <w:rFonts w:ascii="Arial" w:cs="Arial" w:eastAsia="Arial" w:hAnsi="Arial"/>
                <w:sz w:val="11"/>
                <w:szCs w:val="11"/>
                <w:b w:val="1"/>
                <w:bCs w:val="1"/>
                <w:color w:val="auto"/>
                <w:w w:val="88"/>
              </w:rPr>
              <w:t>October 21, 2019</w:t>
            </w:r>
          </w:p>
        </w:tc>
        <w:tc>
          <w:tcPr>
            <w:tcW w:w="0" w:type="dxa"/>
            <w:vAlign w:val="bottom"/>
          </w:tcPr>
          <w:p>
            <w:pPr>
              <w:spacing w:after="0"/>
              <w:rPr>
                <w:sz w:val="1"/>
                <w:szCs w:val="1"/>
                <w:color w:val="auto"/>
              </w:rPr>
            </w:pPr>
          </w:p>
        </w:tc>
      </w:tr>
      <w:tr>
        <w:trPr>
          <w:trHeight w:val="108"/>
        </w:trPr>
        <w:tc>
          <w:tcPr>
            <w:tcW w:w="65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jc w:val="center"/>
              <w:ind w:right="222"/>
              <w:spacing w:after="0" w:line="108" w:lineRule="exact"/>
              <w:rPr>
                <w:sz w:val="20"/>
                <w:szCs w:val="20"/>
                <w:color w:val="auto"/>
              </w:rPr>
            </w:pPr>
            <w:r>
              <w:rPr>
                <w:rFonts w:ascii="Arial" w:cs="Arial" w:eastAsia="Arial" w:hAnsi="Arial"/>
                <w:sz w:val="11"/>
                <w:szCs w:val="11"/>
                <w:b w:val="1"/>
                <w:bCs w:val="1"/>
                <w:color w:val="auto"/>
                <w:w w:val="95"/>
              </w:rPr>
              <w:t>to</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December 31, 2020</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86"/>
              </w:rPr>
              <w:t>December 31, 2019</w:t>
            </w: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520" w:type="dxa"/>
            <w:vAlign w:val="bottom"/>
            <w:shd w:val="clear" w:color="auto" w:fill="CCEEFF"/>
          </w:tcPr>
          <w:p>
            <w:pPr>
              <w:jc w:val="right"/>
              <w:ind w:right="1383"/>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Adjustments:</w:t>
            </w:r>
          </w:p>
        </w:tc>
        <w:tc>
          <w:tcPr>
            <w:tcW w:w="1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80" w:type="dxa"/>
            <w:vAlign w:val="bottom"/>
          </w:tcPr>
          <w:p>
            <w:pPr>
              <w:ind w:left="180"/>
              <w:spacing w:after="0"/>
              <w:rPr>
                <w:sz w:val="20"/>
                <w:szCs w:val="20"/>
                <w:color w:val="auto"/>
              </w:rPr>
            </w:pPr>
            <w:r>
              <w:rPr>
                <w:rFonts w:ascii="Arial" w:cs="Arial" w:eastAsia="Arial" w:hAnsi="Arial"/>
                <w:sz w:val="12"/>
                <w:szCs w:val="12"/>
                <w:color w:val="auto"/>
              </w:rPr>
              <w:t>Restructuring and facility closure costs, including accelerated depreciation and amortization</w:t>
            </w:r>
          </w:p>
        </w:tc>
        <w:tc>
          <w:tcPr>
            <w:tcW w:w="15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5.1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NCI adjustment</w:t>
            </w:r>
          </w:p>
        </w:tc>
        <w:tc>
          <w:tcPr>
            <w:tcW w:w="15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580" w:type="dxa"/>
            <w:vAlign w:val="bottom"/>
          </w:tcPr>
          <w:p>
            <w:pPr>
              <w:ind w:left="180"/>
              <w:spacing w:after="0"/>
              <w:rPr>
                <w:sz w:val="20"/>
                <w:szCs w:val="20"/>
                <w:color w:val="auto"/>
              </w:rPr>
            </w:pPr>
            <w:r>
              <w:rPr>
                <w:rFonts w:ascii="Arial" w:cs="Arial" w:eastAsia="Arial" w:hAnsi="Arial"/>
                <w:sz w:val="12"/>
                <w:szCs w:val="12"/>
                <w:color w:val="auto"/>
              </w:rPr>
              <w:t>Separation costs after the IPO</w:t>
            </w:r>
          </w:p>
        </w:tc>
        <w:tc>
          <w:tcPr>
            <w:tcW w:w="152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currency gain on intercompany loans</w:t>
            </w:r>
          </w:p>
        </w:tc>
        <w:tc>
          <w:tcPr>
            <w:tcW w:w="1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6580" w:type="dxa"/>
            <w:vAlign w:val="bottom"/>
          </w:tcPr>
          <w:p>
            <w:pPr>
              <w:ind w:left="180"/>
              <w:spacing w:after="0"/>
              <w:rPr>
                <w:sz w:val="20"/>
                <w:szCs w:val="20"/>
                <w:color w:val="auto"/>
              </w:rPr>
            </w:pPr>
            <w:r>
              <w:rPr>
                <w:rFonts w:ascii="Arial" w:cs="Arial" w:eastAsia="Arial" w:hAnsi="Arial"/>
                <w:sz w:val="12"/>
                <w:szCs w:val="12"/>
                <w:b w:val="1"/>
                <w:bCs w:val="1"/>
                <w:color w:val="auto"/>
              </w:rPr>
              <w:t>Total Net Adjustments</w:t>
            </w:r>
          </w:p>
        </w:tc>
        <w:tc>
          <w:tcPr>
            <w:tcW w:w="15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520" w:type="dxa"/>
            <w:vAlign w:val="bottom"/>
            <w:tcBorders>
              <w:bottom w:val="single" w:sz="8" w:color="auto"/>
            </w:tcBorders>
          </w:tcPr>
          <w:p>
            <w:pPr>
              <w:jc w:val="right"/>
              <w:ind w:right="1383"/>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w:t>
            </w:r>
          </w:p>
        </w:tc>
        <w:tc>
          <w:tcPr>
            <w:tcW w:w="34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0" w:right="520" w:hanging="3"/>
        <w:spacing w:after="0"/>
        <w:tabs>
          <w:tab w:leader="none" w:pos="141"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December 31, 2020, the income tax effect was calculated using a rate of 7.0%, which represents the effective income tax rate on BellRing’s 28.8% distributive share. For the October 21, 2019 to December 31, 2019 period, the income tax effect was calculated using a rate of 0.0%, as the amounts were primarily non-deductible separation costs for income tax purposes.</w:t>
      </w:r>
    </w:p>
    <w:p>
      <w:pPr>
        <w:spacing w:after="0" w:line="396"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tbl>
      <w:tblPr>
        <w:tblLayout w:type="fixed"/>
        <w:tblInd w:w="0" w:type="dxa"/>
        <w:tblCellMar>
          <w:top w:w="0" w:type="dxa"/>
          <w:left w:w="0" w:type="dxa"/>
          <w:bottom w:w="0" w:type="dxa"/>
          <w:right w:w="0" w:type="dxa"/>
        </w:tblCellMar>
      </w:tblPr>
      <w:tr>
        <w:trPr>
          <w:trHeight w:val="123"/>
        </w:trPr>
        <w:tc>
          <w:tcPr>
            <w:tcW w:w="6580" w:type="dxa"/>
            <w:vAlign w:val="bottom"/>
          </w:tcPr>
          <w:p>
            <w:pPr>
              <w:spacing w:after="0"/>
              <w:rPr>
                <w:sz w:val="10"/>
                <w:szCs w:val="10"/>
                <w:color w:val="auto"/>
              </w:rPr>
            </w:pPr>
          </w:p>
        </w:tc>
        <w:tc>
          <w:tcPr>
            <w:tcW w:w="15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Three Months Ended</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jc w:val="center"/>
              <w:ind w:right="262"/>
              <w:spacing w:after="0" w:line="123" w:lineRule="exact"/>
              <w:rPr>
                <w:sz w:val="20"/>
                <w:szCs w:val="20"/>
                <w:color w:val="auto"/>
              </w:rPr>
            </w:pPr>
            <w:r>
              <w:rPr>
                <w:rFonts w:ascii="Arial" w:cs="Arial" w:eastAsia="Arial" w:hAnsi="Arial"/>
                <w:sz w:val="11"/>
                <w:szCs w:val="11"/>
                <w:b w:val="1"/>
                <w:bCs w:val="1"/>
                <w:color w:val="auto"/>
                <w:w w:val="88"/>
              </w:rPr>
              <w:t>October 21, 2019</w:t>
            </w:r>
          </w:p>
        </w:tc>
        <w:tc>
          <w:tcPr>
            <w:tcW w:w="0" w:type="dxa"/>
            <w:vAlign w:val="bottom"/>
          </w:tcPr>
          <w:p>
            <w:pPr>
              <w:spacing w:after="0"/>
              <w:rPr>
                <w:sz w:val="1"/>
                <w:szCs w:val="1"/>
                <w:color w:val="auto"/>
              </w:rPr>
            </w:pPr>
          </w:p>
        </w:tc>
      </w:tr>
      <w:tr>
        <w:trPr>
          <w:trHeight w:val="108"/>
        </w:trPr>
        <w:tc>
          <w:tcPr>
            <w:tcW w:w="65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jc w:val="center"/>
              <w:ind w:right="262"/>
              <w:spacing w:after="0" w:line="108" w:lineRule="exact"/>
              <w:rPr>
                <w:sz w:val="20"/>
                <w:szCs w:val="20"/>
                <w:color w:val="auto"/>
              </w:rPr>
            </w:pPr>
            <w:r>
              <w:rPr>
                <w:rFonts w:ascii="Arial" w:cs="Arial" w:eastAsia="Arial" w:hAnsi="Arial"/>
                <w:sz w:val="11"/>
                <w:szCs w:val="11"/>
                <w:b w:val="1"/>
                <w:bCs w:val="1"/>
                <w:color w:val="auto"/>
                <w:w w:val="95"/>
              </w:rPr>
              <w:t>to</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December 31, 2020</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right="222"/>
              <w:spacing w:after="0"/>
              <w:rPr>
                <w:sz w:val="20"/>
                <w:szCs w:val="20"/>
                <w:color w:val="auto"/>
              </w:rPr>
            </w:pPr>
            <w:r>
              <w:rPr>
                <w:rFonts w:ascii="Arial" w:cs="Arial" w:eastAsia="Arial" w:hAnsi="Arial"/>
                <w:sz w:val="11"/>
                <w:szCs w:val="11"/>
                <w:b w:val="1"/>
                <w:bCs w:val="1"/>
                <w:color w:val="auto"/>
                <w:w w:val="86"/>
              </w:rPr>
              <w:t>December 31, 2019</w:t>
            </w: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500" w:type="dxa"/>
            <w:vAlign w:val="bottom"/>
            <w:shd w:val="clear" w:color="auto" w:fill="CCEEFF"/>
          </w:tcPr>
          <w:p>
            <w:pPr>
              <w:jc w:val="right"/>
              <w:ind w:right="1363"/>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Adjustments:</w:t>
            </w:r>
          </w:p>
        </w:tc>
        <w:tc>
          <w:tcPr>
            <w:tcW w:w="1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80" w:type="dxa"/>
            <w:vAlign w:val="bottom"/>
          </w:tcPr>
          <w:p>
            <w:pPr>
              <w:ind w:left="180"/>
              <w:spacing w:after="0"/>
              <w:rPr>
                <w:sz w:val="20"/>
                <w:szCs w:val="20"/>
                <w:color w:val="auto"/>
              </w:rPr>
            </w:pPr>
            <w:r>
              <w:rPr>
                <w:rFonts w:ascii="Arial" w:cs="Arial" w:eastAsia="Arial" w:hAnsi="Arial"/>
                <w:sz w:val="12"/>
                <w:szCs w:val="12"/>
                <w:color w:val="auto"/>
              </w:rPr>
              <w:t>Restructuring and facility closure costs, including accelerated depreciation and amortization</w:t>
            </w:r>
          </w:p>
        </w:tc>
        <w:tc>
          <w:tcPr>
            <w:tcW w:w="15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0.13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NCI adjustment</w:t>
            </w:r>
          </w:p>
        </w:tc>
        <w:tc>
          <w:tcPr>
            <w:tcW w:w="15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(0.09)</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580" w:type="dxa"/>
            <w:vAlign w:val="bottom"/>
          </w:tcPr>
          <w:p>
            <w:pPr>
              <w:ind w:left="180"/>
              <w:spacing w:after="0"/>
              <w:rPr>
                <w:sz w:val="20"/>
                <w:szCs w:val="20"/>
                <w:color w:val="auto"/>
              </w:rPr>
            </w:pPr>
            <w:r>
              <w:rPr>
                <w:rFonts w:ascii="Arial" w:cs="Arial" w:eastAsia="Arial" w:hAnsi="Arial"/>
                <w:sz w:val="12"/>
                <w:szCs w:val="12"/>
                <w:color w:val="auto"/>
              </w:rPr>
              <w:t>Separation costs after the IPO</w:t>
            </w:r>
          </w:p>
        </w:tc>
        <w:tc>
          <w:tcPr>
            <w:tcW w:w="150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currency gain on intercompany loans</w:t>
            </w:r>
          </w:p>
        </w:tc>
        <w:tc>
          <w:tcPr>
            <w:tcW w:w="15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34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6580" w:type="dxa"/>
            <w:vAlign w:val="bottom"/>
          </w:tcPr>
          <w:p>
            <w:pPr>
              <w:ind w:left="180"/>
              <w:spacing w:after="0"/>
              <w:rPr>
                <w:sz w:val="20"/>
                <w:szCs w:val="20"/>
                <w:color w:val="auto"/>
              </w:rPr>
            </w:pPr>
            <w:r>
              <w:rPr>
                <w:rFonts w:ascii="Arial" w:cs="Arial" w:eastAsia="Arial" w:hAnsi="Arial"/>
                <w:sz w:val="12"/>
                <w:szCs w:val="12"/>
                <w:b w:val="1"/>
                <w:bCs w:val="1"/>
                <w:color w:val="auto"/>
              </w:rPr>
              <w:t>Total Net Adjustments</w:t>
            </w:r>
          </w:p>
        </w:tc>
        <w:tc>
          <w:tcPr>
            <w:tcW w:w="15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0.03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right"/>
              <w:ind w:right="2"/>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53"/>
        </w:trPr>
        <w:tc>
          <w:tcPr>
            <w:tcW w:w="65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5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4"/>
        </w:trPr>
        <w:tc>
          <w:tcPr>
            <w:tcW w:w="658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500" w:type="dxa"/>
            <w:vAlign w:val="bottom"/>
            <w:tcBorders>
              <w:top w:val="single" w:sz="8" w:color="auto"/>
              <w:bottom w:val="single" w:sz="8" w:color="auto"/>
            </w:tcBorders>
          </w:tcPr>
          <w:p>
            <w:pPr>
              <w:jc w:val="right"/>
              <w:ind w:right="1363"/>
              <w:spacing w:after="0" w:line="124" w:lineRule="exact"/>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0.23</w:t>
            </w:r>
          </w:p>
        </w:tc>
        <w:tc>
          <w:tcPr>
            <w:tcW w:w="340" w:type="dxa"/>
            <w:vAlign w:val="bottom"/>
          </w:tcPr>
          <w:p>
            <w:pPr>
              <w:spacing w:after="0"/>
              <w:rPr>
                <w:sz w:val="10"/>
                <w:szCs w:val="10"/>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bottom w:val="single" w:sz="8" w:color="auto"/>
            </w:tcBorders>
          </w:tcPr>
          <w:p>
            <w:pPr>
              <w:jc w:val="right"/>
              <w:ind w:right="2"/>
              <w:spacing w:after="0" w:line="124" w:lineRule="exact"/>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0" w:right="520" w:hanging="3"/>
        <w:spacing w:after="0"/>
        <w:tabs>
          <w:tab w:leader="none" w:pos="141"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December 31, 2020, the income tax effect was calculated using a rate of 7.0%, which represents the effective income tax rate on BellRing’s 28.8% distributive share. For the October 21, 2019 to December 31, 2019 period, the income tax effect was calculated using a rate of 0.0%, as the amounts were primarily non-deductible separation costs for income tax purposes.</w:t>
      </w:r>
    </w:p>
    <w:p>
      <w:pPr>
        <w:spacing w:after="0" w:line="200" w:lineRule="exact"/>
        <w:rPr>
          <w:sz w:val="20"/>
          <w:szCs w:val="20"/>
          <w:color w:val="auto"/>
        </w:rPr>
      </w:pPr>
    </w:p>
    <w:p>
      <w:pPr>
        <w:spacing w:after="0" w:line="242"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880"/>
          </w:cols>
          <w:pgMar w:left="620" w:top="644" w:right="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8" w:lineRule="exact"/>
        <w:rPr>
          <w:sz w:val="20"/>
          <w:szCs w:val="20"/>
          <w:color w:val="auto"/>
        </w:rPr>
      </w:pPr>
    </w:p>
    <w:p>
      <w:pPr>
        <w:jc w:val="center"/>
        <w:ind w:left="7000"/>
        <w:spacing w:after="0"/>
        <w:rPr>
          <w:sz w:val="20"/>
          <w:szCs w:val="20"/>
          <w:color w:val="auto"/>
        </w:rPr>
      </w:pPr>
      <w:r>
        <w:rPr>
          <w:rFonts w:ascii="Arial" w:cs="Arial" w:eastAsia="Arial" w:hAnsi="Arial"/>
          <w:sz w:val="11"/>
          <w:szCs w:val="11"/>
          <w:b w:val="1"/>
          <w:bCs w:val="1"/>
          <w:color w:val="auto"/>
        </w:rPr>
        <w:t>Three Months Ended</w:t>
      </w:r>
    </w:p>
    <w:p>
      <w:pPr>
        <w:jc w:val="center"/>
        <w:ind w:left="7000"/>
        <w:spacing w:after="0"/>
        <w:rPr>
          <w:sz w:val="20"/>
          <w:szCs w:val="20"/>
          <w:color w:val="auto"/>
        </w:rPr>
      </w:pPr>
      <w:r>
        <w:rPr>
          <w:rFonts w:ascii="Arial" w:cs="Arial" w:eastAsia="Arial" w:hAnsi="Arial"/>
          <w:sz w:val="11"/>
          <w:szCs w:val="11"/>
          <w:b w:val="1"/>
          <w:bCs w:val="1"/>
          <w:color w:val="auto"/>
        </w:rPr>
        <w:t>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000" w:type="dxa"/>
            <w:vAlign w:val="bottom"/>
            <w:tcBorders>
              <w:bottom w:val="single" w:sz="8" w:color="CCEEFF"/>
            </w:tcBorders>
          </w:tcPr>
          <w:p>
            <w:pPr>
              <w:spacing w:after="0"/>
              <w:rPr>
                <w:sz w:val="11"/>
                <w:szCs w:val="11"/>
                <w:color w:val="auto"/>
              </w:rPr>
            </w:pPr>
          </w:p>
        </w:tc>
        <w:tc>
          <w:tcPr>
            <w:tcW w:w="13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1"/>
                <w:szCs w:val="11"/>
                <w:b w:val="1"/>
                <w:bCs w:val="1"/>
                <w:color w:val="auto"/>
              </w:rPr>
              <w:t>2019</w:t>
            </w:r>
          </w:p>
        </w:tc>
      </w:tr>
      <w:tr>
        <w:trPr>
          <w:trHeight w:val="142"/>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320" w:type="dxa"/>
            <w:vAlign w:val="bottom"/>
            <w:shd w:val="clear" w:color="auto" w:fill="CCEEFF"/>
          </w:tcPr>
          <w:p>
            <w:pPr>
              <w:jc w:val="right"/>
              <w:ind w:right="118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6.0</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Income tax expense</w:t>
            </w:r>
          </w:p>
        </w:tc>
        <w:tc>
          <w:tcPr>
            <w:tcW w:w="132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5.9</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12.8</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11.6</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132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6.7</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6.4</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NCI adjustment</w:t>
            </w: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25.1</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25.8</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Restructuring and facility closure costs, excluding accelerated depreciation and amortization</w:t>
            </w:r>
          </w:p>
        </w:tc>
        <w:tc>
          <w:tcPr>
            <w:tcW w:w="132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4.6</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13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w:t>
            </w:r>
          </w:p>
        </w:tc>
      </w:tr>
      <w:tr>
        <w:trPr>
          <w:trHeight w:val="153"/>
        </w:trPr>
        <w:tc>
          <w:tcPr>
            <w:tcW w:w="7000" w:type="dxa"/>
            <w:vAlign w:val="bottom"/>
          </w:tcPr>
          <w:p>
            <w:pPr>
              <w:spacing w:after="0"/>
              <w:rPr>
                <w:sz w:val="20"/>
                <w:szCs w:val="20"/>
                <w:color w:val="auto"/>
              </w:rPr>
            </w:pPr>
            <w:r>
              <w:rPr>
                <w:rFonts w:ascii="Arial" w:cs="Arial" w:eastAsia="Arial" w:hAnsi="Arial"/>
                <w:sz w:val="12"/>
                <w:szCs w:val="12"/>
                <w:color w:val="auto"/>
              </w:rPr>
              <w:t>Separation costs</w:t>
            </w:r>
          </w:p>
        </w:tc>
        <w:tc>
          <w:tcPr>
            <w:tcW w:w="1320" w:type="dxa"/>
            <w:vAlign w:val="bottom"/>
          </w:tcPr>
          <w:p>
            <w:pPr>
              <w:spacing w:after="0"/>
              <w:rPr>
                <w:sz w:val="13"/>
                <w:szCs w:val="13"/>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480" w:type="dxa"/>
            <w:vAlign w:val="bottom"/>
          </w:tcPr>
          <w:p>
            <w:pPr>
              <w:jc w:val="right"/>
              <w:ind w:right="101"/>
              <w:spacing w:after="0"/>
              <w:rPr>
                <w:sz w:val="20"/>
                <w:szCs w:val="20"/>
                <w:color w:val="auto"/>
              </w:rPr>
            </w:pPr>
            <w:r>
              <w:rPr>
                <w:rFonts w:ascii="Arial" w:cs="Arial" w:eastAsia="Arial" w:hAnsi="Arial"/>
                <w:sz w:val="12"/>
                <w:szCs w:val="12"/>
                <w:color w:val="auto"/>
              </w:rPr>
              <w:t>1.5</w:t>
            </w:r>
          </w:p>
        </w:tc>
      </w:tr>
      <w:tr>
        <w:trPr>
          <w:trHeight w:val="153"/>
        </w:trPr>
        <w:tc>
          <w:tcPr>
            <w:tcW w:w="70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gain on intercompany loans</w:t>
            </w:r>
          </w:p>
        </w:tc>
        <w:tc>
          <w:tcPr>
            <w:tcW w:w="13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r>
      <w:tr>
        <w:trPr>
          <w:trHeight w:val="158"/>
        </w:trPr>
        <w:tc>
          <w:tcPr>
            <w:tcW w:w="70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Adjusted EBITDA</w:t>
            </w:r>
          </w:p>
        </w:tc>
        <w:tc>
          <w:tcPr>
            <w:tcW w:w="1320" w:type="dxa"/>
            <w:vAlign w:val="bottom"/>
            <w:tcBorders>
              <w:bottom w:val="single" w:sz="8" w:color="auto"/>
            </w:tcBorders>
          </w:tcPr>
          <w:p>
            <w:pPr>
              <w:jc w:val="right"/>
              <w:ind w:right="118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60.7</w:t>
            </w:r>
          </w:p>
        </w:tc>
        <w:tc>
          <w:tcPr>
            <w:tcW w:w="3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58.6</w:t>
            </w:r>
          </w:p>
        </w:tc>
      </w:tr>
      <w:tr>
        <w:trPr>
          <w:trHeight w:val="169"/>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13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21.5 %</w:t>
            </w:r>
          </w:p>
        </w:tc>
        <w:tc>
          <w:tcPr>
            <w:tcW w:w="3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20"/>
          </w:cols>
          <w:pgMar w:left="340" w:top="751" w:right="33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2021-02-04T16:07:18Z</dcterms:created>
  <dcterms:modified xsi:type="dcterms:W3CDTF">2021-02-04T16:07:18Z</dcterms:modified>
</cp:coreProperties>
</file>