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CORNILLE DOUGLAS J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BELLRING BRANDS,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2503 S. HANLEY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BELLRING BRANDS,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BRBR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11/07/2024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3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GROWTH OFFICER PNC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60" w:space="55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jc w:val="center"/>
              <w:ind w:lef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ST. LOUIS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MO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63144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80" w:type="dxa"/>
            <w:vAlign w:val="bottom"/>
            <w:gridSpan w:val="9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11/07/2024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1,974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68.89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49,928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11/11/2024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1,669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71.32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48,259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60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Common Stock of Issuer. The restricted stock units were granted under the BellRing Brands, Inc. 2019 Long-Term Incentive Plan in a transaction exempt under Rule 16b-3 and vest in equal annual installments over three years subject to the terms of the award agreement.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Surrender of shares in payment of tax withholding due as a result of the vesting of 3,292 RSUs in accordance with Rule 16b-3.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Craig L. Rosenthal,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11/17/2024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90179" TargetMode="External"/><Relationship Id="rId14" Type="http://schemas.openxmlformats.org/officeDocument/2006/relationships/hyperlink" Target="http://www.sec.gov/cgi-bin/browse-edgar?action=getcompany&amp;CIK=00017720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2024-11-18T07:59:06Z</dcterms:created>
  <dcterms:modified xsi:type="dcterms:W3CDTF">2024-11-18T07:59:06Z</dcterms:modified>
</cp:coreProperties>
</file>