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42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SINGH ROBIN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BELLRING BRANDS,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11/11/2022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SVP, OPERATIONS OF PNC</w:t>
      </w:r>
    </w:p>
    <w:p>
      <w:pPr>
        <w:spacing w:after="0" w:line="408" w:lineRule="exact"/>
        <w:rPr>
          <w:sz w:val="24"/>
          <w:szCs w:val="24"/>
          <w:color w:val="auto"/>
        </w:rPr>
      </w:pPr>
    </w:p>
    <w:p>
      <w:pPr>
        <w:sectPr>
          <w:pgSz w:w="11900" w:h="16838" w:orient="portrait"/>
          <w:cols w:equalWidth="0" w:num="3">
            <w:col w:w="3200" w:space="720"/>
            <w:col w:w="3260" w:space="5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7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63144</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jc w:val="center"/>
              <w:ind w:left="6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7"/>
              <w:spacing w:after="0"/>
              <w:rPr>
                <w:sz w:val="20"/>
                <w:szCs w:val="20"/>
                <w:color w:val="auto"/>
              </w:rPr>
            </w:pPr>
            <w:r>
              <w:rPr>
                <w:rFonts w:ascii="Times New Roman" w:cs="Times New Roman" w:eastAsia="Times New Roman" w:hAnsi="Times New Roman"/>
                <w:sz w:val="17"/>
                <w:szCs w:val="17"/>
                <w:color w:val="0000FF"/>
              </w:rPr>
              <w:t>11/11/2022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10,667</w:t>
            </w:r>
            <w:r>
              <w:rPr>
                <w:rFonts w:ascii="Times New Roman" w:cs="Times New Roman" w:eastAsia="Times New Roman" w:hAnsi="Times New Roman"/>
                <w:sz w:val="22"/>
                <w:szCs w:val="22"/>
                <w:color w:val="008000"/>
                <w:w w:val="97"/>
                <w:vertAlign w:val="superscript"/>
              </w:rPr>
              <w:t>(1)</w:t>
            </w:r>
          </w:p>
        </w:tc>
        <w:tc>
          <w:tcPr>
            <w:tcW w:w="6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25.31</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35,952</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7"/>
              <w:spacing w:after="0"/>
              <w:rPr>
                <w:sz w:val="20"/>
                <w:szCs w:val="20"/>
                <w:color w:val="auto"/>
              </w:rPr>
            </w:pPr>
            <w:r>
              <w:rPr>
                <w:rFonts w:ascii="Times New Roman" w:cs="Times New Roman" w:eastAsia="Times New Roman" w:hAnsi="Times New Roman"/>
                <w:sz w:val="17"/>
                <w:szCs w:val="17"/>
                <w:color w:val="0000FF"/>
              </w:rPr>
              <w:t>11/11/2022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1,486</w:t>
            </w:r>
            <w:r>
              <w:rPr>
                <w:rFonts w:ascii="Times New Roman" w:cs="Times New Roman" w:eastAsia="Times New Roman" w:hAnsi="Times New Roman"/>
                <w:sz w:val="22"/>
                <w:szCs w:val="22"/>
                <w:color w:val="008000"/>
                <w:w w:val="93"/>
                <w:vertAlign w:val="superscript"/>
              </w:rPr>
              <w:t>(2)</w:t>
            </w:r>
          </w:p>
        </w:tc>
        <w:tc>
          <w:tcPr>
            <w:tcW w:w="6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25.31</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34,466</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7"/>
              <w:spacing w:after="0"/>
              <w:rPr>
                <w:sz w:val="20"/>
                <w:szCs w:val="20"/>
                <w:color w:val="auto"/>
              </w:rPr>
            </w:pPr>
            <w:r>
              <w:rPr>
                <w:rFonts w:ascii="Times New Roman" w:cs="Times New Roman" w:eastAsia="Times New Roman" w:hAnsi="Times New Roman"/>
                <w:sz w:val="17"/>
                <w:szCs w:val="17"/>
                <w:color w:val="0000FF"/>
              </w:rPr>
              <w:t>11/12/2022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1,887</w:t>
            </w:r>
            <w:r>
              <w:rPr>
                <w:rFonts w:ascii="Times New Roman" w:cs="Times New Roman" w:eastAsia="Times New Roman" w:hAnsi="Times New Roman"/>
                <w:sz w:val="22"/>
                <w:szCs w:val="22"/>
                <w:color w:val="008000"/>
                <w:w w:val="93"/>
                <w:vertAlign w:val="superscript"/>
              </w:rPr>
              <w:t>(3)</w:t>
            </w:r>
          </w:p>
        </w:tc>
        <w:tc>
          <w:tcPr>
            <w:tcW w:w="6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25.31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34,773</w:t>
            </w:r>
            <w:r>
              <w:rPr>
                <w:rFonts w:ascii="Times New Roman" w:cs="Times New Roman" w:eastAsia="Times New Roman" w:hAnsi="Times New Roman"/>
                <w:sz w:val="22"/>
                <w:szCs w:val="22"/>
                <w:color w:val="008000"/>
                <w:w w:val="97"/>
                <w:vertAlign w:val="superscript"/>
              </w:rPr>
              <w:t>(4)</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vMerge w:val="restart"/>
          </w:tcPr>
          <w:p>
            <w:pPr>
              <w:jc w:val="center"/>
              <w:ind w:right="397"/>
              <w:spacing w:after="0"/>
              <w:rPr>
                <w:sz w:val="20"/>
                <w:szCs w:val="20"/>
                <w:color w:val="auto"/>
              </w:rPr>
            </w:pPr>
            <w:r>
              <w:rPr>
                <w:rFonts w:ascii="Times New Roman" w:cs="Times New Roman" w:eastAsia="Times New Roman" w:hAnsi="Times New Roman"/>
                <w:sz w:val="17"/>
                <w:szCs w:val="17"/>
                <w:color w:val="0000FF"/>
              </w:rPr>
              <w:t>542</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BellRing Brands, Inc. Common Stock. The restricted stock units were granted under the BellRing Brands, Inc. 2019 Long-Term Incentive Plan in a transaction exempt under Rule 16b-3 and vest in equal annual increments over three years.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Surrender of shares in payment of tax withholding due as a result of the vesting of 2,996 restricted stock units ("RSUs") in accordance with Rule 16b-3.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Surrender of shares in payment of tax withholding due as a result of the vesting of 3,805 RSUs in accordance with Rule 16b-3.</w:t>
      </w:r>
    </w:p>
    <w:p>
      <w:pPr>
        <w:spacing w:after="0" w:line="50" w:lineRule="exact"/>
        <w:rPr>
          <w:rFonts w:ascii="Times New Roman" w:cs="Times New Roman" w:eastAsia="Times New Roman" w:hAnsi="Times New Roman"/>
          <w:sz w:val="13"/>
          <w:szCs w:val="13"/>
          <w:color w:val="008000"/>
        </w:rPr>
      </w:pPr>
    </w:p>
    <w:p>
      <w:pPr>
        <w:ind w:left="40" w:right="1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transactions under the transaction agreement and plan of merger entered into on October 26, 2021, as amended on February 28, 2022, whereby BellRing Intermediate Holdings, Inc. (formerly known as BellRing Brands, Inc.) ("Old BellRing") merged with a subsidiary of Issuer and each outstanding share of Old BellRing Class A common stock was converted into one share of Issuer common stock and $2.97 in cash (the "Cash Consideration" and such transactions the "Transactions"), awards under the Old BellRing 2019 Long-Term Incentive Plan were adjusted to account for the Cash Consideration paid to holders of Old Bell Ring common stock in the Transactions. The amount of securities beneficially owned following the reported transaction includes 2,194 additional RSUs received in connection with such adjustment, which RSUs are subject to the same vesting terms as the underlying awards.</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11/15/2022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0255"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2022-11-15T15:51:23Z</dcterms:created>
  <dcterms:modified xsi:type="dcterms:W3CDTF">2022-11-15T15:51:23Z</dcterms:modified>
</cp:coreProperties>
</file>