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243205</wp:posOffset>
            </wp:positionH>
            <wp:positionV relativeFrom="page">
              <wp:posOffset>654685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671830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64" w:lineRule="exact"/>
        <w:rPr>
          <w:sz w:val="24"/>
          <w:szCs w:val="24"/>
          <w:color w:val="auto"/>
        </w:rPr>
      </w:pPr>
    </w:p>
    <w:p>
      <w:pPr>
        <w:jc w:val="center"/>
        <w:ind w:right="-7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161"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47" w:lineRule="exact"/>
        <w:rPr>
          <w:sz w:val="24"/>
          <w:szCs w:val="24"/>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(Rule 14a-101)</w:t>
      </w:r>
    </w:p>
    <w:p>
      <w:pPr>
        <w:spacing w:after="0" w:line="212" w:lineRule="exact"/>
        <w:rPr>
          <w:sz w:val="24"/>
          <w:szCs w:val="24"/>
          <w:color w:val="auto"/>
        </w:rPr>
      </w:pPr>
    </w:p>
    <w:p>
      <w:pPr>
        <w:jc w:val="center"/>
        <w:ind w:right="-719"/>
        <w:spacing w:after="0"/>
        <w:rPr>
          <w:sz w:val="20"/>
          <w:szCs w:val="20"/>
          <w:color w:val="auto"/>
        </w:rPr>
      </w:pPr>
      <w:r>
        <w:rPr>
          <w:rFonts w:ascii="Times New Roman" w:cs="Times New Roman" w:eastAsia="Times New Roman" w:hAnsi="Times New Roman"/>
          <w:sz w:val="22"/>
          <w:szCs w:val="22"/>
          <w:b w:val="1"/>
          <w:bCs w:val="1"/>
          <w:color w:val="auto"/>
        </w:rPr>
        <w:t>INFORMATION REQUIRED IN</w:t>
      </w:r>
    </w:p>
    <w:p>
      <w:pPr>
        <w:spacing w:after="0" w:line="58" w:lineRule="exact"/>
        <w:rPr>
          <w:sz w:val="24"/>
          <w:szCs w:val="24"/>
          <w:color w:val="auto"/>
        </w:rPr>
      </w:pPr>
    </w:p>
    <w:p>
      <w:pPr>
        <w:jc w:val="center"/>
        <w:ind w:right="-719"/>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163" w:lineRule="exact"/>
        <w:rPr>
          <w:sz w:val="24"/>
          <w:szCs w:val="24"/>
          <w:color w:val="auto"/>
        </w:rPr>
      </w:pPr>
    </w:p>
    <w:p>
      <w:pPr>
        <w:jc w:val="center"/>
        <w:ind w:right="-719"/>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55" w:lineRule="exact"/>
        <w:rPr>
          <w:sz w:val="24"/>
          <w:szCs w:val="24"/>
          <w:color w:val="auto"/>
        </w:rPr>
      </w:pPr>
    </w:p>
    <w:p>
      <w:pPr>
        <w:jc w:val="center"/>
        <w:ind w:right="-71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 Securities</w:t>
      </w:r>
    </w:p>
    <w:p>
      <w:pPr>
        <w:spacing w:after="0" w:line="58" w:lineRule="exact"/>
        <w:rPr>
          <w:sz w:val="24"/>
          <w:szCs w:val="24"/>
          <w:color w:val="auto"/>
        </w:rPr>
      </w:pPr>
    </w:p>
    <w:p>
      <w:pPr>
        <w:jc w:val="center"/>
        <w:ind w:right="-719"/>
        <w:spacing w:after="0"/>
        <w:rPr>
          <w:sz w:val="20"/>
          <w:szCs w:val="20"/>
          <w:color w:val="auto"/>
        </w:rPr>
      </w:pPr>
      <w:r>
        <w:rPr>
          <w:rFonts w:ascii="Times New Roman" w:cs="Times New Roman" w:eastAsia="Times New Roman" w:hAnsi="Times New Roman"/>
          <w:sz w:val="22"/>
          <w:szCs w:val="22"/>
          <w:b w:val="1"/>
          <w:bCs w:val="1"/>
          <w:color w:val="auto"/>
        </w:rPr>
        <w:t>Exchange Act of 1934</w:t>
      </w:r>
    </w:p>
    <w:p>
      <w:pPr>
        <w:spacing w:after="0" w:line="24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800" w:hanging="657"/>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86" w:lineRule="exact"/>
        <w:rPr>
          <w:rFonts w:ascii="MS PGothic" w:cs="MS PGothic" w:eastAsia="MS PGothic" w:hAnsi="MS PGothic"/>
          <w:sz w:val="18"/>
          <w:szCs w:val="18"/>
          <w:color w:val="auto"/>
        </w:rPr>
      </w:pPr>
    </w:p>
    <w:p>
      <w:pPr>
        <w:ind w:left="800" w:hanging="657"/>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4" w:lineRule="exact"/>
        <w:rPr>
          <w:rFonts w:ascii="MS PGothic" w:cs="MS PGothic" w:eastAsia="MS PGothic" w:hAnsi="MS PGothic"/>
          <w:sz w:val="18"/>
          <w:szCs w:val="18"/>
          <w:color w:val="auto"/>
        </w:rPr>
      </w:pPr>
    </w:p>
    <w:p>
      <w:pPr>
        <w:ind w:left="800" w:hanging="657"/>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0" w:lineRule="exact"/>
        <w:rPr>
          <w:sz w:val="24"/>
          <w:szCs w:val="24"/>
          <w:color w:val="auto"/>
        </w:rPr>
      </w:pPr>
    </w:p>
    <w:p>
      <w:pPr>
        <w:ind w:left="800" w:hanging="657"/>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0" w:lineRule="exact"/>
        <w:rPr>
          <w:sz w:val="24"/>
          <w:szCs w:val="24"/>
          <w:color w:val="auto"/>
        </w:rPr>
      </w:pPr>
    </w:p>
    <w:p>
      <w:pPr>
        <w:ind w:left="800" w:hanging="657"/>
        <w:spacing w:after="0"/>
        <w:tabs>
          <w:tab w:leader="none" w:pos="8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17"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40"/>
          <w:szCs w:val="40"/>
          <w:b w:val="1"/>
          <w:bCs w:val="1"/>
          <w:color w:val="auto"/>
        </w:rPr>
        <w:t>BellRing Brands, Inc.</w:t>
      </w:r>
    </w:p>
    <w:p>
      <w:pPr>
        <w:spacing w:after="0" w:line="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93" w:lineRule="exact"/>
        <w:rPr>
          <w:sz w:val="24"/>
          <w:szCs w:val="24"/>
          <w:color w:val="auto"/>
        </w:rPr>
      </w:pPr>
    </w:p>
    <w:p>
      <w:pPr>
        <w:ind w:left="800" w:hanging="657"/>
        <w:spacing w:after="0"/>
        <w:tabs>
          <w:tab w:leader="none" w:pos="8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800" w:hanging="657"/>
        <w:spacing w:after="0"/>
        <w:tabs>
          <w:tab w:leader="none" w:pos="8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1160" w:hanging="247"/>
        <w:spacing w:after="0"/>
        <w:tabs>
          <w:tab w:leader="none" w:pos="11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7" w:lineRule="exact"/>
        <w:rPr>
          <w:rFonts w:ascii="Times New Roman" w:cs="Times New Roman" w:eastAsia="Times New Roman" w:hAnsi="Times New Roman"/>
          <w:sz w:val="18"/>
          <w:szCs w:val="18"/>
          <w:color w:val="auto"/>
        </w:rPr>
      </w:pPr>
    </w:p>
    <w:p>
      <w:pPr>
        <w:ind w:left="1160" w:hanging="247"/>
        <w:spacing w:after="0"/>
        <w:tabs>
          <w:tab w:leader="none" w:pos="11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9" w:lineRule="exact"/>
        <w:rPr>
          <w:rFonts w:ascii="Times New Roman" w:cs="Times New Roman" w:eastAsia="Times New Roman" w:hAnsi="Times New Roman"/>
          <w:sz w:val="18"/>
          <w:szCs w:val="18"/>
          <w:color w:val="auto"/>
        </w:rPr>
      </w:pPr>
    </w:p>
    <w:p>
      <w:pPr>
        <w:ind w:left="1240" w:hanging="327"/>
        <w:spacing w:after="0" w:line="250" w:lineRule="auto"/>
        <w:tabs>
          <w:tab w:leader="none" w:pos="1171"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ind w:left="1160" w:hanging="247"/>
        <w:spacing w:after="0"/>
        <w:tabs>
          <w:tab w:leader="none" w:pos="11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9" w:lineRule="exact"/>
        <w:rPr>
          <w:rFonts w:ascii="Times New Roman" w:cs="Times New Roman" w:eastAsia="Times New Roman" w:hAnsi="Times New Roman"/>
          <w:sz w:val="18"/>
          <w:szCs w:val="18"/>
          <w:color w:val="auto"/>
        </w:rPr>
      </w:pPr>
    </w:p>
    <w:p>
      <w:pPr>
        <w:ind w:left="1160" w:hanging="247"/>
        <w:spacing w:after="0"/>
        <w:tabs>
          <w:tab w:leader="none" w:pos="11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6" w:lineRule="exact"/>
        <w:rPr>
          <w:rFonts w:ascii="Times New Roman" w:cs="Times New Roman" w:eastAsia="Times New Roman" w:hAnsi="Times New Roman"/>
          <w:sz w:val="18"/>
          <w:szCs w:val="18"/>
          <w:color w:val="auto"/>
        </w:rPr>
      </w:pPr>
    </w:p>
    <w:p>
      <w:pPr>
        <w:ind w:left="840" w:hanging="670"/>
        <w:spacing w:after="0"/>
        <w:tabs>
          <w:tab w:leader="none" w:pos="840" w:val="left"/>
        </w:tabs>
        <w:numPr>
          <w:ilvl w:val="1"/>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800" w:right="80" w:hanging="657"/>
        <w:spacing w:after="0" w:line="282" w:lineRule="auto"/>
        <w:tabs>
          <w:tab w:leader="none" w:pos="8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3" w:lineRule="exact"/>
        <w:rPr>
          <w:rFonts w:ascii="MS PGothic" w:cs="MS PGothic" w:eastAsia="MS PGothic" w:hAnsi="MS PGothic"/>
          <w:sz w:val="18"/>
          <w:szCs w:val="18"/>
          <w:color w:val="auto"/>
        </w:rPr>
      </w:pPr>
    </w:p>
    <w:p>
      <w:pPr>
        <w:ind w:left="1160" w:hanging="247"/>
        <w:spacing w:after="0"/>
        <w:tabs>
          <w:tab w:leader="none" w:pos="11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7" w:lineRule="exact"/>
        <w:rPr>
          <w:rFonts w:ascii="Times New Roman" w:cs="Times New Roman" w:eastAsia="Times New Roman" w:hAnsi="Times New Roman"/>
          <w:sz w:val="18"/>
          <w:szCs w:val="18"/>
          <w:color w:val="auto"/>
        </w:rPr>
      </w:pPr>
    </w:p>
    <w:p>
      <w:pPr>
        <w:ind w:left="1160" w:hanging="247"/>
        <w:spacing w:after="0"/>
        <w:tabs>
          <w:tab w:leader="none" w:pos="11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9" w:lineRule="exact"/>
        <w:rPr>
          <w:rFonts w:ascii="Times New Roman" w:cs="Times New Roman" w:eastAsia="Times New Roman" w:hAnsi="Times New Roman"/>
          <w:sz w:val="18"/>
          <w:szCs w:val="18"/>
          <w:color w:val="auto"/>
        </w:rPr>
      </w:pPr>
    </w:p>
    <w:p>
      <w:pPr>
        <w:ind w:left="1160" w:hanging="247"/>
        <w:spacing w:after="0"/>
        <w:tabs>
          <w:tab w:leader="none" w:pos="11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9" w:lineRule="exact"/>
        <w:rPr>
          <w:rFonts w:ascii="Times New Roman" w:cs="Times New Roman" w:eastAsia="Times New Roman" w:hAnsi="Times New Roman"/>
          <w:sz w:val="18"/>
          <w:szCs w:val="18"/>
          <w:color w:val="auto"/>
        </w:rPr>
      </w:pPr>
    </w:p>
    <w:p>
      <w:pPr>
        <w:ind w:left="1160" w:hanging="247"/>
        <w:spacing w:after="0"/>
        <w:tabs>
          <w:tab w:leader="none" w:pos="11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245745</wp:posOffset>
            </wp:positionV>
            <wp:extent cx="7075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262890</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0720"/>
          </w:cols>
          <w:pgMar w:left="240" w:top="1069" w:right="9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208915</wp:posOffset>
            </wp:positionH>
            <wp:positionV relativeFrom="page">
              <wp:posOffset>603250</wp:posOffset>
            </wp:positionV>
            <wp:extent cx="1466215"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66215" cy="788670"/>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603250</wp:posOffset>
            </wp:positionV>
            <wp:extent cx="1115060" cy="685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11506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80"/>
        <w:spacing w:after="0"/>
        <w:rPr>
          <w:sz w:val="20"/>
          <w:szCs w:val="20"/>
          <w:color w:val="auto"/>
        </w:rPr>
      </w:pPr>
      <w:r>
        <w:rPr>
          <w:rFonts w:ascii="Arial" w:cs="Arial" w:eastAsia="Arial" w:hAnsi="Arial"/>
          <w:sz w:val="14"/>
          <w:szCs w:val="14"/>
          <w:b w:val="1"/>
          <w:bCs w:val="1"/>
          <w:color w:val="auto"/>
        </w:rPr>
        <w:t>Online</w:t>
      </w:r>
    </w:p>
    <w:p>
      <w:pPr>
        <w:spacing w:after="0" w:line="379" w:lineRule="exact"/>
        <w:rPr>
          <w:sz w:val="20"/>
          <w:szCs w:val="20"/>
          <w:color w:val="auto"/>
        </w:rPr>
      </w:pPr>
    </w:p>
    <w:p>
      <w:pPr>
        <w:ind w:left="6680"/>
        <w:spacing w:after="0"/>
        <w:rPr>
          <w:sz w:val="20"/>
          <w:szCs w:val="20"/>
          <w:color w:val="auto"/>
        </w:rPr>
      </w:pPr>
      <w:r>
        <w:rPr>
          <w:rFonts w:ascii="Arial" w:cs="Arial" w:eastAsia="Arial" w:hAnsi="Arial"/>
          <w:sz w:val="14"/>
          <w:szCs w:val="14"/>
          <w:color w:val="auto"/>
        </w:rPr>
        <w:t xml:space="preserve">Go to </w:t>
      </w:r>
      <w:r>
        <w:rPr>
          <w:rFonts w:ascii="Arial" w:cs="Arial" w:eastAsia="Arial" w:hAnsi="Arial"/>
          <w:sz w:val="14"/>
          <w:szCs w:val="14"/>
          <w:b w:val="1"/>
          <w:bCs w:val="1"/>
          <w:color w:val="auto"/>
        </w:rPr>
        <w:t>www.envisionreports.com/BRBR</w:t>
      </w:r>
      <w:r>
        <w:rPr>
          <w:rFonts w:ascii="Arial" w:cs="Arial" w:eastAsia="Arial" w:hAnsi="Arial"/>
          <w:sz w:val="14"/>
          <w:szCs w:val="14"/>
          <w:color w:val="auto"/>
        </w:rPr>
        <w:t xml:space="preserve"> or scan</w:t>
      </w:r>
    </w:p>
    <w:p>
      <w:pPr>
        <w:spacing w:after="0" w:line="21" w:lineRule="exact"/>
        <w:rPr>
          <w:sz w:val="20"/>
          <w:szCs w:val="20"/>
          <w:color w:val="auto"/>
        </w:rPr>
      </w:pPr>
    </w:p>
    <w:p>
      <w:pPr>
        <w:ind w:left="6680"/>
        <w:spacing w:after="0"/>
        <w:rPr>
          <w:sz w:val="20"/>
          <w:szCs w:val="20"/>
          <w:color w:val="auto"/>
        </w:rPr>
      </w:pPr>
      <w:r>
        <w:rPr>
          <w:rFonts w:ascii="Arial" w:cs="Arial" w:eastAsia="Arial" w:hAnsi="Arial"/>
          <w:sz w:val="14"/>
          <w:szCs w:val="14"/>
          <w:color w:val="auto"/>
        </w:rPr>
        <w:t>the QR code - login details are located in the</w:t>
      </w:r>
    </w:p>
    <w:p>
      <w:pPr>
        <w:spacing w:after="0" w:line="1" w:lineRule="exact"/>
        <w:rPr>
          <w:sz w:val="20"/>
          <w:szCs w:val="20"/>
          <w:color w:val="auto"/>
        </w:rPr>
      </w:pPr>
    </w:p>
    <w:p>
      <w:pPr>
        <w:ind w:left="6680"/>
        <w:spacing w:after="0"/>
        <w:rPr>
          <w:sz w:val="20"/>
          <w:szCs w:val="20"/>
          <w:color w:val="auto"/>
        </w:rPr>
      </w:pPr>
      <w:r>
        <w:rPr>
          <w:rFonts w:ascii="Arial" w:cs="Arial" w:eastAsia="Arial" w:hAnsi="Arial"/>
          <w:sz w:val="14"/>
          <w:szCs w:val="14"/>
          <w:color w:val="auto"/>
        </w:rPr>
        <w:t>shaded bar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254635</wp:posOffset>
            </wp:positionV>
            <wp:extent cx="497205"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7205" cy="41148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6680" w:right="1140"/>
        <w:spacing w:after="0" w:line="303" w:lineRule="auto"/>
        <w:rPr>
          <w:sz w:val="20"/>
          <w:szCs w:val="20"/>
          <w:color w:val="auto"/>
        </w:rPr>
      </w:pPr>
      <w:r>
        <w:rPr>
          <w:rFonts w:ascii="Arial" w:cs="Arial" w:eastAsia="Arial" w:hAnsi="Arial"/>
          <w:sz w:val="14"/>
          <w:szCs w:val="14"/>
          <w:b w:val="1"/>
          <w:bCs w:val="1"/>
          <w:color w:val="auto"/>
        </w:rPr>
        <w:t>Votes submitted electronically must be received by 1:00 a.m., Central Time, March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317500</wp:posOffset>
            </wp:positionV>
            <wp:extent cx="721233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27432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Stockholder Meeting Notice</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Important Notice Regarding the Availability of Proxy Materials for the BellRing Brands, Inc.</w:t>
      </w:r>
    </w:p>
    <w:p>
      <w:pPr>
        <w:spacing w:after="0" w:line="28"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Stockholder Meeting to be Held on March 6, 2020</w:t>
      </w:r>
    </w:p>
    <w:p>
      <w:pPr>
        <w:spacing w:after="0" w:line="88"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Under Securities and Exchange Commission rules, you are receiving this notice that the proxy materials for the annual stockholders’ meeting are available on the Internet. Follow the instructions below to view the materials and vote online or request a copy. The items to be voted on and location of the annual meeting are on the reverse side. Your vote is important!</w:t>
      </w:r>
    </w:p>
    <w:p>
      <w:pPr>
        <w:spacing w:after="0" w:line="5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 The proxy statement and annual report to stockholders are available at: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www.envisionreports.com/BRBR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-142240</wp:posOffset>
            </wp:positionV>
            <wp:extent cx="4999990" cy="240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9990" cy="24003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Easy Online Access – View your proxy materials and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-114935</wp:posOffset>
            </wp:positionV>
            <wp:extent cx="840740" cy="737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40740" cy="737235"/>
                    </a:xfrm>
                    <a:prstGeom prst="rect">
                      <a:avLst/>
                    </a:prstGeom>
                    <a:noFill/>
                  </pic:spPr>
                </pic:pic>
              </a:graphicData>
            </a:graphic>
          </wp:anchor>
        </w:drawing>
      </w:r>
    </w:p>
    <w:p>
      <w:pPr>
        <w:spacing w:after="0" w:line="318" w:lineRule="exact"/>
        <w:rPr>
          <w:sz w:val="20"/>
          <w:szCs w:val="20"/>
          <w:color w:val="auto"/>
        </w:rPr>
      </w:pPr>
    </w:p>
    <w:p>
      <w:pPr>
        <w:ind w:left="1760"/>
        <w:spacing w:after="0"/>
        <w:rPr>
          <w:sz w:val="20"/>
          <w:szCs w:val="20"/>
          <w:color w:val="auto"/>
        </w:rPr>
      </w:pPr>
      <w:r>
        <w:rPr>
          <w:rFonts w:ascii="Arial" w:cs="Arial" w:eastAsia="Arial" w:hAnsi="Arial"/>
          <w:sz w:val="16"/>
          <w:szCs w:val="16"/>
          <w:b w:val="1"/>
          <w:bCs w:val="1"/>
          <w:color w:val="auto"/>
        </w:rPr>
        <w:t xml:space="preserve">Step 1: </w:t>
      </w:r>
      <w:r>
        <w:rPr>
          <w:rFonts w:ascii="Arial" w:cs="Arial" w:eastAsia="Arial" w:hAnsi="Arial"/>
          <w:sz w:val="16"/>
          <w:szCs w:val="16"/>
          <w:color w:val="auto"/>
        </w:rPr>
        <w:t>Go to</w:t>
      </w:r>
      <w:r>
        <w:rPr>
          <w:rFonts w:ascii="Arial" w:cs="Arial" w:eastAsia="Arial" w:hAnsi="Arial"/>
          <w:sz w:val="16"/>
          <w:szCs w:val="16"/>
          <w:b w:val="1"/>
          <w:bCs w:val="1"/>
          <w:color w:val="auto"/>
        </w:rPr>
        <w:t xml:space="preserve"> www.envisionreports.com/BRBR.</w:t>
      </w:r>
    </w:p>
    <w:p>
      <w:pPr>
        <w:spacing w:after="0" w:line="59" w:lineRule="exact"/>
        <w:rPr>
          <w:sz w:val="20"/>
          <w:szCs w:val="20"/>
          <w:color w:val="auto"/>
        </w:rPr>
      </w:pPr>
    </w:p>
    <w:p>
      <w:pPr>
        <w:ind w:left="1760"/>
        <w:spacing w:after="0"/>
        <w:rPr>
          <w:sz w:val="20"/>
          <w:szCs w:val="20"/>
          <w:color w:val="auto"/>
        </w:rPr>
      </w:pPr>
      <w:r>
        <w:rPr>
          <w:rFonts w:ascii="Arial" w:cs="Arial" w:eastAsia="Arial" w:hAnsi="Arial"/>
          <w:sz w:val="16"/>
          <w:szCs w:val="16"/>
          <w:b w:val="1"/>
          <w:bCs w:val="1"/>
          <w:color w:val="auto"/>
        </w:rPr>
        <w:t xml:space="preserve">Step 2: </w:t>
      </w:r>
      <w:r>
        <w:rPr>
          <w:rFonts w:ascii="Arial" w:cs="Arial" w:eastAsia="Arial" w:hAnsi="Arial"/>
          <w:sz w:val="16"/>
          <w:szCs w:val="16"/>
          <w:color w:val="auto"/>
        </w:rPr>
        <w:t>Click on</w:t>
      </w:r>
      <w:r>
        <w:rPr>
          <w:rFonts w:ascii="Arial" w:cs="Arial" w:eastAsia="Arial" w:hAnsi="Arial"/>
          <w:sz w:val="16"/>
          <w:szCs w:val="16"/>
          <w:b w:val="1"/>
          <w:bCs w:val="1"/>
          <w:color w:val="auto"/>
        </w:rPr>
        <w:t xml:space="preserve"> Cast Your Vote or Request Materials</w:t>
      </w:r>
      <w:r>
        <w:rPr>
          <w:rFonts w:ascii="Arial" w:cs="Arial" w:eastAsia="Arial" w:hAnsi="Arial"/>
          <w:sz w:val="16"/>
          <w:szCs w:val="16"/>
          <w:color w:val="auto"/>
        </w:rPr>
        <w:t>.</w:t>
      </w:r>
    </w:p>
    <w:p>
      <w:pPr>
        <w:spacing w:after="0" w:line="59" w:lineRule="exact"/>
        <w:rPr>
          <w:sz w:val="20"/>
          <w:szCs w:val="20"/>
          <w:color w:val="auto"/>
        </w:rPr>
      </w:pPr>
    </w:p>
    <w:p>
      <w:pPr>
        <w:ind w:left="1760"/>
        <w:spacing w:after="0"/>
        <w:rPr>
          <w:sz w:val="20"/>
          <w:szCs w:val="20"/>
          <w:color w:val="auto"/>
        </w:rPr>
      </w:pPr>
      <w:r>
        <w:rPr>
          <w:rFonts w:ascii="Arial" w:cs="Arial" w:eastAsia="Arial" w:hAnsi="Arial"/>
          <w:sz w:val="16"/>
          <w:szCs w:val="16"/>
          <w:b w:val="1"/>
          <w:bCs w:val="1"/>
          <w:color w:val="auto"/>
        </w:rPr>
        <w:t xml:space="preserve">Step 3: </w:t>
      </w:r>
      <w:r>
        <w:rPr>
          <w:rFonts w:ascii="Arial" w:cs="Arial" w:eastAsia="Arial" w:hAnsi="Arial"/>
          <w:sz w:val="16"/>
          <w:szCs w:val="16"/>
          <w:color w:val="auto"/>
        </w:rPr>
        <w:t>Follow the instructions on the screen to log in.</w:t>
      </w:r>
    </w:p>
    <w:p>
      <w:pPr>
        <w:spacing w:after="0" w:line="59" w:lineRule="exact"/>
        <w:rPr>
          <w:sz w:val="20"/>
          <w:szCs w:val="20"/>
          <w:color w:val="auto"/>
        </w:rPr>
      </w:pPr>
    </w:p>
    <w:p>
      <w:pPr>
        <w:ind w:left="1760"/>
        <w:spacing w:after="0"/>
        <w:rPr>
          <w:sz w:val="20"/>
          <w:szCs w:val="20"/>
          <w:color w:val="auto"/>
        </w:rPr>
      </w:pPr>
      <w:r>
        <w:rPr>
          <w:rFonts w:ascii="Arial" w:cs="Arial" w:eastAsia="Arial" w:hAnsi="Arial"/>
          <w:sz w:val="16"/>
          <w:szCs w:val="16"/>
          <w:b w:val="1"/>
          <w:bCs w:val="1"/>
          <w:color w:val="auto"/>
        </w:rPr>
        <w:t xml:space="preserve">Step 4: </w:t>
      </w:r>
      <w:r>
        <w:rPr>
          <w:rFonts w:ascii="Arial" w:cs="Arial" w:eastAsia="Arial" w:hAnsi="Arial"/>
          <w:sz w:val="16"/>
          <w:szCs w:val="16"/>
          <w:color w:val="auto"/>
        </w:rPr>
        <w:t>Make your selections as instructed on each screen for your delivery preferences.</w:t>
      </w:r>
    </w:p>
    <w:p>
      <w:pPr>
        <w:spacing w:after="0" w:line="59" w:lineRule="exact"/>
        <w:rPr>
          <w:sz w:val="20"/>
          <w:szCs w:val="20"/>
          <w:color w:val="auto"/>
        </w:rPr>
      </w:pPr>
    </w:p>
    <w:p>
      <w:pPr>
        <w:ind w:left="1760"/>
        <w:spacing w:after="0"/>
        <w:rPr>
          <w:sz w:val="20"/>
          <w:szCs w:val="20"/>
          <w:color w:val="auto"/>
        </w:rPr>
      </w:pPr>
      <w:r>
        <w:rPr>
          <w:rFonts w:ascii="Arial" w:cs="Arial" w:eastAsia="Arial" w:hAnsi="Arial"/>
          <w:sz w:val="16"/>
          <w:szCs w:val="16"/>
          <w:b w:val="1"/>
          <w:bCs w:val="1"/>
          <w:color w:val="auto"/>
        </w:rPr>
        <w:t xml:space="preserve">Step 5: </w:t>
      </w:r>
      <w:r>
        <w:rPr>
          <w:rFonts w:ascii="Arial" w:cs="Arial" w:eastAsia="Arial" w:hAnsi="Arial"/>
          <w:sz w:val="16"/>
          <w:szCs w:val="16"/>
          <w:color w:val="auto"/>
        </w:rPr>
        <w:t>Vote your shares.</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When you go online, you also can help the environment by consenting to receive electronic delivery of future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427355</wp:posOffset>
            </wp:positionV>
            <wp:extent cx="711835" cy="840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83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1760"/>
        <w:spacing w:after="0" w:line="275" w:lineRule="auto"/>
        <w:rPr>
          <w:sz w:val="20"/>
          <w:szCs w:val="20"/>
          <w:color w:val="auto"/>
        </w:rPr>
      </w:pPr>
      <w:r>
        <w:rPr>
          <w:rFonts w:ascii="Arial" w:cs="Arial" w:eastAsia="Arial" w:hAnsi="Arial"/>
          <w:sz w:val="16"/>
          <w:szCs w:val="16"/>
          <w:b w:val="1"/>
          <w:bCs w:val="1"/>
          <w:color w:val="auto"/>
        </w:rPr>
        <w:t>Obtaining a Copy of the Proxy Materials – If you want to receive a copy of the proxy materials, you must request one. There is no charge to you for requesting a copy. Please make your request as instructed on the reverse side on or before February 25, 2020 to facilitate timely delivery.</w:t>
      </w:r>
    </w:p>
    <w:p>
      <w:pPr>
        <w:sectPr>
          <w:pgSz w:w="11900" w:h="16838" w:orient="portrait"/>
          <w:cols w:equalWidth="0" w:num="1">
            <w:col w:w="11320"/>
          </w:cols>
          <w:pgMar w:left="240" w:top="1440" w:right="339" w:bottom="1440" w:gutter="0" w:footer="0" w:header="0"/>
        </w:sectPr>
      </w:pPr>
    </w:p>
    <w:bookmarkStart w:id="2" w:name="page3"/>
    <w:bookmarkEnd w:id="2"/>
    <w:p>
      <w:pPr>
        <w:ind w:left="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715010</wp:posOffset>
            </wp:positionV>
            <wp:extent cx="7246620" cy="248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48920"/>
                    </a:xfrm>
                    <a:prstGeom prst="rect">
                      <a:avLst/>
                    </a:prstGeom>
                    <a:noFill/>
                  </pic:spPr>
                </pic:pic>
              </a:graphicData>
            </a:graphic>
          </wp:anchor>
        </w:drawing>
        <w:t>Stockholder Meeting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ind w:right="180"/>
        <w:spacing w:after="0" w:line="303" w:lineRule="auto"/>
        <w:rPr>
          <w:sz w:val="20"/>
          <w:szCs w:val="20"/>
          <w:color w:val="auto"/>
        </w:rPr>
      </w:pPr>
      <w:r>
        <w:rPr>
          <w:rFonts w:ascii="Arial" w:cs="Arial" w:eastAsia="Arial" w:hAnsi="Arial"/>
          <w:sz w:val="18"/>
          <w:szCs w:val="18"/>
          <w:b w:val="1"/>
          <w:bCs w:val="1"/>
          <w:color w:val="auto"/>
        </w:rPr>
        <w:t>BellRing Brands, Inc.’s Annual Meeting of Stockholders will be held on March 6, 2020 at Post Holdings Office, 2600 S. Hanley Road, Saint Louis MO 63144, at 9:00 a.m. Central Time.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Proposals to be voted on at the meeting are listed below along with the Board of Directors’ recommendations.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The Board of Directors recommends a vote </w:t>
      </w:r>
      <w:r>
        <w:rPr>
          <w:rFonts w:ascii="Arial" w:cs="Arial" w:eastAsia="Arial" w:hAnsi="Arial"/>
          <w:sz w:val="16"/>
          <w:szCs w:val="16"/>
          <w:b w:val="1"/>
          <w:bCs w:val="1"/>
          <w:u w:val="single" w:color="auto"/>
          <w:color w:val="auto"/>
        </w:rPr>
        <w:t>FOR</w:t>
      </w:r>
      <w:r>
        <w:rPr>
          <w:rFonts w:ascii="Arial" w:cs="Arial" w:eastAsia="Arial" w:hAnsi="Arial"/>
          <w:sz w:val="16"/>
          <w:szCs w:val="16"/>
          <w:b w:val="1"/>
          <w:bCs w:val="1"/>
          <w:color w:val="auto"/>
        </w:rPr>
        <w:t xml:space="preserve"> all the nominees listed and </w:t>
      </w:r>
      <w:r>
        <w:rPr>
          <w:rFonts w:ascii="Times New Roman" w:cs="Times New Roman" w:eastAsia="Times New Roman" w:hAnsi="Times New Roman"/>
          <w:sz w:val="16"/>
          <w:szCs w:val="16"/>
          <w:b w:val="1"/>
          <w:bCs w:val="1"/>
          <w:u w:val="single" w:color="auto"/>
          <w:color w:val="auto"/>
        </w:rPr>
        <w:t>FOR</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Proposals 2-3.</w:t>
      </w:r>
    </w:p>
    <w:p>
      <w:pPr>
        <w:spacing w:after="0" w:line="87"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Election of Directors.</w:t>
      </w:r>
    </w:p>
    <w:p>
      <w:pPr>
        <w:spacing w:after="0" w:line="200" w:lineRule="exact"/>
        <w:rPr>
          <w:sz w:val="20"/>
          <w:szCs w:val="20"/>
          <w:color w:val="auto"/>
        </w:rPr>
      </w:pPr>
    </w:p>
    <w:p>
      <w:pPr>
        <w:spacing w:after="0" w:line="264" w:lineRule="exact"/>
        <w:rPr>
          <w:sz w:val="20"/>
          <w:szCs w:val="20"/>
          <w:color w:val="auto"/>
        </w:rPr>
      </w:pPr>
    </w:p>
    <w:p>
      <w:pPr>
        <w:ind w:left="660" w:right="100" w:hanging="328"/>
        <w:spacing w:after="0" w:line="283"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Ratification of PricewaterhouseCoopers LLP as the Company's Independent Registered Public Accounting Firm for the fiscal year ending September 30, 2020.</w:t>
      </w: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Approval of Deferred Compensation Plan for Directors.</w:t>
      </w:r>
    </w:p>
    <w:p>
      <w:pPr>
        <w:spacing w:after="0" w:line="200" w:lineRule="exact"/>
        <w:rPr>
          <w:sz w:val="20"/>
          <w:szCs w:val="20"/>
          <w:color w:val="auto"/>
        </w:rPr>
      </w:pPr>
    </w:p>
    <w:p>
      <w:pPr>
        <w:spacing w:after="0" w:line="260" w:lineRule="exact"/>
        <w:rPr>
          <w:sz w:val="20"/>
          <w:szCs w:val="20"/>
          <w:color w:val="auto"/>
        </w:rPr>
      </w:pPr>
    </w:p>
    <w:p>
      <w:pPr>
        <w:spacing w:after="0" w:line="340" w:lineRule="auto"/>
        <w:rPr>
          <w:sz w:val="20"/>
          <w:szCs w:val="20"/>
          <w:color w:val="auto"/>
        </w:rPr>
      </w:pPr>
      <w:r>
        <w:rPr>
          <w:rFonts w:ascii="Arial" w:cs="Arial" w:eastAsia="Arial" w:hAnsi="Arial"/>
          <w:sz w:val="16"/>
          <w:szCs w:val="16"/>
          <w:b w:val="1"/>
          <w:bCs w:val="1"/>
          <w:color w:val="auto"/>
        </w:rPr>
        <w:t>PLEASE NOTE – YOU CANNOT VOTE BY RETURNING THIS NOTICE. To vote your shares you must vote online or request a paper copy of the proxy materials to receive a proxy card. If you wish to attend the meeting and vote at the meeting, please bring this notice with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993775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Here’s how to order a paper copy of the proxy materials and select delivery preferences: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-114935</wp:posOffset>
            </wp:positionV>
            <wp:extent cx="634365" cy="7543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4365" cy="754380"/>
                    </a:xfrm>
                    <a:prstGeom prst="rect">
                      <a:avLst/>
                    </a:prstGeom>
                    <a:noFill/>
                  </pic:spPr>
                </pic:pic>
              </a:graphicData>
            </a:graphic>
          </wp:anchor>
        </w:drawing>
      </w:r>
    </w:p>
    <w:p>
      <w:pPr>
        <w:spacing w:after="0" w:line="279"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Current and future delivery requests can be submitted using the options below.</w:t>
      </w:r>
    </w:p>
    <w:p>
      <w:pPr>
        <w:spacing w:after="0" w:line="302"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If you request an email copy, you will receive an email with a link to the current meeting materials.</w:t>
      </w:r>
    </w:p>
    <w:p>
      <w:pPr>
        <w:spacing w:after="0" w:line="300"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auto"/>
        </w:rPr>
        <w:t xml:space="preserve">PLEASE NOTE: </w:t>
      </w:r>
      <w:r>
        <w:rPr>
          <w:rFonts w:ascii="Arial" w:cs="Arial" w:eastAsia="Arial" w:hAnsi="Arial"/>
          <w:sz w:val="16"/>
          <w:szCs w:val="16"/>
          <w:color w:val="auto"/>
        </w:rPr>
        <w:t>You must use the number in the shaded bar on the reverse side when requesting a copy of the proxy materials.</w:t>
      </w:r>
    </w:p>
    <w:p>
      <w:pPr>
        <w:spacing w:after="0" w:line="4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43"/>
          <w:szCs w:val="43"/>
          <w:color w:val="auto"/>
          <w:vertAlign w:val="subscript"/>
        </w:rPr>
        <w:t>–</w:t>
      </w:r>
      <w:r>
        <w:rPr>
          <w:rFonts w:ascii="Arial" w:cs="Arial" w:eastAsia="Arial" w:hAnsi="Arial"/>
          <w:sz w:val="16"/>
          <w:szCs w:val="16"/>
          <w:b w:val="1"/>
          <w:bCs w:val="1"/>
          <w:color w:val="auto"/>
        </w:rPr>
        <w:t xml:space="preserve">  Internet </w:t>
      </w:r>
      <w:r>
        <w:rPr>
          <w:rFonts w:ascii="Arial" w:cs="Arial" w:eastAsia="Arial" w:hAnsi="Arial"/>
          <w:sz w:val="16"/>
          <w:szCs w:val="16"/>
          <w:color w:val="auto"/>
        </w:rPr>
        <w:t>– Go to</w:t>
      </w:r>
      <w:r>
        <w:rPr>
          <w:rFonts w:ascii="Arial" w:cs="Arial" w:eastAsia="Arial" w:hAnsi="Arial"/>
          <w:sz w:val="16"/>
          <w:szCs w:val="16"/>
          <w:b w:val="1"/>
          <w:bCs w:val="1"/>
          <w:color w:val="auto"/>
        </w:rPr>
        <w:t xml:space="preserve"> www.envisionreports.com/BRBR</w:t>
      </w:r>
      <w:r>
        <w:rPr>
          <w:rFonts w:ascii="Arial" w:cs="Arial" w:eastAsia="Arial" w:hAnsi="Arial"/>
          <w:sz w:val="16"/>
          <w:szCs w:val="16"/>
          <w:color w:val="auto"/>
        </w:rPr>
        <w:t>. Click Cast Your Vote or Request Materials.</w:t>
      </w:r>
    </w:p>
    <w:p>
      <w:pPr>
        <w:spacing w:after="0" w:line="49" w:lineRule="exact"/>
        <w:rPr>
          <w:sz w:val="20"/>
          <w:szCs w:val="20"/>
          <w:color w:val="auto"/>
        </w:rPr>
      </w:pPr>
    </w:p>
    <w:p>
      <w:pPr>
        <w:ind w:left="1660"/>
        <w:spacing w:after="0" w:line="208" w:lineRule="auto"/>
        <w:rPr>
          <w:sz w:val="20"/>
          <w:szCs w:val="20"/>
          <w:color w:val="auto"/>
        </w:rPr>
      </w:pPr>
      <w:r>
        <w:rPr>
          <w:rFonts w:ascii="Times New Roman" w:cs="Times New Roman" w:eastAsia="Times New Roman" w:hAnsi="Times New Roman"/>
          <w:sz w:val="43"/>
          <w:szCs w:val="43"/>
          <w:color w:val="auto"/>
          <w:vertAlign w:val="subscript"/>
        </w:rPr>
        <w:t>–</w:t>
      </w:r>
      <w:r>
        <w:rPr>
          <w:rFonts w:ascii="Arial" w:cs="Arial" w:eastAsia="Arial" w:hAnsi="Arial"/>
          <w:sz w:val="16"/>
          <w:szCs w:val="16"/>
          <w:color w:val="auto"/>
        </w:rPr>
        <w:t xml:space="preserve">  P</w:t>
      </w:r>
      <w:r>
        <w:rPr>
          <w:rFonts w:ascii="Arial" w:cs="Arial" w:eastAsia="Arial" w:hAnsi="Arial"/>
          <w:sz w:val="16"/>
          <w:szCs w:val="16"/>
          <w:b w:val="1"/>
          <w:bCs w:val="1"/>
          <w:color w:val="auto"/>
        </w:rPr>
        <w:t>hone</w:t>
      </w:r>
      <w:r>
        <w:rPr>
          <w:rFonts w:ascii="Arial" w:cs="Arial" w:eastAsia="Arial" w:hAnsi="Arial"/>
          <w:sz w:val="16"/>
          <w:szCs w:val="16"/>
          <w:color w:val="auto"/>
        </w:rPr>
        <w:t xml:space="preserve"> – Call us free of charge at 1-866-641-4276.</w:t>
      </w:r>
    </w:p>
    <w:p>
      <w:pPr>
        <w:spacing w:after="0" w:line="2" w:lineRule="exact"/>
        <w:rPr>
          <w:sz w:val="20"/>
          <w:szCs w:val="20"/>
          <w:color w:val="auto"/>
        </w:rPr>
      </w:pPr>
    </w:p>
    <w:p>
      <w:pPr>
        <w:ind w:left="1980" w:right="460" w:hanging="311"/>
        <w:spacing w:after="0" w:line="209" w:lineRule="auto"/>
        <w:rPr>
          <w:sz w:val="20"/>
          <w:szCs w:val="20"/>
          <w:color w:val="auto"/>
        </w:rPr>
      </w:pPr>
      <w:r>
        <w:rPr>
          <w:rFonts w:ascii="Times New Roman" w:cs="Times New Roman" w:eastAsia="Times New Roman" w:hAnsi="Times New Roman"/>
          <w:sz w:val="43"/>
          <w:szCs w:val="43"/>
          <w:color w:val="auto"/>
          <w:vertAlign w:val="subscript"/>
        </w:rPr>
        <w:t>–</w:t>
      </w:r>
      <w:r>
        <w:rPr>
          <w:rFonts w:ascii="Arial" w:cs="Arial" w:eastAsia="Arial" w:hAnsi="Arial"/>
          <w:sz w:val="16"/>
          <w:szCs w:val="16"/>
          <w:b w:val="1"/>
          <w:bCs w:val="1"/>
          <w:color w:val="auto"/>
        </w:rPr>
        <w:t xml:space="preserve"> Email </w:t>
      </w:r>
      <w:r>
        <w:rPr>
          <w:rFonts w:ascii="Arial" w:cs="Arial" w:eastAsia="Arial" w:hAnsi="Arial"/>
          <w:sz w:val="16"/>
          <w:szCs w:val="16"/>
          <w:color w:val="auto"/>
        </w:rPr>
        <w:t>– Send an email to investorvote@computershare.com with “Proxy Materials BellRing Brands, Inc.” in the subject line.</w:t>
      </w:r>
      <w:r>
        <w:rPr>
          <w:rFonts w:ascii="Arial" w:cs="Arial" w:eastAsia="Arial" w:hAnsi="Arial"/>
          <w:sz w:val="16"/>
          <w:szCs w:val="16"/>
          <w:b w:val="1"/>
          <w:bCs w:val="1"/>
          <w:color w:val="auto"/>
        </w:rPr>
        <w:t xml:space="preserve"> </w:t>
      </w:r>
      <w:r>
        <w:rPr>
          <w:rFonts w:ascii="Arial" w:cs="Arial" w:eastAsia="Arial" w:hAnsi="Arial"/>
          <w:sz w:val="16"/>
          <w:szCs w:val="16"/>
          <w:color w:val="auto"/>
        </w:rPr>
        <w:t>Include your full name and address, plus the number located in the shaded bar on the reverse side, and state that you want a paper copy of the meeting materials.</w:t>
      </w:r>
    </w:p>
    <w:p>
      <w:pPr>
        <w:spacing w:after="0" w:line="257"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To facilitate timely delivery, all requests for a paper copy of the proxy materials must be received by February 25, 2020.</w:t>
      </w:r>
    </w:p>
    <w:sectPr>
      <w:pgSz w:w="11900" w:h="16838" w:orient="portrait"/>
      <w:cols w:equalWidth="0" w:num="1">
        <w:col w:w="11400"/>
      </w:cols>
      <w:pgMar w:left="240" w:top="113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2020-01-24T17:09:08Z</dcterms:created>
  <dcterms:modified xsi:type="dcterms:W3CDTF">2020-01-24T17:09:08Z</dcterms:modified>
</cp:coreProperties>
</file>