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CORNILLE DOUGLAS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BELLRING BRANDS,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2503 S. HANLEY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BELLRING BRANDS,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BRBR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11/11/2022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825"/>
        <w:spacing w:after="0"/>
        <w:rPr>
          <w:sz w:val="20"/>
          <w:szCs w:val="20"/>
          <w:color w:val="auto"/>
        </w:rPr>
      </w:pPr>
      <w:r>
        <w:rPr>
          <w:rFonts w:ascii="Times New Roman" w:cs="Times New Roman" w:eastAsia="Times New Roman" w:hAnsi="Times New Roman"/>
          <w:sz w:val="17"/>
          <w:szCs w:val="17"/>
          <w:color w:val="0000FF"/>
        </w:rPr>
        <w:t>Chief Growth Officer</w:t>
      </w:r>
    </w:p>
    <w:p>
      <w:pPr>
        <w:spacing w:after="0" w:line="408" w:lineRule="exact"/>
        <w:rPr>
          <w:sz w:val="24"/>
          <w:szCs w:val="24"/>
          <w:color w:val="auto"/>
        </w:rPr>
      </w:pPr>
    </w:p>
    <w:p>
      <w:pPr>
        <w:sectPr>
          <w:pgSz w:w="11900" w:h="16838" w:orient="portrait"/>
          <w:cols w:equalWidth="0" w:num="3">
            <w:col w:w="3200" w:space="720"/>
            <w:col w:w="3260" w:space="55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15"/>
                <w:szCs w:val="15"/>
                <w:color w:val="auto"/>
              </w:rPr>
            </w:pPr>
          </w:p>
        </w:tc>
        <w:tc>
          <w:tcPr>
            <w:tcW w:w="3540" w:type="dxa"/>
            <w:vAlign w:val="bottom"/>
            <w:gridSpan w:val="9"/>
          </w:tcPr>
          <w:p>
            <w:pPr>
              <w:ind w:left="2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gridSpan w:val="3"/>
          </w:tcPr>
          <w:p>
            <w:pPr>
              <w:ind w:left="20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ST. LOUIS</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MO</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63144</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11/11/2022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1,633</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25.31</w:t>
            </w:r>
          </w:p>
        </w:tc>
        <w:tc>
          <w:tcPr>
            <w:tcW w:w="12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45,379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11/12/2022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3,820</w:t>
            </w:r>
            <w:r>
              <w:rPr>
                <w:rFonts w:ascii="Times New Roman" w:cs="Times New Roman" w:eastAsia="Times New Roman" w:hAnsi="Times New Roman"/>
                <w:sz w:val="22"/>
                <w:szCs w:val="22"/>
                <w:color w:val="008000"/>
                <w:vertAlign w:val="superscript"/>
              </w:rPr>
              <w:t>(2)</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25.31</w:t>
            </w:r>
          </w:p>
        </w:tc>
        <w:tc>
          <w:tcPr>
            <w:tcW w:w="1200" w:type="dxa"/>
            <w:vAlign w:val="bottom"/>
            <w:tcBorders>
              <w:bottom w:val="single" w:sz="8" w:color="2C2C2C"/>
            </w:tcBorders>
            <w:gridSpan w:val="2"/>
          </w:tcPr>
          <w:p>
            <w:pPr>
              <w:jc w:val="center"/>
              <w:ind w:right="240"/>
              <w:spacing w:after="0"/>
              <w:rPr>
                <w:sz w:val="20"/>
                <w:szCs w:val="20"/>
                <w:color w:val="auto"/>
              </w:rPr>
            </w:pPr>
            <w:r>
              <w:rPr>
                <w:rFonts w:ascii="Times New Roman" w:cs="Times New Roman" w:eastAsia="Times New Roman" w:hAnsi="Times New Roman"/>
                <w:sz w:val="17"/>
                <w:szCs w:val="17"/>
                <w:color w:val="0000FF"/>
              </w:rPr>
              <w:t>45,283</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Surrender of shares in payment of tax withholding due as a result of the vesting of 3,292 restricted stock units ("RSUs") in accordance with Rule 16b-3.</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Surrender of shares in payment of tax withholding due as a result of the vesting of 7,704 RSUs in accordance with Rule 16b-3.</w:t>
      </w:r>
    </w:p>
    <w:p>
      <w:pPr>
        <w:spacing w:after="0" w:line="50" w:lineRule="exact"/>
        <w:rPr>
          <w:rFonts w:ascii="Times New Roman" w:cs="Times New Roman" w:eastAsia="Times New Roman" w:hAnsi="Times New Roman"/>
          <w:sz w:val="13"/>
          <w:szCs w:val="13"/>
          <w:color w:val="008000"/>
        </w:rPr>
      </w:pPr>
    </w:p>
    <w:p>
      <w:pPr>
        <w:ind w:left="40" w:right="180" w:firstLine="7"/>
        <w:spacing w:after="0" w:line="244"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transactions under the transaction agreement and plan of merger entered into on October 26, 2021, as amended on February 28, 2022, whereby BellRing Intermediate Holdings, Inc. (formerly known as BellRing Brands, Inc.) ("Old BellRing") merged with a subsidiary of Issuer and each outstanding share of Old BellRing Class A common stock was converted into one share of Issuer common stock and $2.97 in cash (the "Cash Consideration" and such transactions the "Transactions"), awards under the Old BellRing 2019 Long-Term Incentive Plan were adjusted to account for the Cash Consideration paid to holders of Old Bell Ring common stock in the Transactions. The amount of securities beneficially owned following the reported transaction includes 3,724 additional RSUs received in connection with such adjustment, which RSUs are subject to the same vesting terms as the underlying awards.</w:t>
      </w:r>
    </w:p>
    <w:p>
      <w:pPr>
        <w:spacing w:after="0" w:line="2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Craig L. Rosenthal,</w:t>
            </w:r>
          </w:p>
        </w:tc>
        <w:tc>
          <w:tcPr>
            <w:tcW w:w="5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11/15/2022</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90179" TargetMode="External"/><Relationship Id="rId13" Type="http://schemas.openxmlformats.org/officeDocument/2006/relationships/hyperlink" Target="http://www.sec.gov/cgi-bin/browse-edgar?action=getcompany&amp;CIK=00017720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2022-11-15T15:48:26Z</dcterms:created>
  <dcterms:modified xsi:type="dcterms:W3CDTF">2022-11-15T15:48:26Z</dcterms:modified>
</cp:coreProperties>
</file>