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370840</wp:posOffset>
            </wp:positionH>
            <wp:positionV relativeFrom="page">
              <wp:posOffset>852170</wp:posOffset>
            </wp:positionV>
            <wp:extent cx="60947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94730" cy="8255"/>
                    </a:xfrm>
                    <a:prstGeom prst="rect">
                      <a:avLst/>
                    </a:prstGeom>
                    <a:noFill/>
                  </pic:spPr>
                </pic:pic>
              </a:graphicData>
            </a:graphic>
          </wp:anchor>
        </w:drawing>
        <w:drawing>
          <wp:anchor simplePos="0" relativeHeight="251657728" behindDoc="1" locked="0" layoutInCell="0" allowOverlap="1">
            <wp:simplePos x="0" y="0"/>
            <wp:positionH relativeFrom="page">
              <wp:posOffset>370840</wp:posOffset>
            </wp:positionH>
            <wp:positionV relativeFrom="page">
              <wp:posOffset>877570</wp:posOffset>
            </wp:positionV>
            <wp:extent cx="60947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94730" cy="8890"/>
                    </a:xfrm>
                    <a:prstGeom prst="rect">
                      <a:avLst/>
                    </a:prstGeom>
                    <a:noFill/>
                  </pic:spPr>
                </pic:pic>
              </a:graphicData>
            </a:graphic>
          </wp:anchor>
        </w:drawing>
      </w: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22"/>
          <w:szCs w:val="22"/>
          <w:color w:val="auto"/>
        </w:rPr>
        <w:t>______________________</w:t>
      </w:r>
    </w:p>
    <w:p>
      <w:pPr>
        <w:spacing w:after="0" w:line="6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1"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4"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6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Date of Report (Date of earliest event reported): June 24,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120015</wp:posOffset>
            </wp:positionV>
            <wp:extent cx="1499870" cy="788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9870" cy="7886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6"/>
          <w:szCs w:val="36"/>
          <w:b w:val="1"/>
          <w:bCs w:val="1"/>
          <w:color w:val="auto"/>
        </w:rPr>
        <w:t>BellRing Brands, Inc.</w:t>
      </w:r>
    </w:p>
    <w:p>
      <w:pPr>
        <w:spacing w:after="0" w:line="152" w:lineRule="exact"/>
        <w:rPr>
          <w:sz w:val="24"/>
          <w:szCs w:val="24"/>
          <w:color w:val="auto"/>
        </w:rPr>
      </w:pPr>
    </w:p>
    <w:tbl>
      <w:tblPr>
        <w:tblLayout w:type="fixed"/>
        <w:tblInd w:w="740" w:type="dxa"/>
        <w:tblCellMar>
          <w:top w:w="0" w:type="dxa"/>
          <w:left w:w="0" w:type="dxa"/>
          <w:bottom w:w="0" w:type="dxa"/>
          <w:right w:w="0" w:type="dxa"/>
        </w:tblCellMar>
      </w:tblPr>
      <w:tr>
        <w:trPr>
          <w:trHeight w:val="234"/>
        </w:trPr>
        <w:tc>
          <w:tcPr>
            <w:tcW w:w="6840" w:type="dxa"/>
            <w:vAlign w:val="bottom"/>
            <w:gridSpan w:val="3"/>
          </w:tcPr>
          <w:p>
            <w:pPr>
              <w:jc w:val="center"/>
              <w:ind w:left="2826"/>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580" w:type="dxa"/>
            <w:vAlign w:val="bottom"/>
          </w:tcPr>
          <w:p>
            <w:pPr>
              <w:spacing w:after="0"/>
              <w:rPr>
                <w:sz w:val="20"/>
                <w:szCs w:val="20"/>
                <w:color w:val="auto"/>
              </w:rPr>
            </w:pPr>
          </w:p>
        </w:tc>
      </w:tr>
      <w:tr>
        <w:trPr>
          <w:trHeight w:val="276"/>
        </w:trPr>
        <w:tc>
          <w:tcPr>
            <w:tcW w:w="3460" w:type="dxa"/>
            <w:vAlign w:val="bottom"/>
          </w:tcPr>
          <w:p>
            <w:pPr>
              <w:jc w:val="center"/>
              <w:ind w:right="206"/>
              <w:spacing w:after="0"/>
              <w:rPr>
                <w:sz w:val="20"/>
                <w:szCs w:val="20"/>
                <w:color w:val="auto"/>
              </w:rPr>
            </w:pPr>
            <w:r>
              <w:rPr>
                <w:rFonts w:ascii="Times New Roman" w:cs="Times New Roman" w:eastAsia="Times New Roman" w:hAnsi="Times New Roman"/>
                <w:sz w:val="20"/>
                <w:szCs w:val="20"/>
                <w:b w:val="1"/>
                <w:bCs w:val="1"/>
                <w:color w:val="auto"/>
                <w:w w:val="98"/>
              </w:rPr>
              <w:t>Delaware</w:t>
            </w:r>
          </w:p>
        </w:tc>
        <w:tc>
          <w:tcPr>
            <w:tcW w:w="1880" w:type="dxa"/>
            <w:vAlign w:val="bottom"/>
          </w:tcPr>
          <w:p>
            <w:pPr>
              <w:jc w:val="center"/>
              <w:ind w:left="844"/>
              <w:spacing w:after="0"/>
              <w:rPr>
                <w:sz w:val="20"/>
                <w:szCs w:val="20"/>
                <w:color w:val="auto"/>
              </w:rPr>
            </w:pPr>
            <w:r>
              <w:rPr>
                <w:rFonts w:ascii="Times New Roman" w:cs="Times New Roman" w:eastAsia="Times New Roman" w:hAnsi="Times New Roman"/>
                <w:sz w:val="20"/>
                <w:szCs w:val="20"/>
                <w:b w:val="1"/>
                <w:bCs w:val="1"/>
                <w:color w:val="auto"/>
                <w:w w:val="99"/>
              </w:rPr>
              <w:t>001-39093</w:t>
            </w:r>
          </w:p>
        </w:tc>
        <w:tc>
          <w:tcPr>
            <w:tcW w:w="1500" w:type="dxa"/>
            <w:vAlign w:val="bottom"/>
          </w:tcPr>
          <w:p>
            <w:pPr>
              <w:spacing w:after="0"/>
              <w:rPr>
                <w:sz w:val="24"/>
                <w:szCs w:val="24"/>
                <w:color w:val="auto"/>
              </w:rPr>
            </w:pPr>
          </w:p>
        </w:tc>
        <w:tc>
          <w:tcPr>
            <w:tcW w:w="2580" w:type="dxa"/>
            <w:vAlign w:val="bottom"/>
          </w:tcPr>
          <w:p>
            <w:pPr>
              <w:jc w:val="right"/>
              <w:ind w:right="686"/>
              <w:spacing w:after="0"/>
              <w:rPr>
                <w:sz w:val="20"/>
                <w:szCs w:val="20"/>
                <w:color w:val="auto"/>
              </w:rPr>
            </w:pPr>
            <w:r>
              <w:rPr>
                <w:rFonts w:ascii="Times New Roman" w:cs="Times New Roman" w:eastAsia="Times New Roman" w:hAnsi="Times New Roman"/>
                <w:sz w:val="20"/>
                <w:szCs w:val="20"/>
                <w:b w:val="1"/>
                <w:bCs w:val="1"/>
                <w:color w:val="auto"/>
              </w:rPr>
              <w:t>87-3296749</w:t>
            </w:r>
          </w:p>
        </w:tc>
      </w:tr>
      <w:tr>
        <w:trPr>
          <w:trHeight w:val="237"/>
        </w:trPr>
        <w:tc>
          <w:tcPr>
            <w:tcW w:w="3460" w:type="dxa"/>
            <w:vAlign w:val="bottom"/>
          </w:tcPr>
          <w:p>
            <w:pPr>
              <w:jc w:val="center"/>
              <w:ind w:right="206"/>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380" w:type="dxa"/>
            <w:vAlign w:val="bottom"/>
            <w:gridSpan w:val="2"/>
          </w:tcPr>
          <w:p>
            <w:pPr>
              <w:jc w:val="center"/>
              <w:ind w:right="461"/>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580" w:type="dxa"/>
            <w:vAlign w:val="bottom"/>
          </w:tcPr>
          <w:p>
            <w:pPr>
              <w:jc w:val="center"/>
              <w:ind w:left="6"/>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586"/>
        </w:trPr>
        <w:tc>
          <w:tcPr>
            <w:tcW w:w="3460" w:type="dxa"/>
            <w:vAlign w:val="bottom"/>
          </w:tcPr>
          <w:p>
            <w:pPr>
              <w:jc w:val="center"/>
              <w:ind w:right="186"/>
              <w:spacing w:after="0"/>
              <w:rPr>
                <w:sz w:val="20"/>
                <w:szCs w:val="20"/>
                <w:color w:val="auto"/>
              </w:rPr>
            </w:pPr>
            <w:r>
              <w:rPr>
                <w:rFonts w:ascii="Times New Roman" w:cs="Times New Roman" w:eastAsia="Times New Roman" w:hAnsi="Times New Roman"/>
                <w:sz w:val="20"/>
                <w:szCs w:val="20"/>
                <w:b w:val="1"/>
                <w:bCs w:val="1"/>
                <w:color w:val="auto"/>
                <w:w w:val="98"/>
              </w:rPr>
              <w:t>1 N Brentwood Blvd., Suite 1550</w:t>
            </w:r>
          </w:p>
        </w:tc>
        <w:tc>
          <w:tcPr>
            <w:tcW w:w="1880" w:type="dxa"/>
            <w:vAlign w:val="bottom"/>
          </w:tcPr>
          <w:p>
            <w:pPr>
              <w:ind w:left="280"/>
              <w:spacing w:after="0"/>
              <w:rPr>
                <w:sz w:val="20"/>
                <w:szCs w:val="20"/>
                <w:color w:val="auto"/>
              </w:rPr>
            </w:pPr>
            <w:r>
              <w:rPr>
                <w:rFonts w:ascii="Times New Roman" w:cs="Times New Roman" w:eastAsia="Times New Roman" w:hAnsi="Times New Roman"/>
                <w:sz w:val="20"/>
                <w:szCs w:val="20"/>
                <w:b w:val="1"/>
                <w:bCs w:val="1"/>
                <w:color w:val="auto"/>
              </w:rPr>
              <w:t>St. Louis</w:t>
            </w:r>
          </w:p>
        </w:tc>
        <w:tc>
          <w:tcPr>
            <w:tcW w:w="150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Missouri</w:t>
            </w:r>
          </w:p>
        </w:tc>
        <w:tc>
          <w:tcPr>
            <w:tcW w:w="2580" w:type="dxa"/>
            <w:vAlign w:val="bottom"/>
          </w:tcPr>
          <w:p>
            <w:pPr>
              <w:jc w:val="right"/>
              <w:ind w:right="906"/>
              <w:spacing w:after="0"/>
              <w:rPr>
                <w:sz w:val="20"/>
                <w:szCs w:val="20"/>
                <w:color w:val="auto"/>
              </w:rPr>
            </w:pPr>
            <w:r>
              <w:rPr>
                <w:rFonts w:ascii="Times New Roman" w:cs="Times New Roman" w:eastAsia="Times New Roman" w:hAnsi="Times New Roman"/>
                <w:sz w:val="20"/>
                <w:szCs w:val="20"/>
                <w:b w:val="1"/>
                <w:bCs w:val="1"/>
                <w:color w:val="auto"/>
              </w:rPr>
              <w:t>63105</w:t>
            </w:r>
          </w:p>
        </w:tc>
      </w:tr>
      <w:tr>
        <w:trPr>
          <w:trHeight w:val="237"/>
        </w:trPr>
        <w:tc>
          <w:tcPr>
            <w:tcW w:w="534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500" w:type="dxa"/>
            <w:vAlign w:val="bottom"/>
          </w:tcPr>
          <w:p>
            <w:pPr>
              <w:spacing w:after="0"/>
              <w:rPr>
                <w:sz w:val="20"/>
                <w:szCs w:val="20"/>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8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9"/>
          <w:szCs w:val="19"/>
          <w:b w:val="1"/>
          <w:bCs w:val="1"/>
          <w:color w:val="auto"/>
        </w:rPr>
        <w:t>(314) 644-7652</w:t>
      </w:r>
    </w:p>
    <w:p>
      <w:pPr>
        <w:spacing w:after="0" w:line="195"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680" w:hanging="348"/>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700" w:hanging="368"/>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700" w:hanging="368"/>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700" w:hanging="368"/>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6" w:lineRule="exact"/>
        <w:rPr>
          <w:sz w:val="24"/>
          <w:szCs w:val="24"/>
          <w:color w:val="auto"/>
        </w:rPr>
      </w:pPr>
    </w:p>
    <w:tbl>
      <w:tblPr>
        <w:tblLayout w:type="fixed"/>
        <w:tblInd w:w="240" w:type="dxa"/>
        <w:tblCellMar>
          <w:top w:w="0" w:type="dxa"/>
          <w:left w:w="0" w:type="dxa"/>
          <w:bottom w:w="0" w:type="dxa"/>
          <w:right w:w="0" w:type="dxa"/>
        </w:tblCellMar>
      </w:tblPr>
      <w:tr>
        <w:trPr>
          <w:trHeight w:val="207"/>
        </w:trPr>
        <w:tc>
          <w:tcPr>
            <w:tcW w:w="960" w:type="dxa"/>
            <w:vAlign w:val="bottom"/>
          </w:tcPr>
          <w:p>
            <w:pPr>
              <w:spacing w:after="0"/>
              <w:rPr>
                <w:sz w:val="18"/>
                <w:szCs w:val="18"/>
                <w:color w:val="auto"/>
              </w:rPr>
            </w:pPr>
          </w:p>
        </w:tc>
        <w:tc>
          <w:tcPr>
            <w:tcW w:w="2640" w:type="dxa"/>
            <w:vAlign w:val="bottom"/>
            <w:gridSpan w:val="2"/>
          </w:tcPr>
          <w:p>
            <w:pPr>
              <w:jc w:val="center"/>
              <w:ind w:right="134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6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58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9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50"/>
        </w:trPr>
        <w:tc>
          <w:tcPr>
            <w:tcW w:w="360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Common Stock, $0.01 par value per share</w:t>
            </w:r>
          </w:p>
        </w:tc>
        <w:tc>
          <w:tcPr>
            <w:tcW w:w="380" w:type="dxa"/>
            <w:vAlign w:val="bottom"/>
          </w:tcPr>
          <w:p>
            <w:pPr>
              <w:spacing w:after="0"/>
              <w:rPr>
                <w:sz w:val="21"/>
                <w:szCs w:val="21"/>
                <w:color w:val="auto"/>
              </w:rPr>
            </w:pPr>
          </w:p>
        </w:tc>
        <w:tc>
          <w:tcPr>
            <w:tcW w:w="17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BRBR</w:t>
            </w:r>
          </w:p>
        </w:tc>
        <w:tc>
          <w:tcPr>
            <w:tcW w:w="400" w:type="dxa"/>
            <w:vAlign w:val="bottom"/>
          </w:tcPr>
          <w:p>
            <w:pPr>
              <w:spacing w:after="0"/>
              <w:rPr>
                <w:sz w:val="21"/>
                <w:szCs w:val="21"/>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171"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1153160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213995</wp:posOffset>
            </wp:positionV>
            <wp:extent cx="60261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26150"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240030</wp:posOffset>
            </wp:positionV>
            <wp:extent cx="60261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26150" cy="8890"/>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1" w:name="page2"/>
    <w:bookmarkEnd w:id="1"/>
    <w:p>
      <w:pPr>
        <w:spacing w:after="0" w:line="230" w:lineRule="exact"/>
        <w:rPr>
          <w:sz w:val="20"/>
          <w:szCs w:val="20"/>
          <w:color w:val="auto"/>
        </w:rPr>
      </w:pPr>
    </w:p>
    <w:p>
      <w:pPr>
        <w:ind w:right="80"/>
        <w:spacing w:after="0" w:line="302"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72"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7"/>
          <w:szCs w:val="17"/>
          <w:color w:val="auto"/>
        </w:rPr>
        <w:t>On June 24, 2026, in connection with the workforce realignment described under Item 8.01 below, BellRing Brands, Inc. (the “Company”) announced that Douglas J. Cornille will step down from his role as the Company’s Chief Growth Officer, effective as of June 24, 2026, and depart the Company effective</w:t>
      </w:r>
    </w:p>
    <w:p>
      <w:pPr>
        <w:spacing w:after="0" w:line="1" w:lineRule="exact"/>
        <w:rPr>
          <w:sz w:val="20"/>
          <w:szCs w:val="20"/>
          <w:color w:val="auto"/>
        </w:rPr>
      </w:pPr>
    </w:p>
    <w:p>
      <w:pPr>
        <w:ind w:right="360"/>
        <w:spacing w:after="0" w:line="250" w:lineRule="auto"/>
        <w:rPr>
          <w:sz w:val="20"/>
          <w:szCs w:val="20"/>
          <w:color w:val="auto"/>
        </w:rPr>
      </w:pPr>
      <w:r>
        <w:rPr>
          <w:rFonts w:ascii="Times New Roman" w:cs="Times New Roman" w:eastAsia="Times New Roman" w:hAnsi="Times New Roman"/>
          <w:sz w:val="18"/>
          <w:szCs w:val="18"/>
          <w:color w:val="auto"/>
        </w:rPr>
        <w:t xml:space="preserve">as of September 1, 2026. Mr. Cornille will receive benefits he is entitled to in connection with a termination of employment without “cause” under the </w:t>
      </w:r>
      <w:r>
        <w:rPr>
          <w:rFonts w:ascii="Times New Roman" w:cs="Times New Roman" w:eastAsia="Times New Roman" w:hAnsi="Times New Roman"/>
          <w:sz w:val="18"/>
          <w:szCs w:val="18"/>
          <w:color w:val="212529"/>
        </w:rPr>
        <w:t>BellRing Brands, Inc. 2019 Long-Term Incentive Plan (the “LTIP”) and underlying award agreements thereunder and the Company’s Severance and</w:t>
      </w:r>
    </w:p>
    <w:p>
      <w:pPr>
        <w:spacing w:after="0" w:line="1" w:lineRule="exact"/>
        <w:rPr>
          <w:sz w:val="20"/>
          <w:szCs w:val="20"/>
          <w:color w:val="auto"/>
        </w:rPr>
      </w:pPr>
    </w:p>
    <w:p>
      <w:pPr>
        <w:jc w:val="both"/>
        <w:ind w:right="200"/>
        <w:spacing w:after="0" w:line="250" w:lineRule="auto"/>
        <w:rPr>
          <w:sz w:val="20"/>
          <w:szCs w:val="20"/>
          <w:color w:val="auto"/>
        </w:rPr>
      </w:pPr>
      <w:r>
        <w:rPr>
          <w:rFonts w:ascii="Times New Roman" w:cs="Times New Roman" w:eastAsia="Times New Roman" w:hAnsi="Times New Roman"/>
          <w:sz w:val="18"/>
          <w:szCs w:val="18"/>
          <w:color w:val="212529"/>
        </w:rPr>
        <w:t>Change in Control Agreement with Mr. Cornille (the “Severance Agreement”). The terms of the LTIP and Severance Agreement, and the payments and benefits Mr. Cornille is entitled to receive thereunder, are described in the Company’s Definitive Proxy Statement filed with the Securities and Exchange Commission on December 16, 2025</w:t>
      </w:r>
      <w:r>
        <w:rPr>
          <w:rFonts w:ascii="Times New Roman" w:cs="Times New Roman" w:eastAsia="Times New Roman" w:hAnsi="Times New Roman"/>
          <w:sz w:val="18"/>
          <w:szCs w:val="18"/>
          <w:color w:val="000000"/>
        </w:rPr>
        <w:t>.</w:t>
      </w:r>
    </w:p>
    <w:p>
      <w:pPr>
        <w:spacing w:after="0" w:line="21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43" w:lineRule="exact"/>
        <w:rPr>
          <w:sz w:val="20"/>
          <w:szCs w:val="20"/>
          <w:color w:val="auto"/>
        </w:rPr>
      </w:pPr>
    </w:p>
    <w:p>
      <w:pPr>
        <w:ind w:right="560"/>
        <w:spacing w:after="0" w:line="266" w:lineRule="auto"/>
        <w:rPr>
          <w:sz w:val="20"/>
          <w:szCs w:val="20"/>
          <w:color w:val="auto"/>
        </w:rPr>
      </w:pPr>
      <w:r>
        <w:rPr>
          <w:rFonts w:ascii="Times New Roman" w:cs="Times New Roman" w:eastAsia="Times New Roman" w:hAnsi="Times New Roman"/>
          <w:sz w:val="18"/>
          <w:szCs w:val="18"/>
          <w:color w:val="auto"/>
        </w:rPr>
        <w:t>On June 24, 2026, the Company approved, as part of its ongoing efforts to further streamline operations, workforce realignment actions designed to optimize and support the Company’s financial and operational efficiency.</w:t>
      </w:r>
    </w:p>
    <w:p>
      <w:pPr>
        <w:spacing w:after="0" w:line="189" w:lineRule="exact"/>
        <w:rPr>
          <w:sz w:val="20"/>
          <w:szCs w:val="20"/>
          <w:color w:val="auto"/>
        </w:rPr>
      </w:pPr>
    </w:p>
    <w:p>
      <w:pPr>
        <w:ind w:right="400"/>
        <w:spacing w:after="0" w:line="250" w:lineRule="auto"/>
        <w:rPr>
          <w:sz w:val="20"/>
          <w:szCs w:val="20"/>
          <w:color w:val="auto"/>
        </w:rPr>
      </w:pPr>
      <w:r>
        <w:rPr>
          <w:rFonts w:ascii="Times New Roman" w:cs="Times New Roman" w:eastAsia="Times New Roman" w:hAnsi="Times New Roman"/>
          <w:sz w:val="18"/>
          <w:szCs w:val="18"/>
          <w:color w:val="auto"/>
        </w:rPr>
        <w:t>The Company expects that such workforce realignment efforts, once completed, will result in annualized run-rate operating expense savings of approximately $10 to $12 million before taxes, of which approximately $3 million consists of non-cash stock compensation. The Company expects to begin realizing these savings in the fourth quarter of the Company’s fiscal 2026 with the majority expected in fiscal 2027.</w:t>
      </w:r>
    </w:p>
    <w:p>
      <w:pPr>
        <w:spacing w:after="0" w:line="204" w:lineRule="exact"/>
        <w:rPr>
          <w:sz w:val="20"/>
          <w:szCs w:val="20"/>
          <w:color w:val="auto"/>
        </w:rPr>
      </w:pPr>
    </w:p>
    <w:p>
      <w:pPr>
        <w:ind w:right="400"/>
        <w:spacing w:after="0" w:line="250" w:lineRule="auto"/>
        <w:rPr>
          <w:sz w:val="20"/>
          <w:szCs w:val="20"/>
          <w:color w:val="auto"/>
        </w:rPr>
      </w:pPr>
      <w:r>
        <w:rPr>
          <w:rFonts w:ascii="Times New Roman" w:cs="Times New Roman" w:eastAsia="Times New Roman" w:hAnsi="Times New Roman"/>
          <w:sz w:val="18"/>
          <w:szCs w:val="18"/>
          <w:color w:val="auto"/>
        </w:rPr>
        <w:t>The Company estimates that it will incur one-time workforce realignment charges of approximately $6 million, primarily consisting of future cash expenditures for severance and related benefits. These costs are expected to be incurred primarily in the third quarter of fiscal 2026, and the Company expects that the related actions will be substantially complete by the end of the third quarter of fiscal 2026.</w:t>
      </w:r>
    </w:p>
    <w:p>
      <w:pPr>
        <w:spacing w:after="0" w:line="190"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auto"/>
        </w:rPr>
        <w:t>The estimate of costs that the Company expects to incur and savings that the Company expects to achieve, and the timing thereof, are subject to a number of assumptions and actual results may differ from current expectations. The Company may also incur charges and expenditures not currently contemplated due to unanticipated events that may occur in connection with the foregoing. The Company may revise its estimates, as appropriate, consistent with U.S. generally accepted accounting principles (“GAAP”).</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Forward-Looking Statements</w:t>
      </w:r>
    </w:p>
    <w:p>
      <w:pPr>
        <w:spacing w:after="0" w:line="24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Such forward-looking statements often contain words such as “aim,” “anticipate,” “believe,” “could,” “estimate,” “expect,” “forecast,” “intend,” “may,” “objectives,” “opportunity,” “plan,” “position,” “predict,” “project,” “should,” “seek,” “target,” “will,” “would” and other similar words or expressions or the negative thereof or other variations thereon. All statements other than statements of historical fact, including without limitation statements concerning these actions and Company’s plans, objectives, goals, beliefs, business strategies, future events, business condition, results of operations, financial position, business outlook and business trends and other non-historical statements, are forward-looking statements. These statements do not guarantee future performance and speak only as of the date of this report. Except as required by law, the Company assumes no obligation to update or revise any forward-looking statements, whether as a result of new information, future events or otherwise. Actual outcomes or results may differ materially from those suggested by forward-looking statements as a result of risks and uncertainties, including risks affecting the timing and amount of workforce rebalancing charges and payments, and the risks and uncertainties described in the “Risk Factors” section of the Company’s most recent Annual Report on Form 10-K for the fiscal year ended September 30, 2025, and may be further updated from time to time in the Company’s subsequent filings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 w:name="page3"/>
    <w:bookmarkEnd w:id="2"/>
    <w:p>
      <w:pPr>
        <w:spacing w:after="0" w:line="2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Date: June 24, 2026</w:t>
            </w:r>
          </w:p>
        </w:tc>
        <w:tc>
          <w:tcPr>
            <w:tcW w:w="752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BellRing Brands, Inc.</w:t>
            </w:r>
          </w:p>
        </w:tc>
      </w:tr>
      <w:tr>
        <w:trPr>
          <w:trHeight w:val="338"/>
        </w:trPr>
        <w:tc>
          <w:tcPr>
            <w:tcW w:w="3480" w:type="dxa"/>
            <w:vAlign w:val="bottom"/>
          </w:tcPr>
          <w:p>
            <w:pPr>
              <w:spacing w:after="0"/>
              <w:rPr>
                <w:sz w:val="24"/>
                <w:szCs w:val="24"/>
                <w:color w:val="auto"/>
              </w:rPr>
            </w:pPr>
          </w:p>
        </w:tc>
        <w:tc>
          <w:tcPr>
            <w:tcW w:w="292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(Registrant)</w:t>
            </w:r>
          </w:p>
        </w:tc>
        <w:tc>
          <w:tcPr>
            <w:tcW w:w="4600" w:type="dxa"/>
            <w:vAlign w:val="bottom"/>
          </w:tcPr>
          <w:p>
            <w:pPr>
              <w:spacing w:after="0"/>
              <w:rPr>
                <w:sz w:val="24"/>
                <w:szCs w:val="24"/>
                <w:color w:val="auto"/>
              </w:rPr>
            </w:pPr>
          </w:p>
        </w:tc>
      </w:tr>
      <w:tr>
        <w:trPr>
          <w:trHeight w:val="675"/>
        </w:trPr>
        <w:tc>
          <w:tcPr>
            <w:tcW w:w="3480" w:type="dxa"/>
            <w:vAlign w:val="bottom"/>
          </w:tcPr>
          <w:p>
            <w:pPr>
              <w:spacing w:after="0"/>
              <w:rPr>
                <w:sz w:val="24"/>
                <w:szCs w:val="24"/>
                <w:color w:val="auto"/>
              </w:rPr>
            </w:pPr>
          </w:p>
        </w:tc>
        <w:tc>
          <w:tcPr>
            <w:tcW w:w="292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Craig L. Rosenthal</w:t>
            </w:r>
          </w:p>
        </w:tc>
      </w:tr>
      <w:tr>
        <w:trPr>
          <w:trHeight w:val="313"/>
        </w:trPr>
        <w:tc>
          <w:tcPr>
            <w:tcW w:w="3480" w:type="dxa"/>
            <w:vAlign w:val="bottom"/>
          </w:tcPr>
          <w:p>
            <w:pPr>
              <w:spacing w:after="0"/>
              <w:rPr>
                <w:sz w:val="24"/>
                <w:szCs w:val="24"/>
                <w:color w:val="auto"/>
              </w:rPr>
            </w:pPr>
          </w:p>
        </w:tc>
        <w:tc>
          <w:tcPr>
            <w:tcW w:w="292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Name:</w:t>
            </w: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Craig L. Rosenthal</w:t>
            </w:r>
          </w:p>
        </w:tc>
      </w:tr>
      <w:tr>
        <w:trPr>
          <w:trHeight w:val="234"/>
        </w:trPr>
        <w:tc>
          <w:tcPr>
            <w:tcW w:w="3480" w:type="dxa"/>
            <w:vAlign w:val="bottom"/>
          </w:tcPr>
          <w:p>
            <w:pPr>
              <w:spacing w:after="0"/>
              <w:rPr>
                <w:sz w:val="20"/>
                <w:szCs w:val="20"/>
                <w:color w:val="auto"/>
              </w:rPr>
            </w:pPr>
          </w:p>
        </w:tc>
        <w:tc>
          <w:tcPr>
            <w:tcW w:w="292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 and Corporate Secretary</w:t>
            </w:r>
          </w:p>
        </w:tc>
      </w:tr>
    </w:tbl>
    <w:p>
      <w:pPr>
        <w:spacing w:after="0" w:line="1" w:lineRule="exact"/>
        <w:rPr>
          <w:sz w:val="20"/>
          <w:szCs w:val="20"/>
          <w:color w:val="auto"/>
        </w:rPr>
      </w:pPr>
    </w:p>
    <w:sectPr>
      <w:pgSz w:w="11900" w:h="16838" w:orient="portrait"/>
      <w:cols w:equalWidth="0" w:num="1">
        <w:col w:w="11200"/>
      </w:cols>
      <w:pgMar w:left="32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2026-06-24T17:10:57Z</dcterms:created>
  <dcterms:modified xsi:type="dcterms:W3CDTF">2026-06-24T17:10:57Z</dcterms:modified>
</cp:coreProperties>
</file>