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CORNILLE DOUGLAS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365"/>
        <w:spacing w:after="0"/>
        <w:rPr>
          <w:sz w:val="20"/>
          <w:szCs w:val="20"/>
          <w:color w:val="auto"/>
        </w:rPr>
      </w:pPr>
      <w:r>
        <w:rPr>
          <w:rFonts w:ascii="Times New Roman" w:cs="Times New Roman" w:eastAsia="Times New Roman" w:hAnsi="Times New Roman"/>
          <w:sz w:val="17"/>
          <w:szCs w:val="17"/>
          <w:color w:val="0000FF"/>
        </w:rPr>
        <w:t>CHIEF GROWTH OFFICER PNC</w:t>
      </w:r>
    </w:p>
    <w:p>
      <w:pPr>
        <w:spacing w:after="0" w:line="422"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63144</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04/01/2025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3,192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75.13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57,836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was effected pursuant to a Rule 10b5-1 trading plan adopted by the reporting person on December 6, 2024.</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$75.00 to $75.70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04/02/2025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0179"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2025-04-02T17:39:01Z</dcterms:created>
  <dcterms:modified xsi:type="dcterms:W3CDTF">2025-04-02T17:39:01Z</dcterms:modified>
</cp:coreProperties>
</file>