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Amendment No. 2 to confidential submission</w:t>
      </w:r>
    </w:p>
    <w:p>
      <w:pPr>
        <w:jc w:val="center"/>
        <w:ind w:right="-179"/>
        <w:spacing w:after="0" w:line="223"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8, 2019.</w:t>
      </w:r>
    </w:p>
    <w:p>
      <w:pPr>
        <w:jc w:val="center"/>
        <w:ind w:right="-179"/>
        <w:spacing w:after="0" w:line="222"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w:t>
      </w:r>
    </w:p>
    <w:p>
      <w:pPr>
        <w:jc w:val="center"/>
        <w:ind w:right="-179"/>
        <w:spacing w:after="0" w:line="221" w:lineRule="auto"/>
        <w:rPr>
          <w:sz w:val="20"/>
          <w:szCs w:val="20"/>
          <w:color w:val="auto"/>
        </w:rPr>
      </w:pPr>
      <w:r>
        <w:rPr>
          <w:rFonts w:ascii="Arial" w:cs="Arial" w:eastAsia="Arial" w:hAnsi="Arial"/>
          <w:sz w:val="14"/>
          <w:szCs w:val="14"/>
          <w:b w:val="1"/>
          <w:bCs w:val="1"/>
          <w:color w:val="auto"/>
        </w:rPr>
        <w:t>information herein remains strictly confidential.</w:t>
      </w:r>
    </w:p>
    <w:p>
      <w:pPr>
        <w:ind w:left="96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17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BellRing Brands,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640" w:type="dxa"/>
            <w:vAlign w:val="bottom"/>
          </w:tcPr>
          <w:p>
            <w:pPr>
              <w:jc w:val="center"/>
              <w:ind w:right="1079"/>
              <w:spacing w:after="0"/>
              <w:rPr>
                <w:sz w:val="20"/>
                <w:szCs w:val="20"/>
                <w:color w:val="auto"/>
              </w:rPr>
            </w:pPr>
            <w:r>
              <w:rPr>
                <w:rFonts w:ascii="Arial" w:cs="Arial" w:eastAsia="Arial" w:hAnsi="Arial"/>
                <w:sz w:val="14"/>
                <w:szCs w:val="14"/>
                <w:b w:val="1"/>
                <w:bCs w:val="1"/>
                <w:color w:val="auto"/>
                <w:w w:val="87"/>
              </w:rPr>
              <w:t>Delaware</w:t>
            </w:r>
          </w:p>
        </w:tc>
        <w:tc>
          <w:tcPr>
            <w:tcW w:w="382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2000</w:t>
            </w:r>
          </w:p>
        </w:tc>
        <w:tc>
          <w:tcPr>
            <w:tcW w:w="2140" w:type="dxa"/>
            <w:vAlign w:val="bottom"/>
          </w:tcPr>
          <w:p>
            <w:pPr>
              <w:jc w:val="center"/>
              <w:ind w:left="1159"/>
              <w:spacing w:after="0"/>
              <w:rPr>
                <w:sz w:val="20"/>
                <w:szCs w:val="20"/>
                <w:color w:val="auto"/>
              </w:rPr>
            </w:pPr>
            <w:r>
              <w:rPr>
                <w:rFonts w:ascii="Arial" w:cs="Arial" w:eastAsia="Arial" w:hAnsi="Arial"/>
                <w:sz w:val="14"/>
                <w:szCs w:val="14"/>
                <w:b w:val="1"/>
                <w:bCs w:val="1"/>
                <w:color w:val="auto"/>
                <w:w w:val="85"/>
              </w:rPr>
              <w:t>83-4096323</w:t>
            </w:r>
          </w:p>
        </w:tc>
      </w:tr>
      <w:tr>
        <w:trPr>
          <w:trHeight w:val="135"/>
        </w:trPr>
        <w:tc>
          <w:tcPr>
            <w:tcW w:w="2640" w:type="dxa"/>
            <w:vAlign w:val="bottom"/>
          </w:tcPr>
          <w:p>
            <w:pPr>
              <w:jc w:val="center"/>
              <w:ind w:right="107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2"/>
              </w:rPr>
              <w:t>(Primary Standard Industrial</w:t>
            </w:r>
          </w:p>
        </w:tc>
        <w:tc>
          <w:tcPr>
            <w:tcW w:w="214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640" w:type="dxa"/>
            <w:vAlign w:val="bottom"/>
          </w:tcPr>
          <w:p>
            <w:pPr>
              <w:jc w:val="center"/>
              <w:ind w:right="105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Classification Code Number)</w:t>
            </w:r>
          </w:p>
        </w:tc>
        <w:tc>
          <w:tcPr>
            <w:tcW w:w="214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2503 S. Hanley Road</w:t>
      </w:r>
    </w:p>
    <w:p>
      <w:pPr>
        <w:jc w:val="center"/>
        <w:ind w:right="-179"/>
        <w:spacing w:after="0" w:line="223"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6" w:lineRule="auto"/>
        <w:rPr>
          <w:sz w:val="20"/>
          <w:szCs w:val="20"/>
          <w:color w:val="auto"/>
        </w:rPr>
      </w:pPr>
      <w:r>
        <w:rPr>
          <w:rFonts w:ascii="Arial" w:cs="Arial" w:eastAsia="Arial" w:hAnsi="Arial"/>
          <w:sz w:val="14"/>
          <w:szCs w:val="14"/>
          <w:b w:val="1"/>
          <w:bCs w:val="1"/>
          <w:color w:val="auto"/>
        </w:rPr>
        <w:t>(314) 644-7600</w:t>
      </w: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Darcy Horn Davenport</w:t>
      </w:r>
    </w:p>
    <w:p>
      <w:pPr>
        <w:jc w:val="center"/>
        <w:ind w:right="-17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BellRing Brands, Inc.</w:t>
      </w:r>
    </w:p>
    <w:p>
      <w:pPr>
        <w:jc w:val="center"/>
        <w:ind w:right="-179"/>
        <w:spacing w:after="0" w:line="221" w:lineRule="auto"/>
        <w:rPr>
          <w:sz w:val="20"/>
          <w:szCs w:val="20"/>
          <w:color w:val="auto"/>
        </w:rPr>
      </w:pPr>
      <w:r>
        <w:rPr>
          <w:rFonts w:ascii="Arial" w:cs="Arial" w:eastAsia="Arial" w:hAnsi="Arial"/>
          <w:sz w:val="14"/>
          <w:szCs w:val="14"/>
          <w:b w:val="1"/>
          <w:bCs w:val="1"/>
          <w:color w:val="auto"/>
        </w:rPr>
        <w:t>2503 S. Hanley Road</w:t>
      </w:r>
    </w:p>
    <w:p>
      <w:pPr>
        <w:jc w:val="center"/>
        <w:ind w:right="-179"/>
        <w:spacing w:after="0" w:line="222"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5" w:lineRule="auto"/>
        <w:rPr>
          <w:sz w:val="20"/>
          <w:szCs w:val="20"/>
          <w:color w:val="auto"/>
        </w:rPr>
      </w:pPr>
      <w:r>
        <w:rPr>
          <w:rFonts w:ascii="Arial" w:cs="Arial" w:eastAsia="Arial" w:hAnsi="Arial"/>
          <w:sz w:val="14"/>
          <w:szCs w:val="14"/>
          <w:b w:val="1"/>
          <w:bCs w:val="1"/>
          <w:color w:val="auto"/>
        </w:rPr>
        <w:t>Telephone: (314) 644-7600</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346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2880" w:type="dxa"/>
            <w:vAlign w:val="bottom"/>
          </w:tcPr>
          <w:p>
            <w:pPr>
              <w:spacing w:after="0"/>
              <w:rPr>
                <w:sz w:val="14"/>
                <w:szCs w:val="14"/>
                <w:color w:val="auto"/>
              </w:rPr>
            </w:pPr>
          </w:p>
        </w:tc>
      </w:tr>
      <w:tr>
        <w:trPr>
          <w:trHeight w:val="190"/>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Tom W. Zook</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0"/>
              </w:rPr>
              <w:t>Diedre J. Gray</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Ian D. Schuman</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Lewis Rice LLC</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Post Holdings, Inc.</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Benjamin D. Stern</w:t>
            </w:r>
          </w:p>
        </w:tc>
      </w:tr>
      <w:tr>
        <w:trPr>
          <w:trHeight w:val="149"/>
        </w:trPr>
        <w:tc>
          <w:tcPr>
            <w:tcW w:w="3020" w:type="dxa"/>
            <w:vAlign w:val="bottom"/>
          </w:tcPr>
          <w:p>
            <w:pPr>
              <w:jc w:val="center"/>
              <w:ind w:right="912"/>
              <w:spacing w:after="0" w:line="149" w:lineRule="exact"/>
              <w:rPr>
                <w:sz w:val="20"/>
                <w:szCs w:val="20"/>
                <w:color w:val="auto"/>
              </w:rPr>
            </w:pPr>
            <w:r>
              <w:rPr>
                <w:rFonts w:ascii="Arial" w:cs="Arial" w:eastAsia="Arial" w:hAnsi="Arial"/>
                <w:sz w:val="14"/>
                <w:szCs w:val="14"/>
                <w:b w:val="1"/>
                <w:bCs w:val="1"/>
                <w:color w:val="auto"/>
                <w:w w:val="85"/>
              </w:rPr>
              <w:t>600 Washington Avenue, Suite 2500</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2503 S. Hanley Road</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7"/>
              </w:rPr>
              <w:t>St. Louis, Missouri 63101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 Louis, Missouri 63144</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6"/>
              </w:rPr>
              <w:t>Telephone: (314) 444-7671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Telephone: (314) 644-7600</w:t>
            </w:r>
          </w:p>
        </w:tc>
        <w:tc>
          <w:tcPr>
            <w:tcW w:w="2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New York, New York 10022-4834</w:t>
            </w:r>
          </w:p>
        </w:tc>
      </w:tr>
      <w:tr>
        <w:trPr>
          <w:trHeight w:val="174"/>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Fax: (314) 612-7671</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8"/>
              </w:rPr>
              <w:t>Fax: (314) 646-3367</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19"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left="200" w:right="120" w:firstLine="331"/>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600" w:firstLine="331"/>
        <w:spacing w:after="0" w:line="29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58"/>
        </w:trPr>
        <w:tc>
          <w:tcPr>
            <w:tcW w:w="1560" w:type="dxa"/>
            <w:vAlign w:val="bottom"/>
          </w:tcPr>
          <w:p>
            <w:pPr>
              <w:spacing w:after="0" w:line="158" w:lineRule="exact"/>
              <w:rPr>
                <w:sz w:val="20"/>
                <w:szCs w:val="20"/>
                <w:color w:val="auto"/>
              </w:rPr>
            </w:pPr>
            <w:r>
              <w:rPr>
                <w:rFonts w:ascii="Arial" w:cs="Arial" w:eastAsia="Arial" w:hAnsi="Arial"/>
                <w:sz w:val="14"/>
                <w:szCs w:val="14"/>
                <w:color w:val="auto"/>
              </w:rPr>
              <w:t>Large 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58" w:lineRule="exact"/>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49" w:lineRule="exact"/>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80" w:type="dxa"/>
            <w:vAlign w:val="bottom"/>
          </w:tcPr>
          <w:p>
            <w:pPr>
              <w:ind w:left="33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 w:lineRule="exact"/>
        <w:rPr>
          <w:sz w:val="24"/>
          <w:szCs w:val="24"/>
          <w:color w:val="auto"/>
        </w:rPr>
      </w:pPr>
    </w:p>
    <w:p>
      <w:pPr>
        <w:ind w:left="200" w:right="160" w:firstLine="33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69215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7"/>
        </w:trPr>
        <w:tc>
          <w:tcPr>
            <w:tcW w:w="20" w:type="dxa"/>
            <w:vAlign w:val="bottom"/>
          </w:tcPr>
          <w:p>
            <w:pPr>
              <w:spacing w:after="0"/>
              <w:rPr>
                <w:sz w:val="9"/>
                <w:szCs w:val="9"/>
                <w:color w:val="auto"/>
              </w:rPr>
            </w:pPr>
          </w:p>
        </w:tc>
        <w:tc>
          <w:tcPr>
            <w:tcW w:w="728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jc w:val="center"/>
              <w:ind w:left="20"/>
              <w:spacing w:after="0" w:line="107" w:lineRule="exact"/>
              <w:rPr>
                <w:sz w:val="20"/>
                <w:szCs w:val="20"/>
                <w:color w:val="auto"/>
              </w:rPr>
            </w:pPr>
            <w:r>
              <w:rPr>
                <w:rFonts w:ascii="Arial" w:cs="Arial" w:eastAsia="Arial" w:hAnsi="Arial"/>
                <w:sz w:val="12"/>
                <w:szCs w:val="12"/>
                <w:b w:val="1"/>
                <w:bCs w:val="1"/>
                <w:color w:val="auto"/>
                <w:w w:val="86"/>
              </w:rPr>
              <w:t>Proposed</w:t>
            </w:r>
          </w:p>
        </w:tc>
        <w:tc>
          <w:tcPr>
            <w:tcW w:w="18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93"/>
              </w:rPr>
              <w:t>Maximum</w:t>
            </w:r>
          </w:p>
        </w:tc>
        <w:tc>
          <w:tcPr>
            <w:tcW w:w="18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87"/>
              </w:rPr>
              <w:t>Aggregate</w:t>
            </w:r>
          </w:p>
        </w:tc>
        <w:tc>
          <w:tcPr>
            <w:tcW w:w="186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3"/>
        </w:trPr>
        <w:tc>
          <w:tcPr>
            <w:tcW w:w="20" w:type="dxa"/>
            <w:vAlign w:val="bottom"/>
          </w:tcPr>
          <w:p>
            <w:pPr>
              <w:spacing w:after="0"/>
              <w:rPr>
                <w:sz w:val="13"/>
                <w:szCs w:val="13"/>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8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4"/>
              </w:rPr>
              <w:t>Offering Price</w:t>
            </w:r>
            <w:r>
              <w:rPr>
                <w:rFonts w:ascii="Arial" w:cs="Arial" w:eastAsia="Arial" w:hAnsi="Arial"/>
                <w:sz w:val="9"/>
                <w:szCs w:val="9"/>
                <w:b w:val="1"/>
                <w:bCs w:val="1"/>
                <w:color w:val="auto"/>
                <w:w w:val="94"/>
              </w:rPr>
              <w:t>(1)(2)</w:t>
            </w:r>
          </w:p>
        </w:tc>
        <w:tc>
          <w:tcPr>
            <w:tcW w:w="186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5"/>
        </w:trPr>
        <w:tc>
          <w:tcPr>
            <w:tcW w:w="20" w:type="dxa"/>
            <w:vAlign w:val="bottom"/>
            <w:tcBorders>
              <w:bottom w:val="single" w:sz="8" w:color="auto"/>
            </w:tcBorders>
          </w:tcPr>
          <w:p>
            <w:pPr>
              <w:spacing w:after="0"/>
              <w:rPr>
                <w:sz w:val="12"/>
                <w:szCs w:val="12"/>
                <w:color w:val="auto"/>
              </w:rPr>
            </w:pPr>
          </w:p>
        </w:tc>
        <w:tc>
          <w:tcPr>
            <w:tcW w:w="72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Class A common stock, par value $0.01 per share</w:t>
            </w:r>
          </w:p>
        </w:tc>
        <w:tc>
          <w:tcPr>
            <w:tcW w:w="1880" w:type="dxa"/>
            <w:vAlign w:val="bottom"/>
            <w:tcBorders>
              <w:bottom w:val="single" w:sz="8" w:color="auto"/>
              <w:right w:val="single" w:sz="8" w:color="auto"/>
            </w:tcBorders>
          </w:tcPr>
          <w:p>
            <w:pPr>
              <w:jc w:val="right"/>
              <w:ind w:right="1000"/>
              <w:spacing w:after="0" w:line="14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999"/>
              <w:spacing w:after="0" w:line="145"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(the “Securities Act”).</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76835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ind w:left="200" w:right="100" w:firstLine="33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6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Subject to completion, dated August 8, 2019</w:t>
      </w:r>
    </w:p>
    <w:p>
      <w:pPr>
        <w:spacing w:after="0" w:line="59"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66"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1" w:lineRule="exact"/>
        <w:rPr>
          <w:sz w:val="20"/>
          <w:szCs w:val="20"/>
          <w:color w:val="auto"/>
        </w:rPr>
      </w:pPr>
    </w:p>
    <w:p>
      <w:pPr>
        <w:ind w:left="200" w:right="340"/>
        <w:spacing w:after="0" w:line="335" w:lineRule="auto"/>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 shares of our Class A common stock. Before this offering, there has been no public market for our Class A common stock. We estimate the initial public offering price for our Class A</w:t>
      </w:r>
    </w:p>
    <w:p>
      <w:pPr>
        <w:ind w:left="200" w:right="20"/>
        <w:spacing w:after="0" w:line="261" w:lineRule="auto"/>
        <w:rPr>
          <w:sz w:val="20"/>
          <w:szCs w:val="20"/>
          <w:color w:val="auto"/>
        </w:rPr>
      </w:pPr>
      <w:r>
        <w:rPr>
          <w:rFonts w:ascii="Arial" w:cs="Arial" w:eastAsia="Arial" w:hAnsi="Arial"/>
          <w:sz w:val="18"/>
          <w:szCs w:val="18"/>
          <w:b w:val="1"/>
          <w:bCs w:val="1"/>
          <w:i w:val="1"/>
          <w:iCs w:val="1"/>
          <w:color w:val="auto"/>
        </w:rPr>
        <w:t>common stock will be between $ and $ per share. We intend to apply to list our Class A common stock on the New York Stock Exchange (the “NYSE”),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and,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1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 Emerging Growth Company Status.”</w:t>
      </w:r>
    </w:p>
    <w:p>
      <w:pPr>
        <w:spacing w:after="0" w:line="26" w:lineRule="exact"/>
        <w:rPr>
          <w:sz w:val="20"/>
          <w:szCs w:val="20"/>
          <w:color w:val="auto"/>
        </w:rPr>
      </w:pPr>
    </w:p>
    <w:p>
      <w:pPr>
        <w:ind w:left="200" w:right="2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33">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25,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114935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8"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85090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114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1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67"/>
        </w:trPr>
        <w:tc>
          <w:tcPr>
            <w:tcW w:w="348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28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5"/>
              </w:rPr>
              <w:t>Public</w:t>
            </w:r>
          </w:p>
        </w:tc>
        <w:tc>
          <w:tcPr>
            <w:tcW w:w="1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3260" w:type="dxa"/>
            <w:vAlign w:val="bottom"/>
            <w:gridSpan w:val="2"/>
          </w:tcPr>
          <w:p>
            <w:pPr>
              <w:jc w:val="right"/>
              <w:ind w:right="328"/>
              <w:spacing w:after="0" w:line="195" w:lineRule="exact"/>
              <w:rPr>
                <w:sz w:val="20"/>
                <w:szCs w:val="20"/>
                <w:color w:val="auto"/>
              </w:rPr>
            </w:pPr>
            <w:r>
              <w:rPr>
                <w:rFonts w:ascii="Arial" w:cs="Arial" w:eastAsia="Arial" w:hAnsi="Arial"/>
                <w:sz w:val="18"/>
                <w:szCs w:val="18"/>
                <w:i w:val="1"/>
                <w:iCs w:val="1"/>
                <w:color w:val="auto"/>
              </w:rPr>
              <w:t>$</w:t>
            </w:r>
          </w:p>
        </w:tc>
        <w:tc>
          <w:tcPr>
            <w:tcW w:w="2040" w:type="dxa"/>
            <w:vAlign w:val="bottom"/>
            <w:gridSpan w:val="2"/>
          </w:tcPr>
          <w:p>
            <w:pPr>
              <w:jc w:val="right"/>
              <w:ind w:right="668"/>
              <w:spacing w:after="0" w:line="195" w:lineRule="exact"/>
              <w:rPr>
                <w:sz w:val="20"/>
                <w:szCs w:val="20"/>
                <w:color w:val="auto"/>
              </w:rPr>
            </w:pPr>
            <w:r>
              <w:rPr>
                <w:rFonts w:ascii="Arial" w:cs="Arial" w:eastAsia="Arial" w:hAnsi="Arial"/>
                <w:sz w:val="18"/>
                <w:szCs w:val="18"/>
                <w:i w:val="1"/>
                <w:iCs w:val="1"/>
                <w:color w:val="auto"/>
              </w:rPr>
              <w:t>$</w:t>
            </w:r>
          </w:p>
        </w:tc>
        <w:tc>
          <w:tcPr>
            <w:tcW w:w="1880" w:type="dxa"/>
            <w:vAlign w:val="bottom"/>
            <w:gridSpan w:val="2"/>
          </w:tcPr>
          <w:p>
            <w:pPr>
              <w:ind w:left="1180"/>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326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w:t>
            </w:r>
          </w:p>
        </w:tc>
        <w:tc>
          <w:tcPr>
            <w:tcW w:w="2040" w:type="dxa"/>
            <w:vAlign w:val="bottom"/>
            <w:gridSpan w:val="2"/>
          </w:tcPr>
          <w:p>
            <w:pPr>
              <w:jc w:val="right"/>
              <w:ind w:right="668"/>
              <w:spacing w:after="0"/>
              <w:rPr>
                <w:sz w:val="20"/>
                <w:szCs w:val="20"/>
                <w:color w:val="auto"/>
              </w:rPr>
            </w:pPr>
            <w:r>
              <w:rPr>
                <w:rFonts w:ascii="Arial" w:cs="Arial" w:eastAsia="Arial" w:hAnsi="Arial"/>
                <w:sz w:val="18"/>
                <w:szCs w:val="18"/>
                <w:i w:val="1"/>
                <w:iCs w:val="1"/>
                <w:color w:val="auto"/>
              </w:rPr>
              <w:t>$</w:t>
            </w:r>
          </w:p>
        </w:tc>
        <w:tc>
          <w:tcPr>
            <w:tcW w:w="1880" w:type="dxa"/>
            <w:vAlign w:val="bottom"/>
            <w:gridSpan w:val="2"/>
          </w:tcPr>
          <w:p>
            <w:pPr>
              <w:ind w:left="11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for a description of the compensation payable to the underwriters.</w:t>
      </w:r>
    </w:p>
    <w:p>
      <w:pPr>
        <w:spacing w:after="0" w:line="77" w:lineRule="exact"/>
        <w:rPr>
          <w:sz w:val="20"/>
          <w:szCs w:val="20"/>
          <w:color w:val="auto"/>
        </w:rPr>
      </w:pPr>
    </w:p>
    <w:p>
      <w:pPr>
        <w:ind w:left="200" w:right="280"/>
        <w:spacing w:after="0" w:line="306" w:lineRule="auto"/>
        <w:rPr>
          <w:sz w:val="20"/>
          <w:szCs w:val="20"/>
          <w:color w:val="auto"/>
        </w:rPr>
      </w:pPr>
      <w:r>
        <w:rPr>
          <w:rFonts w:ascii="Arial" w:cs="Arial" w:eastAsia="Arial" w:hAnsi="Arial"/>
          <w:sz w:val="17"/>
          <w:szCs w:val="17"/>
          <w:i w:val="1"/>
          <w:iCs w:val="1"/>
          <w:color w:val="auto"/>
        </w:rPr>
        <w:t>To the extent that the underwriters sell more than shares of Class A common stock, the underwriters have the option to purchase up to an additional shares of Class A common stock from us at the initial public offering price less the underwriting discount. See “Underwriting.”</w:t>
      </w:r>
    </w:p>
    <w:p>
      <w:pPr>
        <w:sectPr>
          <w:pgSz w:w="11900" w:h="16838" w:orient="portrait"/>
          <w:cols w:equalWidth="0" w:num="1">
            <w:col w:w="11220"/>
          </w:cols>
          <w:pgMar w:left="240" w:top="459" w:right="439" w:bottom="1440" w:gutter="0" w:footer="0" w:header="0"/>
        </w:sectPr>
      </w:pP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158115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 2019.</w:t>
      </w:r>
    </w:p>
    <w:p>
      <w:pPr>
        <w:spacing w:after="0" w:line="211" w:lineRule="exact"/>
        <w:rPr>
          <w:sz w:val="20"/>
          <w:szCs w:val="20"/>
          <w:color w:val="auto"/>
        </w:rPr>
      </w:pPr>
    </w:p>
    <w:p>
      <w:pPr>
        <w:sectPr>
          <w:pgSz w:w="11900" w:h="16838" w:orient="portrait"/>
          <w:cols w:equalWidth="0" w:num="2">
            <w:col w:w="6660" w:space="720"/>
            <w:col w:w="3840"/>
          </w:cols>
          <w:pgMar w:left="240" w:top="459" w:right="439" w:bottom="1440" w:gutter="0" w:footer="0" w:header="0"/>
          <w:type w:val="continuous"/>
        </w:sectPr>
      </w:pP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99"/>
        </w:trPr>
        <w:tc>
          <w:tcPr>
            <w:tcW w:w="1760" w:type="dxa"/>
            <w:vAlign w:val="bottom"/>
          </w:tcPr>
          <w:p>
            <w:pPr>
              <w:spacing w:after="0"/>
              <w:rPr>
                <w:sz w:val="20"/>
                <w:szCs w:val="20"/>
                <w:color w:val="auto"/>
              </w:rPr>
            </w:pPr>
            <w:r>
              <w:rPr>
                <w:rFonts w:ascii="Arial" w:cs="Arial" w:eastAsia="Arial" w:hAnsi="Arial"/>
                <w:sz w:val="23"/>
                <w:szCs w:val="23"/>
                <w:i w:val="1"/>
                <w:iCs w:val="1"/>
                <w:color w:val="auto"/>
              </w:rPr>
              <w:t>Morgan Stanley</w:t>
            </w:r>
          </w:p>
        </w:tc>
        <w:tc>
          <w:tcPr>
            <w:tcW w:w="4900" w:type="dxa"/>
            <w:vAlign w:val="bottom"/>
            <w:gridSpan w:val="2"/>
          </w:tcPr>
          <w:p>
            <w:pPr>
              <w:ind w:left="1680"/>
              <w:spacing w:after="0"/>
              <w:rPr>
                <w:sz w:val="20"/>
                <w:szCs w:val="20"/>
                <w:color w:val="auto"/>
              </w:rPr>
            </w:pPr>
            <w:r>
              <w:rPr>
                <w:rFonts w:ascii="Arial" w:cs="Arial" w:eastAsia="Arial" w:hAnsi="Arial"/>
                <w:sz w:val="23"/>
                <w:szCs w:val="23"/>
                <w:i w:val="1"/>
                <w:iCs w:val="1"/>
                <w:color w:val="auto"/>
              </w:rPr>
              <w:t>Goldman Sachs &amp; Co. LLC</w:t>
            </w:r>
          </w:p>
        </w:tc>
        <w:tc>
          <w:tcPr>
            <w:tcW w:w="2500" w:type="dxa"/>
            <w:vAlign w:val="bottom"/>
          </w:tcPr>
          <w:p>
            <w:pPr>
              <w:ind w:left="880"/>
              <w:spacing w:after="0"/>
              <w:rPr>
                <w:sz w:val="20"/>
                <w:szCs w:val="20"/>
                <w:color w:val="auto"/>
              </w:rPr>
            </w:pPr>
            <w:r>
              <w:rPr>
                <w:rFonts w:ascii="Arial" w:cs="Arial" w:eastAsia="Arial" w:hAnsi="Arial"/>
                <w:sz w:val="23"/>
                <w:szCs w:val="23"/>
                <w:i w:val="1"/>
                <w:iCs w:val="1"/>
                <w:color w:val="auto"/>
              </w:rPr>
              <w:t>Citigroup</w:t>
            </w:r>
          </w:p>
        </w:tc>
        <w:tc>
          <w:tcPr>
            <w:tcW w:w="1860" w:type="dxa"/>
            <w:vAlign w:val="bottom"/>
          </w:tcPr>
          <w:p>
            <w:pPr>
              <w:ind w:left="720"/>
              <w:spacing w:after="0"/>
              <w:rPr>
                <w:sz w:val="20"/>
                <w:szCs w:val="20"/>
                <w:color w:val="auto"/>
              </w:rPr>
            </w:pPr>
            <w:r>
              <w:rPr>
                <w:rFonts w:ascii="Arial" w:cs="Arial" w:eastAsia="Arial" w:hAnsi="Arial"/>
                <w:sz w:val="23"/>
                <w:szCs w:val="23"/>
                <w:i w:val="1"/>
                <w:iCs w:val="1"/>
                <w:color w:val="auto"/>
                <w:w w:val="90"/>
              </w:rPr>
              <w:t>J.P. Morgan</w:t>
            </w:r>
          </w:p>
        </w:tc>
        <w:tc>
          <w:tcPr>
            <w:tcW w:w="0" w:type="dxa"/>
            <w:vAlign w:val="bottom"/>
          </w:tcPr>
          <w:p>
            <w:pPr>
              <w:spacing w:after="0"/>
              <w:rPr>
                <w:sz w:val="1"/>
                <w:szCs w:val="1"/>
                <w:color w:val="auto"/>
              </w:rPr>
            </w:pPr>
          </w:p>
        </w:tc>
      </w:tr>
      <w:tr>
        <w:trPr>
          <w:trHeight w:val="200"/>
        </w:trPr>
        <w:tc>
          <w:tcPr>
            <w:tcW w:w="1760" w:type="dxa"/>
            <w:vAlign w:val="bottom"/>
            <w:vMerge w:val="restart"/>
          </w:tcPr>
          <w:p>
            <w:pPr>
              <w:spacing w:after="0"/>
              <w:rPr>
                <w:sz w:val="20"/>
                <w:szCs w:val="20"/>
                <w:color w:val="auto"/>
              </w:rPr>
            </w:pPr>
            <w:r>
              <w:rPr>
                <w:rFonts w:ascii="Arial" w:cs="Arial" w:eastAsia="Arial" w:hAnsi="Arial"/>
                <w:sz w:val="18"/>
                <w:szCs w:val="18"/>
                <w:i w:val="1"/>
                <w:iCs w:val="1"/>
                <w:color w:val="auto"/>
              </w:rPr>
              <w:t>Prospectus dated</w:t>
            </w:r>
          </w:p>
        </w:tc>
        <w:tc>
          <w:tcPr>
            <w:tcW w:w="2600" w:type="dxa"/>
            <w:vAlign w:val="bottom"/>
            <w:vMerge w:val="restart"/>
          </w:tcPr>
          <w:p>
            <w:pPr>
              <w:jc w:val="right"/>
              <w:ind w:right="1756"/>
              <w:spacing w:after="0"/>
              <w:rPr>
                <w:sz w:val="20"/>
                <w:szCs w:val="20"/>
                <w:color w:val="auto"/>
              </w:rPr>
            </w:pPr>
            <w:r>
              <w:rPr>
                <w:rFonts w:ascii="Arial" w:cs="Arial" w:eastAsia="Arial" w:hAnsi="Arial"/>
                <w:sz w:val="18"/>
                <w:szCs w:val="18"/>
                <w:i w:val="1"/>
                <w:iCs w:val="1"/>
                <w:color w:val="auto"/>
              </w:rPr>
              <w:t>, 2019.</w:t>
            </w:r>
          </w:p>
        </w:tc>
        <w:tc>
          <w:tcPr>
            <w:tcW w:w="23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7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BUSINESS</w:t>
              </w:r>
            </w:hyperlink>
          </w:p>
        </w:tc>
        <w:tc>
          <w:tcPr>
            <w:tcW w:w="37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RISK FACTORS</w:t>
              </w:r>
            </w:hyperlink>
          </w:p>
        </w:tc>
        <w:tc>
          <w:tcPr>
            <w:tcW w:w="3260" w:type="dxa"/>
            <w:vAlign w:val="bottom"/>
            <w:gridSpan w:val="1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CAUTIONARY STATEMENT REGARDING FORWARD-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LOOKING STATEMENTS</w:t>
              </w:r>
            </w:hyperlink>
          </w:p>
        </w:tc>
        <w:tc>
          <w:tcPr>
            <w:tcW w:w="180" w:type="dxa"/>
            <w:vAlign w:val="bottom"/>
            <w:gridSpan w:val="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2460" w:type="dxa"/>
            <w:vAlign w:val="bottom"/>
            <w:tcBorders>
              <w:top w:val="single" w:sz="8" w:color="0000EE"/>
            </w:tcBorders>
            <w:gridSpan w:val="9"/>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PRINCIPAL STOCKHOLDERS</w:t>
              </w:r>
            </w:hyperlink>
          </w:p>
        </w:tc>
        <w:tc>
          <w:tcPr>
            <w:tcW w:w="212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DESCRIPTION OF CERTAIN INDEBTEDNESS</w:t>
              </w:r>
            </w:hyperlink>
          </w:p>
        </w:tc>
        <w:tc>
          <w:tcPr>
            <w:tcW w:w="94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58</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DESCRIPTION OF CAPITAL STOCK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SHARES ELIGIBLE FOR FUTURE SALE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0" w:type="dxa"/>
            <w:vAlign w:val="bottom"/>
            <w:gridSpan w:val="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DILUTION</w:t>
              </w:r>
            </w:hyperlink>
          </w:p>
        </w:tc>
        <w:tc>
          <w:tcPr>
            <w:tcW w:w="310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CERTAIN RELATIONSHIPS AND RELATED PARTY</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SELECTED HISTORICAL CONDENSED COMBINED</w:t>
              </w:r>
            </w:hyperlink>
          </w:p>
        </w:tc>
        <w:tc>
          <w:tcPr>
            <w:tcW w:w="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148">
              <w:r>
                <w:rPr>
                  <w:rFonts w:ascii="Arial" w:cs="Arial" w:eastAsia="Arial" w:hAnsi="Arial"/>
                  <w:sz w:val="18"/>
                  <w:szCs w:val="18"/>
                  <w:color w:val="0000EE"/>
                  <w:w w:val="96"/>
                </w:rPr>
                <w:t>TRANSACTIONS</w:t>
              </w:r>
            </w:hyperlink>
          </w:p>
        </w:tc>
        <w:tc>
          <w:tcPr>
            <w:tcW w:w="302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AND OTHER INFORMATION</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62</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UNAUDITED QUARTERLY FINANCIAL</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ind w:left="18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INFORMATION</w:t>
              </w:r>
            </w:hyperlink>
          </w:p>
        </w:tc>
        <w:tc>
          <w:tcPr>
            <w:tcW w:w="134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64</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UNDERWRITERS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MEASURES</w:t>
              </w:r>
            </w:hyperlink>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EXPERTS</w:t>
              </w:r>
            </w:hyperlink>
          </w:p>
        </w:tc>
        <w:tc>
          <w:tcPr>
            <w:tcW w:w="312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WHERE YOU CAN FIND MORE INFORMATION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4"/>
          </w:tcPr>
          <w:p>
            <w:pPr>
              <w:spacing w:after="0" w:line="196"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INDEX TO FINANCIAL STATEMENTS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OPERATIONS</w:t>
              </w:r>
            </w:hyperlink>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1180" w:right="26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Blocker” shall mean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6" w:lineRule="exact"/>
        <w:rPr>
          <w:rFonts w:ascii="Arial" w:cs="Arial" w:eastAsia="Arial" w:hAnsi="Arial"/>
          <w:sz w:val="18"/>
          <w:szCs w:val="18"/>
          <w:color w:val="auto"/>
        </w:rPr>
      </w:pPr>
    </w:p>
    <w:p>
      <w:pPr>
        <w:jc w:val="both"/>
        <w:ind w:left="1180" w:right="6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1" w:lineRule="exact"/>
        <w:rPr>
          <w:sz w:val="20"/>
          <w:szCs w:val="20"/>
          <w:color w:val="auto"/>
        </w:rPr>
      </w:pPr>
    </w:p>
    <w:p>
      <w:pPr>
        <w:ind w:left="1180" w:right="4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6" w:lineRule="exact"/>
        <w:rPr>
          <w:rFonts w:ascii="Arial" w:cs="Arial" w:eastAsia="Arial" w:hAnsi="Arial"/>
          <w:sz w:val="18"/>
          <w:szCs w:val="18"/>
          <w:color w:val="auto"/>
        </w:rPr>
      </w:pPr>
    </w:p>
    <w:p>
      <w:pPr>
        <w:ind w:left="1180" w:right="1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 Blockers” shall mean,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2" w:lineRule="exact"/>
        <w:rPr>
          <w:rFonts w:ascii="Arial" w:cs="Arial" w:eastAsia="Arial" w:hAnsi="Arial"/>
          <w:sz w:val="18"/>
          <w:szCs w:val="18"/>
          <w:color w:val="auto"/>
        </w:rPr>
      </w:pPr>
    </w:p>
    <w:p>
      <w:pPr>
        <w:ind w:left="1180" w:right="2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2"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1180" w:right="12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6"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6"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3"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the total U.S. population that purchased a specified item at least once during a specified time period.</w:t>
      </w:r>
    </w:p>
    <w:p>
      <w:pPr>
        <w:spacing w:after="0" w:line="75" w:lineRule="exact"/>
        <w:rPr>
          <w:rFonts w:ascii="Arial" w:cs="Arial" w:eastAsia="Arial" w:hAnsi="Arial"/>
          <w:sz w:val="18"/>
          <w:szCs w:val="18"/>
          <w:color w:val="auto"/>
        </w:rPr>
      </w:pPr>
    </w:p>
    <w:p>
      <w:pPr>
        <w:ind w:left="1180" w:right="5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4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6"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1180" w:right="50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specified time period.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5640" w:right="120" w:hanging="5004"/>
        <w:spacing w:after="0" w:line="449" w:lineRule="auto"/>
        <w:tabs>
          <w:tab w:leader="none" w:pos="1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6" w:lineRule="exact"/>
        <w:rPr>
          <w:rFonts w:ascii="Arial" w:cs="Arial" w:eastAsia="Arial" w:hAnsi="Arial"/>
          <w:sz w:val="18"/>
          <w:szCs w:val="18"/>
          <w:color w:val="auto"/>
        </w:rPr>
      </w:pPr>
    </w:p>
    <w:p>
      <w:pPr>
        <w:ind w:left="1180" w:right="160" w:hanging="544"/>
        <w:spacing w:after="0" w:line="31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89"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5" w:lineRule="exact"/>
        <w:rPr>
          <w:sz w:val="20"/>
          <w:szCs w:val="20"/>
          <w:color w:val="auto"/>
        </w:rPr>
      </w:pPr>
    </w:p>
    <w:p>
      <w:pPr>
        <w:ind w:left="1320" w:right="70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20" w:hanging="515"/>
        <w:spacing w:after="0" w:line="26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320" w:right="160" w:hanging="515"/>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320" w:right="12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largest brand,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was the brand in the U.S. convenient nutrition category with the greatest growth according to Nielsen data for Total US xAOC including Convenience for the 52 week period ended January 16, 2019, continues, we believe, to have strong growth within the category and is positioned to appeal to mainstream consumers focused on healthy nutrition.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grew at a CAGR of 42% from fiscal 2016 to fiscal 2018.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is a market leader targeting fitness enthusiasts, who value the brand for its science-based product development and athletic performance focus.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one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69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4969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most well-known brands in the convenient nutrition category based on a survey powered by Qualtrics performed in February 2019 and targets a range of consumers from committed athletes to active individuals.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97" w:lineRule="auto"/>
        <w:rPr>
          <w:sz w:val="20"/>
          <w:szCs w:val="20"/>
          <w:color w:val="auto"/>
        </w:rPr>
      </w:pPr>
      <w:r>
        <w:rPr>
          <w:rFonts w:ascii="Arial" w:cs="Arial" w:eastAsia="Arial" w:hAnsi="Arial"/>
          <w:sz w:val="16"/>
          <w:szCs w:val="16"/>
          <w:color w:val="auto"/>
        </w:rPr>
        <w:t>$72.0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1"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69"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380" w:firstLine="426"/>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largest brand and is positioned to appeal to mainstream consumers seeking convenient, delicious protein products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 enjoy throughout the day. Our flagship 11 ounce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91" w:lineRule="auto"/>
        <w:rPr>
          <w:sz w:val="20"/>
          <w:szCs w:val="20"/>
          <w:color w:val="auto"/>
        </w:rPr>
      </w:pPr>
      <w:r>
        <w:rPr>
          <w:rFonts w:ascii="Arial" w:cs="Arial" w:eastAsia="Arial" w:hAnsi="Arial"/>
          <w:sz w:val="16"/>
          <w:szCs w:val="16"/>
          <w:color w:val="auto"/>
        </w:rPr>
        <w:t xml:space="preserve">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67"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a high-quality sports nutrition brand that targets fitness enthusiasts, who trust the brand for its science-based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athletic performance focus and third party validation that its products are free of banned substances.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’s award-winning product portfolio spans protein powders, protein bars and nutritional supplements. We believe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78" w:lineRule="exact"/>
        <w:rPr>
          <w:sz w:val="20"/>
          <w:szCs w:val="20"/>
          <w:color w:val="auto"/>
        </w:rPr>
      </w:pPr>
    </w:p>
    <w:p>
      <w:pPr>
        <w:ind w:left="380" w:right="8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80" w:right="160" w:firstLine="426"/>
        <w:spacing w:after="0" w:line="297"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delivers products with high protein and superior taste. The brand’s RTD protein shakes are formulated to deliver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levels of 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portfolio to include new flavors, high protein Clear RTD beverages, powders and nutrition bars.</w:t>
      </w:r>
    </w:p>
    <w:p>
      <w:pPr>
        <w:spacing w:after="0" w:line="158"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products deliver concentrated energy and protein in convenient formats that can be consumed by competitive athletes and fitness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has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expanded its product portfolio to include a natural vegan protein bar and protein bars fortified with calcium and magnesium.</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380" w:right="6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80" w:right="16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302" w:lineRule="auto"/>
        <w:rPr>
          <w:sz w:val="20"/>
          <w:szCs w:val="20"/>
          <w:color w:val="auto"/>
        </w:rPr>
      </w:pPr>
      <w:r>
        <w:rPr>
          <w:rFonts w:ascii="Arial" w:cs="Arial" w:eastAsia="Arial" w:hAnsi="Arial"/>
          <w:sz w:val="16"/>
          <w:szCs w:val="16"/>
          <w:color w:val="auto"/>
        </w:rPr>
        <w:t>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54"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240" w:top="459" w:right="7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RTD protein shakes as measured by Nielsen household panel data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outlets for the 52 week period ended December 29, 2018. However,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9"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80" w:right="2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80" w:right="180" w:firstLine="426"/>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380" w:right="20" w:firstLine="426"/>
        <w:spacing w:after="0" w:line="268" w:lineRule="auto"/>
        <w:rPr>
          <w:sz w:val="20"/>
          <w:szCs w:val="20"/>
          <w:color w:val="auto"/>
        </w:rPr>
      </w:pPr>
      <w:r>
        <w:rPr>
          <w:rFonts w:ascii="Arial" w:cs="Arial" w:eastAsia="Arial" w:hAnsi="Arial"/>
          <w:sz w:val="17"/>
          <w:szCs w:val="17"/>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accounted for 25% of fiscal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expect to introduce two additional flavors in the fall of 2019. We also have improved the taste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and nutrition bar formulations to ensure we continue to delight consumers. We believe our new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powder offering is already generating top 10% category velocities in FDM in less than twelve months based on Nielsen tracked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channels data for the 52 week period ended February 23,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achieved the first and second highest velocities for bars according to German Nielsen data for December 2018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 Protein Clear</w:t>
      </w:r>
      <w:r>
        <w:rPr>
          <w:rFonts w:ascii="Arial" w:cs="Arial" w:eastAsia="Arial" w:hAnsi="Arial"/>
          <w:sz w:val="17"/>
          <w:szCs w:val="17"/>
          <w:color w:val="auto"/>
        </w:rPr>
        <w:t xml:space="preserve"> RTD product is now distributed nationwide in Costco and other key retailers.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continues to be a leader in disruptive product 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8"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380" w:right="6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emerging markets such as China and India and established markets such as the United Kingdom (the “U.K.”), Japan and Australia.</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320" w:right="18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15"/>
        <w:spacing w:after="0" w:line="290"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our first fiscal quarter of 2019 being below growth trends experienced in fiscal 2018 and 2017.</w:t>
      </w:r>
    </w:p>
    <w:p>
      <w:pPr>
        <w:spacing w:after="0" w:line="71" w:lineRule="exact"/>
        <w:rPr>
          <w:rFonts w:ascii="Arial" w:cs="Arial" w:eastAsia="Arial" w:hAnsi="Arial"/>
          <w:sz w:val="16"/>
          <w:szCs w:val="16"/>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2" w:lineRule="exact"/>
        <w:rPr>
          <w:rFonts w:ascii="Arial" w:cs="Arial" w:eastAsia="Arial" w:hAnsi="Arial"/>
          <w:sz w:val="17"/>
          <w:szCs w:val="17"/>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42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6642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515"/>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240" w:hanging="515"/>
        <w:spacing w:after="0" w:line="308" w:lineRule="auto"/>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51" w:lineRule="exact"/>
        <w:rPr>
          <w:rFonts w:ascii="Arial" w:cs="Arial" w:eastAsia="Arial" w:hAnsi="Arial"/>
          <w:sz w:val="17"/>
          <w:szCs w:val="17"/>
          <w:color w:val="auto"/>
        </w:rPr>
      </w:pPr>
    </w:p>
    <w:p>
      <w:pPr>
        <w:ind w:left="1320" w:right="100" w:hanging="515"/>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320" w:right="60" w:hanging="515"/>
        <w:spacing w:after="0" w:line="264"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 Blockers will merge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Premier Nutrition will convert from a Delaware corporation to a Delaware limited liability company;</w:t>
      </w:r>
    </w:p>
    <w:p>
      <w:pPr>
        <w:spacing w:after="0" w:line="130" w:lineRule="exact"/>
        <w:rPr>
          <w:rFonts w:ascii="Arial" w:cs="Arial" w:eastAsia="Arial" w:hAnsi="Arial"/>
          <w:sz w:val="18"/>
          <w:szCs w:val="18"/>
          <w:color w:val="auto"/>
        </w:rPr>
      </w:pPr>
    </w:p>
    <w:p>
      <w:pPr>
        <w:ind w:left="1740" w:right="12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will distribute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280" w:hanging="408"/>
        <w:spacing w:after="0" w:line="342" w:lineRule="auto"/>
        <w:tabs>
          <w:tab w:leader="none" w:pos="17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Post Acquisition Sub IV, LLC will merge with and into BellRing Brands, LLC, with BellRing Brands, LLC as the surviving corporation and, as a result, Active Nutrition International will become a direct subsidiary of BellRing Brands, LLC;</w:t>
      </w:r>
    </w:p>
    <w:p>
      <w:pPr>
        <w:spacing w:after="0" w:line="29" w:lineRule="exact"/>
        <w:rPr>
          <w:rFonts w:ascii="Arial" w:cs="Arial" w:eastAsia="Arial" w:hAnsi="Arial"/>
          <w:sz w:val="16"/>
          <w:szCs w:val="16"/>
          <w:color w:val="auto"/>
        </w:rPr>
      </w:pPr>
    </w:p>
    <w:p>
      <w:pPr>
        <w:ind w:left="1740" w:right="18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contribute all of the equity interests in Premier Nutrition to BellRing Brands, LLC, such that BellRing Brands, LLC will be the direct holder of such equity interests; and</w:t>
      </w:r>
    </w:p>
    <w:p>
      <w:pPr>
        <w:spacing w:after="0" w:line="75" w:lineRule="exact"/>
        <w:rPr>
          <w:rFonts w:ascii="Arial" w:cs="Arial" w:eastAsia="Arial" w:hAnsi="Arial"/>
          <w:sz w:val="18"/>
          <w:szCs w:val="18"/>
          <w:color w:val="auto"/>
        </w:rPr>
      </w:pPr>
    </w:p>
    <w:p>
      <w:pPr>
        <w:jc w:val="both"/>
        <w:ind w:left="1740" w:right="160" w:hanging="408"/>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borrow $ million under the Post bridge loan, and certain of its subsidiaries will be guarantors of the Post bridge loan (other than BellRing Brands, Inc., but including BellRing Brands, LLC and its domestic subsidiaries) as described under “—Debt Financing Arrangements—Post Bridge Loan” and “Description of Certain Indebtedness.” We will not receive any of the proceeds of the Post bridge loan.</w:t>
      </w:r>
    </w:p>
    <w:p>
      <w:pPr>
        <w:spacing w:after="0" w:line="92"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460" w:hanging="408"/>
        <w:spacing w:after="0" w:line="308"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200" w:lineRule="exact"/>
        <w:rPr>
          <w:sz w:val="20"/>
          <w:szCs w:val="20"/>
          <w:color w:val="auto"/>
        </w:rPr>
      </w:pPr>
    </w:p>
    <w:p>
      <w:pPr>
        <w:spacing w:after="0" w:line="3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240" w:top="459"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2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642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60" w:hanging="408"/>
        <w:spacing w:after="0" w:line="25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740" w:right="80" w:hanging="408"/>
        <w:spacing w:after="0" w:line="264"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6" w:lineRule="exact"/>
        <w:rPr>
          <w:rFonts w:ascii="Arial" w:cs="Arial" w:eastAsia="Arial" w:hAnsi="Arial"/>
          <w:sz w:val="18"/>
          <w:szCs w:val="18"/>
          <w:color w:val="auto"/>
        </w:rPr>
      </w:pPr>
    </w:p>
    <w:p>
      <w:pPr>
        <w:ind w:left="1740" w:right="240" w:hanging="408"/>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6"/>
        <w:spacing w:after="0" w:line="257" w:lineRule="auto"/>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3" w:lineRule="exact"/>
        <w:rPr>
          <w:rFonts w:ascii="Arial" w:cs="Arial" w:eastAsia="Arial" w:hAnsi="Arial"/>
          <w:sz w:val="18"/>
          <w:szCs w:val="18"/>
          <w:color w:val="auto"/>
        </w:rPr>
      </w:pPr>
    </w:p>
    <w:p>
      <w:pPr>
        <w:ind w:left="2380" w:right="220" w:hanging="616"/>
        <w:spacing w:after="0" w:line="259" w:lineRule="auto"/>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 BellRing Brands, LLC Units, will represent 67% of the combined voting power of the common stock of BellRing Brands, Inc., as described under “—Description of Capital Stock”;</w:t>
      </w:r>
    </w:p>
    <w:p>
      <w:pPr>
        <w:spacing w:after="0" w:line="92" w:lineRule="exact"/>
        <w:rPr>
          <w:rFonts w:ascii="Arial" w:cs="Arial" w:eastAsia="Arial" w:hAnsi="Arial"/>
          <w:sz w:val="18"/>
          <w:szCs w:val="18"/>
          <w:color w:val="auto"/>
        </w:rPr>
      </w:pPr>
    </w:p>
    <w:p>
      <w:pPr>
        <w:ind w:left="1740" w:hanging="408"/>
        <w:spacing w:after="0"/>
        <w:tabs>
          <w:tab w:leader="none" w:pos="1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BellRing Brands, Inc. will issue to Post (in exchange for the 1,000 shares of common stock initially issued to Post in connection</w:t>
      </w:r>
    </w:p>
    <w:p>
      <w:pPr>
        <w:spacing w:after="0" w:line="46" w:lineRule="exact"/>
        <w:rPr>
          <w:sz w:val="20"/>
          <w:szCs w:val="20"/>
          <w:color w:val="auto"/>
        </w:rPr>
      </w:pPr>
    </w:p>
    <w:p>
      <w:pPr>
        <w:ind w:left="1740" w:right="440"/>
        <w:spacing w:after="0" w:line="323" w:lineRule="auto"/>
        <w:rPr>
          <w:sz w:val="20"/>
          <w:szCs w:val="20"/>
          <w:color w:val="auto"/>
        </w:rPr>
      </w:pPr>
      <w:r>
        <w:rPr>
          <w:rFonts w:ascii="Arial" w:cs="Arial" w:eastAsia="Arial" w:hAnsi="Arial"/>
          <w:sz w:val="16"/>
          <w:szCs w:val="16"/>
          <w:color w:val="auto"/>
        </w:rPr>
        <w:t>with its incorporation, which shares will be cancelled as part of the exchange, together with $ ) one share of Class B common stock, which share of Class B common stock cannot be transferred by Post except to its affiliates (other than us);</w:t>
      </w:r>
    </w:p>
    <w:p>
      <w:pPr>
        <w:spacing w:after="0" w:line="44" w:lineRule="exact"/>
        <w:rPr>
          <w:sz w:val="20"/>
          <w:szCs w:val="20"/>
          <w:color w:val="auto"/>
        </w:rPr>
      </w:pPr>
    </w:p>
    <w:p>
      <w:pPr>
        <w:ind w:left="1740" w:right="260" w:hanging="408"/>
        <w:spacing w:after="0" w:line="264"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6" w:lineRule="exact"/>
        <w:rPr>
          <w:rFonts w:ascii="Arial" w:cs="Arial" w:eastAsia="Arial" w:hAnsi="Arial"/>
          <w:sz w:val="18"/>
          <w:szCs w:val="18"/>
          <w:color w:val="auto"/>
        </w:rPr>
      </w:pPr>
    </w:p>
    <w:p>
      <w:pPr>
        <w:ind w:left="2380" w:right="380" w:hanging="616"/>
        <w:spacing w:after="0" w:line="277" w:lineRule="auto"/>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20" w:hanging="616"/>
        <w:spacing w:after="0" w:line="277" w:lineRule="auto"/>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6" w:lineRule="exact"/>
        <w:rPr>
          <w:sz w:val="20"/>
          <w:szCs w:val="20"/>
          <w:color w:val="auto"/>
        </w:rPr>
      </w:pPr>
    </w:p>
    <w:p>
      <w:pPr>
        <w:ind w:left="1340"/>
        <w:spacing w:after="0"/>
        <w:tabs>
          <w:tab w:leader="none" w:pos="1720" w:val="left"/>
          <w:tab w:leader="none" w:pos="7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Post’s membership interests in BellRing Brands, LLC will be reclassified as</w:t>
      </w:r>
      <w:r>
        <w:rPr>
          <w:sz w:val="20"/>
          <w:szCs w:val="20"/>
          <w:color w:val="auto"/>
        </w:rPr>
        <w:tab/>
      </w:r>
      <w:r>
        <w:rPr>
          <w:rFonts w:ascii="Arial" w:cs="Arial" w:eastAsia="Arial" w:hAnsi="Arial"/>
          <w:sz w:val="17"/>
          <w:szCs w:val="17"/>
          <w:color w:val="auto"/>
        </w:rPr>
        <w:t>BellRing Brands, LLC Units;</w:t>
      </w:r>
    </w:p>
    <w:p>
      <w:pPr>
        <w:spacing w:after="0" w:line="131" w:lineRule="exact"/>
        <w:rPr>
          <w:sz w:val="20"/>
          <w:szCs w:val="20"/>
          <w:color w:val="auto"/>
        </w:rPr>
      </w:pPr>
    </w:p>
    <w:p>
      <w:pPr>
        <w:ind w:left="1740" w:hanging="408"/>
        <w:spacing w:after="0" w:line="277" w:lineRule="auto"/>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2320" w:right="280" w:hanging="988"/>
        <w:spacing w:after="0" w:line="291" w:lineRule="auto"/>
        <w:tabs>
          <w:tab w:leader="none" w:pos="17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BellRing Brands, Inc. will contribute the net proceeds it receives in the offering to BellRing Brands, LLC, in exchange for BellRing Brands, LLC Units (which is equal to the number of shares of Class A common stock sold in this offering);</w:t>
      </w:r>
    </w:p>
    <w:p>
      <w:pPr>
        <w:ind w:left="174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1740" w:right="180" w:hanging="408"/>
        <w:spacing w:after="0" w:line="264" w:lineRule="auto"/>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described under “Certain Relationships and Related Party Transactions—Post-Offering Relationship with Post.”</w:t>
      </w:r>
    </w:p>
    <w:p>
      <w:pPr>
        <w:spacing w:after="0" w:line="225" w:lineRule="exact"/>
        <w:rPr>
          <w:sz w:val="20"/>
          <w:szCs w:val="20"/>
          <w:color w:val="auto"/>
        </w:rPr>
      </w:pPr>
    </w:p>
    <w:p>
      <w:pPr>
        <w:ind w:left="380" w:right="240" w:firstLine="426"/>
        <w:spacing w:after="0" w:line="271" w:lineRule="auto"/>
        <w:rPr>
          <w:sz w:val="20"/>
          <w:szCs w:val="20"/>
          <w:color w:val="auto"/>
        </w:rPr>
      </w:pPr>
      <w:r>
        <w:rPr>
          <w:rFonts w:ascii="Arial" w:cs="Arial" w:eastAsia="Arial" w:hAnsi="Arial"/>
          <w:sz w:val="17"/>
          <w:szCs w:val="17"/>
          <w:color w:val="auto"/>
        </w:rPr>
        <w:t>In this offering, BellRing Brands, Inc. will issue shares of Class A common stock (or shares if the underwriters exercise their over-allotment option in full) in exchange for net proceeds of approximately $ million (or approximately $ million if the underwriters exercise their over-allotment option in full), assuming the shares are offered at $ per share (the midpoint of the price range listed on the cover</w:t>
      </w:r>
    </w:p>
    <w:p>
      <w:pPr>
        <w:ind w:left="380" w:right="280"/>
        <w:spacing w:after="0" w:line="277" w:lineRule="auto"/>
        <w:rPr>
          <w:sz w:val="20"/>
          <w:szCs w:val="20"/>
          <w:color w:val="auto"/>
        </w:rPr>
      </w:pPr>
      <w:r>
        <w:rPr>
          <w:rFonts w:ascii="Arial" w:cs="Arial" w:eastAsia="Arial" w:hAnsi="Arial"/>
          <w:sz w:val="17"/>
          <w:szCs w:val="17"/>
          <w:color w:val="auto"/>
        </w:rPr>
        <w:t>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81" w:lineRule="exact"/>
        <w:rPr>
          <w:sz w:val="20"/>
          <w:szCs w:val="20"/>
          <w:color w:val="auto"/>
        </w:rPr>
      </w:pPr>
    </w:p>
    <w:p>
      <w:pPr>
        <w:ind w:left="820" w:right="400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320" w:hanging="5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700" w:hanging="515"/>
        <w:spacing w:after="0" w:line="264"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300" w:hanging="515"/>
        <w:spacing w:after="0" w:line="302" w:lineRule="auto"/>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6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1580" w:type="dxa"/>
            <w:vAlign w:val="bottom"/>
          </w:tcPr>
          <w:p>
            <w:pPr>
              <w:ind w:left="220"/>
              <w:spacing w:after="0"/>
              <w:rPr>
                <w:sz w:val="20"/>
                <w:szCs w:val="20"/>
                <w:color w:val="auto"/>
              </w:rPr>
            </w:pPr>
            <w:r>
              <w:rPr>
                <w:rFonts w:ascii="Arial" w:cs="Arial" w:eastAsia="Arial" w:hAnsi="Arial"/>
                <w:sz w:val="18"/>
                <w:szCs w:val="18"/>
                <w:color w:val="auto"/>
              </w:rPr>
              <w:t>Post will hold</w:t>
            </w:r>
          </w:p>
        </w:tc>
        <w:tc>
          <w:tcPr>
            <w:tcW w:w="856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BellRing Brands, LLC Units (equal to   % of the economic interest in BellRing Brands, LLC) (or   % if the</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4"/>
              </w:rPr>
              <w:t>underwriters exercise their over-allotment option in full) and one share of BellRing Brands, Inc. Class B common stock, which, for so</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4"/>
              </w:rPr>
              <w:t>long as Post or its affiliates (other than us) directly own more than 50% of the BellRing Brands, LLC Units, will represent 67% of the</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6"/>
              </w:rPr>
              <w:t>combined voting power of the common stock of BellRing Brands, Inc. as described in this prospectus. Subject to the terms of the</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6"/>
              </w:rPr>
              <w:t>amended and restated limited liability company agreement, Post may redeem BellRing Brands, LLC Units for, at BellRing Brands,</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4"/>
              </w:rPr>
              <w:t>LLC’s option (as determined by its Board of Managers), (i) shares of BellRing Brands, Inc. Class A common stock or (ii) cash (based</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6"/>
              </w:rPr>
              <w:t>on the market price of the shares of BellRing Brands, Inc. Class A common stock). The redemption of BellRing Brands, LLC Units</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7"/>
              </w:rPr>
              <w:t>for shares of Class A common stock will be at an initial redemption rate of one share of Class A common stock for one BellRing</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3"/>
              </w:rPr>
              <w:t>Brands, LLC Unit, subject to customary redemption rate adjustments for stock splits, stock dividends and reclassifications. The share</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5"/>
              </w:rPr>
              <w:t>of BellRing Brands, Inc. Class B common stock will be initially owned by Post and cannot be transferred except to affiliates of Post.</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2"/>
              </w:rPr>
              <w:t>We do not intend to list our Class B common stock on any stock exchange. See “Certain Relationships and Related Party Transactions</w:t>
            </w:r>
          </w:p>
        </w:tc>
      </w:tr>
      <w:tr>
        <w:trPr>
          <w:trHeight w:val="230"/>
        </w:trPr>
        <w:tc>
          <w:tcPr>
            <w:tcW w:w="900" w:type="dxa"/>
            <w:vAlign w:val="bottom"/>
          </w:tcPr>
          <w:p>
            <w:pPr>
              <w:spacing w:after="0"/>
              <w:rPr>
                <w:sz w:val="20"/>
                <w:szCs w:val="20"/>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rPr>
              <w:t>—Post-Offering Relationship with Post—Amended and Restated Limited Liability Company Agreement.”</w:t>
            </w:r>
          </w:p>
        </w:tc>
      </w:tr>
      <w:tr>
        <w:trPr>
          <w:trHeight w:val="323"/>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The purchasers in this offering (i) will own</w:t>
            </w:r>
          </w:p>
        </w:tc>
        <w:tc>
          <w:tcPr>
            <w:tcW w:w="6420" w:type="dxa"/>
            <w:vAlign w:val="bottom"/>
          </w:tcPr>
          <w:p>
            <w:pPr>
              <w:jc w:val="right"/>
              <w:ind w:right="250"/>
              <w:spacing w:after="0"/>
              <w:rPr>
                <w:sz w:val="20"/>
                <w:szCs w:val="20"/>
                <w:color w:val="auto"/>
              </w:rPr>
            </w:pPr>
            <w:r>
              <w:rPr>
                <w:rFonts w:ascii="Arial" w:cs="Arial" w:eastAsia="Arial" w:hAnsi="Arial"/>
                <w:sz w:val="18"/>
                <w:szCs w:val="18"/>
                <w:color w:val="auto"/>
                <w:w w:val="97"/>
              </w:rPr>
              <w:t>shares of our Class A common stock, which, for so long as Post or its affiliates</w:t>
            </w:r>
          </w:p>
        </w:tc>
      </w:tr>
      <w:tr>
        <w:trPr>
          <w:trHeight w:val="216"/>
        </w:trPr>
        <w:tc>
          <w:tcPr>
            <w:tcW w:w="9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5"/>
              </w:rPr>
              <w:t>(other than us) directly own more than 50% of the BellRing Brands, LLC Units, will represent 33% of the combined voting power of</w:t>
            </w:r>
          </w:p>
        </w:tc>
      </w:tr>
      <w:tr>
        <w:trPr>
          <w:trHeight w:val="230"/>
        </w:trPr>
        <w:tc>
          <w:tcPr>
            <w:tcW w:w="900" w:type="dxa"/>
            <w:vAlign w:val="bottom"/>
          </w:tcPr>
          <w:p>
            <w:pPr>
              <w:spacing w:after="0"/>
              <w:rPr>
                <w:sz w:val="20"/>
                <w:szCs w:val="20"/>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6"/>
              </w:rPr>
              <w:t>our common stock and 100% of the economic interest in BellRing Brands, Inc., and (ii) through BellRing Brands, Inc.’s ownership</w:t>
            </w:r>
          </w:p>
        </w:tc>
      </w:tr>
      <w:tr>
        <w:trPr>
          <w:trHeight w:val="240"/>
        </w:trPr>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tcPr>
          <w:p>
            <w:pPr>
              <w:spacing w:after="0"/>
              <w:rPr>
                <w:sz w:val="20"/>
                <w:szCs w:val="20"/>
                <w:color w:val="auto"/>
              </w:rPr>
            </w:pPr>
          </w:p>
        </w:tc>
      </w:tr>
      <w:tr>
        <w:trPr>
          <w:trHeight w:val="604"/>
        </w:trPr>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20" w:type="dxa"/>
            <w:vAlign w:val="bottom"/>
          </w:tcPr>
          <w:p>
            <w:pPr>
              <w:jc w:val="right"/>
              <w:ind w:right="535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988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2988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40" w:right="780"/>
        <w:spacing w:after="0" w:line="277" w:lineRule="auto"/>
        <w:rPr>
          <w:sz w:val="20"/>
          <w:szCs w:val="20"/>
          <w:color w:val="auto"/>
        </w:rPr>
      </w:pPr>
      <w:r>
        <w:rPr>
          <w:rFonts w:ascii="Arial" w:cs="Arial" w:eastAsia="Arial" w:hAnsi="Arial"/>
          <w:sz w:val="18"/>
          <w:szCs w:val="18"/>
          <w:color w:val="auto"/>
        </w:rPr>
        <w:t>of BellRing Brands, LLC Units, indirectly will hold % of the economic interest in BellRing Brands, LLC (or % if the underwriters exercise their over-allotment option in full).</w:t>
      </w:r>
    </w:p>
    <w:p>
      <w:pPr>
        <w:spacing w:after="0" w:line="76" w:lineRule="exact"/>
        <w:rPr>
          <w:sz w:val="20"/>
          <w:szCs w:val="20"/>
          <w:color w:val="auto"/>
        </w:rPr>
      </w:pPr>
    </w:p>
    <w:p>
      <w:pPr>
        <w:ind w:left="1320" w:hanging="515"/>
        <w:spacing w:after="0" w:line="259"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 Amended and Restated Limited Liability Company Agreement.”</w:t>
      </w:r>
    </w:p>
    <w:p>
      <w:pPr>
        <w:spacing w:after="0" w:line="92" w:lineRule="exact"/>
        <w:rPr>
          <w:rFonts w:ascii="Arial" w:cs="Arial" w:eastAsia="Arial" w:hAnsi="Arial"/>
          <w:sz w:val="18"/>
          <w:szCs w:val="18"/>
          <w:color w:val="auto"/>
        </w:rPr>
      </w:pPr>
    </w:p>
    <w:p>
      <w:pPr>
        <w:ind w:left="1320" w:right="20" w:hanging="515"/>
        <w:spacing w:after="0" w:line="253"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2" w:lineRule="exact"/>
        <w:rPr>
          <w:rFonts w:ascii="Arial" w:cs="Arial" w:eastAsia="Arial" w:hAnsi="Arial"/>
          <w:sz w:val="18"/>
          <w:szCs w:val="18"/>
          <w:color w:val="auto"/>
        </w:rPr>
      </w:pPr>
    </w:p>
    <w:p>
      <w:pPr>
        <w:ind w:left="1320" w:right="20" w:hanging="515"/>
        <w:spacing w:after="0" w:line="286" w:lineRule="auto"/>
        <w:tabs>
          <w:tab w:leader="none" w:pos="1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240" w:top="459" w:right="7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61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7061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and this offering (assuming an initial public offering price at the midpoint of the estimated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80" w:right="120" w:firstLine="426"/>
        <w:spacing w:after="0" w:line="276"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24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or their equity interests, including equity interests in their subsidiaries, will be pledged to secure Post’s debt, and they will not guarantee any of Post’s debt.</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Prior to the completion of this offering, Post will borrow $ million under an unsecured bridge loan (which we refer to as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w:t>
      </w:r>
    </w:p>
    <w:p>
      <w:pPr>
        <w:spacing w:after="0" w:line="166"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w:t>
      </w:r>
    </w:p>
    <w:p>
      <w:pPr>
        <w:spacing w:after="0" w:line="46" w:lineRule="exact"/>
        <w:rPr>
          <w:sz w:val="20"/>
          <w:szCs w:val="20"/>
          <w:color w:val="auto"/>
        </w:rPr>
      </w:pPr>
    </w:p>
    <w:p>
      <w:pPr>
        <w:ind w:left="380" w:right="40"/>
        <w:spacing w:after="0" w:line="281" w:lineRule="auto"/>
        <w:rPr>
          <w:sz w:val="20"/>
          <w:szCs w:val="20"/>
          <w:color w:val="auto"/>
        </w:rPr>
      </w:pPr>
      <w:r>
        <w:rPr>
          <w:rFonts w:ascii="Arial" w:cs="Arial" w:eastAsia="Arial" w:hAnsi="Arial"/>
          <w:sz w:val="16"/>
          <w:szCs w:val="16"/>
          <w:color w:val="auto"/>
        </w:rPr>
        <w:t>into debt facilities consisting of a $ million revolving credit facility and $ million of other indebtedness (which we refer to collectively as the “debt facilities”),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such term loans or through an offering of senior</w:t>
      </w:r>
    </w:p>
    <w:p>
      <w:pPr>
        <w:spacing w:after="0" w:line="4"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8"/>
          <w:szCs w:val="18"/>
          <w:color w:val="auto"/>
        </w:rPr>
        <w:t>notes, will receive net proceeds of approximately $</w:t>
      </w:r>
      <w:r>
        <w:rPr>
          <w:sz w:val="20"/>
          <w:szCs w:val="20"/>
          <w:color w:val="auto"/>
        </w:rPr>
        <w:tab/>
      </w:r>
      <w:r>
        <w:rPr>
          <w:rFonts w:ascii="Arial" w:cs="Arial" w:eastAsia="Arial" w:hAnsi="Arial"/>
          <w:sz w:val="16"/>
          <w:szCs w:val="16"/>
          <w:color w:val="auto"/>
        </w:rPr>
        <w:t>million, after deducting fees and expenses.</w:t>
      </w:r>
    </w:p>
    <w:p>
      <w:pPr>
        <w:spacing w:after="0" w:line="21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380" w:right="280" w:firstLine="426"/>
        <w:spacing w:after="0" w:line="276" w:lineRule="auto"/>
        <w:rPr>
          <w:sz w:val="20"/>
          <w:szCs w:val="20"/>
          <w:color w:val="auto"/>
        </w:rPr>
      </w:pPr>
      <w:r>
        <w:rPr>
          <w:rFonts w:ascii="Arial" w:cs="Arial" w:eastAsia="Arial" w:hAnsi="Arial"/>
          <w:sz w:val="17"/>
          <w:szCs w:val="17"/>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9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5"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Post will receive the net proceeds of the Post bridge loan, estimated to be approximately $ million after deducting fees and expenses, which it expects to use to repay a portion of its existing debt. Neither BellRing Brands, Inc. nor BellRing Brands, LLC will receive any of the proceeds of the Post bridge loan.</w:t>
      </w:r>
    </w:p>
    <w:p>
      <w:pPr>
        <w:spacing w:after="0" w:line="181" w:lineRule="exact"/>
        <w:rPr>
          <w:sz w:val="20"/>
          <w:szCs w:val="20"/>
          <w:color w:val="auto"/>
        </w:rPr>
      </w:pPr>
    </w:p>
    <w:p>
      <w:pPr>
        <w:jc w:val="both"/>
        <w:ind w:left="380" w:right="10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ind w:left="380" w:right="620" w:firstLine="6"/>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80" w:right="480" w:firstLine="426"/>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7" w:lineRule="exact"/>
        <w:rPr>
          <w:sz w:val="20"/>
          <w:szCs w:val="20"/>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40" w:hanging="515"/>
        <w:spacing w:after="0" w:line="312" w:lineRule="auto"/>
        <w:tabs>
          <w:tab w:leader="none" w:pos="1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2" w:lineRule="exact"/>
        <w:rPr>
          <w:rFonts w:ascii="Arial" w:cs="Arial" w:eastAsia="Arial" w:hAnsi="Arial"/>
          <w:sz w:val="16"/>
          <w:szCs w:val="16"/>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80" w:right="80" w:firstLine="426"/>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320" w:hanging="515"/>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320" w:right="48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320" w:right="24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931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3931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20" w:hanging="515"/>
        <w:spacing w:after="0" w:line="264"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320" w:hanging="515"/>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w:t>
      </w:r>
    </w:p>
    <w:p>
      <w:pPr>
        <w:ind w:left="380" w:right="160"/>
        <w:spacing w:after="0" w:line="302" w:lineRule="auto"/>
        <w:rPr>
          <w:sz w:val="20"/>
          <w:szCs w:val="20"/>
          <w:color w:val="auto"/>
        </w:rPr>
      </w:pPr>
      <w:r>
        <w:rPr>
          <w:rFonts w:ascii="Arial" w:cs="Arial" w:eastAsia="Arial" w:hAnsi="Arial"/>
          <w:sz w:val="16"/>
          <w:szCs w:val="16"/>
          <w:color w:val="auto"/>
        </w:rPr>
        <w:t>Louis, Missouri 63144, and its telephone number is (314) 644-7600. BellRing Brands, Inc.’s website is .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240" w:top="459" w:right="6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THE OFFERING</w:t>
            </w:r>
          </w:p>
        </w:tc>
        <w:tc>
          <w:tcPr>
            <w:tcW w:w="13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440" w:type="dxa"/>
            <w:vAlign w:val="bottom"/>
          </w:tcPr>
          <w:p>
            <w:pPr>
              <w:spacing w:after="0"/>
              <w:rPr>
                <w:sz w:val="20"/>
                <w:szCs w:val="20"/>
                <w:color w:val="auto"/>
              </w:rPr>
            </w:pPr>
            <w:r>
              <w:rPr>
                <w:rFonts w:ascii="Arial" w:cs="Arial" w:eastAsia="Arial" w:hAnsi="Arial"/>
                <w:sz w:val="18"/>
                <w:szCs w:val="18"/>
                <w:color w:val="auto"/>
              </w:rPr>
              <w:t>Issuer</w:t>
            </w:r>
          </w:p>
        </w:tc>
        <w:tc>
          <w:tcPr>
            <w:tcW w:w="3020" w:type="dxa"/>
            <w:vAlign w:val="bottom"/>
            <w:gridSpan w:val="2"/>
          </w:tcPr>
          <w:p>
            <w:pPr>
              <w:ind w:left="1080"/>
              <w:spacing w:after="0"/>
              <w:rPr>
                <w:sz w:val="20"/>
                <w:szCs w:val="20"/>
                <w:color w:val="auto"/>
              </w:rPr>
            </w:pPr>
            <w:r>
              <w:rPr>
                <w:rFonts w:ascii="Arial" w:cs="Arial" w:eastAsia="Arial" w:hAnsi="Arial"/>
                <w:sz w:val="18"/>
                <w:szCs w:val="18"/>
                <w:color w:val="auto"/>
              </w:rPr>
              <w:t>BellRing Brands, Inc.</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Class A common stock offered</w:t>
            </w:r>
          </w:p>
        </w:tc>
        <w:tc>
          <w:tcPr>
            <w:tcW w:w="1700" w:type="dxa"/>
            <w:vAlign w:val="bottom"/>
          </w:tcPr>
          <w:p>
            <w:pPr>
              <w:spacing w:after="0"/>
              <w:rPr>
                <w:sz w:val="23"/>
                <w:szCs w:val="23"/>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 Each share of our Class 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3"/>
              </w:rPr>
              <w:t>common stock will be eligible for dividends and distributions upon</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020" w:type="dxa"/>
            <w:vAlign w:val="bottom"/>
            <w:gridSpan w:val="2"/>
          </w:tcPr>
          <w:p>
            <w:pPr>
              <w:ind w:left="1260"/>
              <w:spacing w:after="0"/>
              <w:rPr>
                <w:sz w:val="20"/>
                <w:szCs w:val="20"/>
                <w:color w:val="auto"/>
              </w:rPr>
            </w:pPr>
            <w:r>
              <w:rPr>
                <w:rFonts w:ascii="Arial" w:cs="Arial" w:eastAsia="Arial" w:hAnsi="Arial"/>
                <w:sz w:val="18"/>
                <w:szCs w:val="18"/>
                <w:color w:val="auto"/>
              </w:rPr>
              <w:t>liquidation.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A common stock to be outstanding after this offering</w:t>
            </w:r>
          </w:p>
        </w:tc>
        <w:tc>
          <w:tcPr>
            <w:tcW w:w="1700" w:type="dxa"/>
            <w:vAlign w:val="bottom"/>
          </w:tcPr>
          <w:p>
            <w:pPr>
              <w:spacing w:after="0"/>
              <w:rPr>
                <w:sz w:val="24"/>
                <w:szCs w:val="24"/>
                <w:color w:val="auto"/>
              </w:rPr>
            </w:pP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vMerge w:val="restart"/>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Over-allotment option</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rPr>
              <w:t>We have granted to the underwriters an option to purchase up</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700" w:type="dxa"/>
            <w:vAlign w:val="bottom"/>
          </w:tcPr>
          <w:p>
            <w:pPr>
              <w:ind w:left="1260"/>
              <w:spacing w:after="0"/>
              <w:rPr>
                <w:sz w:val="20"/>
                <w:szCs w:val="20"/>
                <w:color w:val="auto"/>
              </w:rPr>
            </w:pPr>
            <w:r>
              <w:rPr>
                <w:rFonts w:ascii="Arial" w:cs="Arial" w:eastAsia="Arial" w:hAnsi="Arial"/>
                <w:sz w:val="18"/>
                <w:szCs w:val="18"/>
                <w:color w:val="auto"/>
              </w:rPr>
              <w:t>to</w:t>
            </w: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w w:val="89"/>
              </w:rPr>
              <w:t>additional shares of our Class A common stock from us at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8"/>
              </w:rPr>
              <w:t>the initial public offering price (less underwriting discounts and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2"/>
              </w:rPr>
              <w:t>commissions) to cover over-allotments, if any, for a period of thirty</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days from the date of this prospectus.</w:t>
            </w: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B common stock to be outstanding after this offering</w:t>
            </w:r>
          </w:p>
        </w:tc>
        <w:tc>
          <w:tcPr>
            <w:tcW w:w="6160" w:type="dxa"/>
            <w:vAlign w:val="bottom"/>
            <w:gridSpan w:val="3"/>
            <w:vMerge w:val="restart"/>
          </w:tcPr>
          <w:p>
            <w:pPr>
              <w:ind w:left="1080"/>
              <w:spacing w:after="0"/>
              <w:rPr>
                <w:sz w:val="20"/>
                <w:szCs w:val="20"/>
                <w:color w:val="auto"/>
              </w:rPr>
            </w:pPr>
            <w:r>
              <w:rPr>
                <w:rFonts w:ascii="Arial" w:cs="Arial" w:eastAsia="Arial" w:hAnsi="Arial"/>
                <w:sz w:val="18"/>
                <w:szCs w:val="18"/>
                <w:color w:val="auto"/>
                <w:w w:val="96"/>
              </w:rPr>
              <w:t>One share, which will be issued to Post. The share of our Class B</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6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common stock will have no economic rights and cannot be</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transferred by Post except to its affiliates (other than us).</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Voting rights</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w w:val="90"/>
              </w:rPr>
              <w:t>One vote per share for Class A common stock; Class A common stock</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5"/>
              </w:rPr>
              <w:t>and Class B common stock vote together as a single class on all</w:t>
            </w:r>
          </w:p>
        </w:tc>
        <w:tc>
          <w:tcPr>
            <w:tcW w:w="0" w:type="dxa"/>
            <w:vAlign w:val="bottom"/>
          </w:tcPr>
          <w:p>
            <w:pPr>
              <w:spacing w:after="0"/>
              <w:rPr>
                <w:sz w:val="1"/>
                <w:szCs w:val="1"/>
                <w:color w:val="auto"/>
              </w:rPr>
            </w:pPr>
          </w:p>
        </w:tc>
      </w:tr>
    </w:tbl>
    <w:p>
      <w:pPr>
        <w:ind w:left="6100"/>
        <w:spacing w:after="0"/>
        <w:rPr>
          <w:sz w:val="20"/>
          <w:szCs w:val="20"/>
          <w:color w:val="auto"/>
        </w:rPr>
      </w:pPr>
      <w:r>
        <w:rPr>
          <w:rFonts w:ascii="Arial" w:cs="Arial" w:eastAsia="Arial" w:hAnsi="Arial"/>
          <w:sz w:val="17"/>
          <w:szCs w:val="17"/>
          <w:color w:val="auto"/>
        </w:rPr>
        <w:t>matters submitted to a vote of stockholders. See “Description of</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Capital Stock.” For so long as Post or its affiliates (other than us)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directly own more than 50% of the BellRing Brands, LLC Units,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aggregate voting power of the share of our Class B common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stock will represent 67% of the combined voting power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common stock of BellRing Brands, Inc. and, in the aggregate, the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 of the Class A common stock will have 33%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combined voting power of the common stock of BellRing Brands,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In the event that Post and its affiliates (other than us) hold 50%</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or less of the BellRing Brands, LLC Units, the holder of the share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of Class B common stock shall be entitled to a number of votes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equal to the number of BellRing Brands, LLC Units held by all</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persons other than us; provided, that (i) Post, or its applicable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affiliate, as the holder of the share of our Class B common stock,</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will only be entitled to cast a number of votes on its own behalf and</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at its own discretion equal to the number of BellRing Brands,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6"/>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40" w:type="dxa"/>
            <w:vAlign w:val="bottom"/>
            <w:tcBorders>
              <w:right w:val="single" w:sz="8" w:color="auto"/>
            </w:tcBorders>
            <w:gridSpan w:val="3"/>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rPr>
              <w:t>We intend to apply to list our Class A common stock on the NYSE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under the trading symbol “  ”.</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w w:val="95"/>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rPr>
              <w:t>We estimate that the net proceeds from the sale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common stock in this offering, after deducting the underwriting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discount and expenses of this offering, will be approximately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million if the underwriters exercise their</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over-allotment option in full) based on an assumed initial public</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2620" w:type="dxa"/>
            <w:vAlign w:val="bottom"/>
            <w:gridSpan w:val="2"/>
          </w:tcPr>
          <w:p>
            <w:pPr>
              <w:ind w:left="1100"/>
              <w:spacing w:after="0"/>
              <w:rPr>
                <w:sz w:val="20"/>
                <w:szCs w:val="20"/>
                <w:color w:val="auto"/>
              </w:rPr>
            </w:pPr>
            <w:r>
              <w:rPr>
                <w:rFonts w:ascii="Arial" w:cs="Arial" w:eastAsia="Arial" w:hAnsi="Arial"/>
                <w:sz w:val="18"/>
                <w:szCs w:val="18"/>
                <w:color w:val="auto"/>
              </w:rPr>
              <w:t>offering price of $</w:t>
            </w:r>
          </w:p>
        </w:tc>
        <w:tc>
          <w:tcPr>
            <w:tcW w:w="36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 share (the midpoint of the estimated</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18"/>
                <w:szCs w:val="18"/>
                <w:color w:val="auto"/>
              </w:rPr>
              <w:t>20</w:t>
            </w: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color w:val="auto"/>
                <w:w w:val="97"/>
              </w:rPr>
              <w:t>initial public offering price range set forth on the cover page of this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prospectus).</w:t>
            </w:r>
          </w:p>
        </w:tc>
      </w:tr>
      <w:tr>
        <w:trPr>
          <w:trHeight w:val="283"/>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7"/>
              </w:rPr>
              <w:t>BellRing Brands, Inc. will contribute the net proceeds of this 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to BellRing Brands, LLC in exchange for BellRing Brands, LLC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Units as described under “—Formation Transactions.” BellRing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Brands, LLC, in turn, will use the net proceeds of this offering that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it receives from BellRing Brands, Inc. to repay a portion of the Post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bridge loan. Immediately after the completion of the formation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transactions and the completion of this offering, BellRing Brands,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LLC expects to enter into the debt facilities and use the proceeds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such borrowing to repay the remaining balance of the Post bridge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loan. See “Use of Proceeds” and “Description of Certain</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Indebtedness—Debt Facilities”.</w:t>
            </w:r>
          </w:p>
        </w:tc>
      </w:tr>
      <w:tr>
        <w:trPr>
          <w:trHeight w:val="283"/>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We do not intend to pay dividends on our Class A common stock or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cause BellRing Brands, LLC to make distributions to its members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3"/>
              </w:rPr>
              <w:t>(other than to make certain distributions as described under “Certain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Relationship with Post—Amended and Restated Limited Liability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available funds and any future earnings to support our operations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and to finance the growth and development of our business. Any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future determination to pay dividends on our Class A common stock</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 Receivable Agreement</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We intend to enter into a tax receivable agreement with Post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LLC that will provide for the payment by us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Post (or certain of its transferees or other assignees) of 85% of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amount of cash savings, if any, in U.S. federal income tax, as well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as state and local income tax and franchise tax (using an assumed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tax rate) and foreign tax, that we actually realize (or, in some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circumstances, we are deemed to realize) as a result of (a)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increase in the tax basis of assets of BellRing Brands, LLC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attributable to (i) the redemption of BellRing Brands, LLC Units by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Post (or certain of its transferees or assignees) pursuant to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amended and restated limited liability company agreement,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(ii) deemed sales by Post (or certain of its transferees or assignees)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of BellRing Brands, LLC Units or assets to BellRing Brands, Inc.,</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(iii) certain actual or deemed distributions</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4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004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2145" cy="3400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from BellRing Brands, LLC to Post (or certain of its transferees or</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assignees) and (iv) certain formation transactions,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 disproportionate allocations of tax benefits to BellRing Brands,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Inc. as a result of Section 704(c) of the Code and (c) certain tax</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benefits (e.g., imputed interest, basis adjustments, etc.) attributable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to payments under the tax receivable agreement. See “Certain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Relationships and Related Party Transactions—Post-Offering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Relationship with Post—Tax Receivable Agreement.”</w:t>
      </w:r>
    </w:p>
    <w:p>
      <w:pPr>
        <w:spacing w:after="0" w:line="211" w:lineRule="exact"/>
        <w:rPr>
          <w:sz w:val="20"/>
          <w:szCs w:val="20"/>
          <w:color w:val="auto"/>
        </w:rPr>
      </w:pPr>
    </w:p>
    <w:p>
      <w:pPr>
        <w:ind w:left="380" w:right="200" w:firstLine="426"/>
        <w:spacing w:after="0" w:line="291"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that we plan to adopt</w:t>
      </w:r>
    </w:p>
    <w:p>
      <w:pPr>
        <w:ind w:left="380"/>
        <w:spacing w:after="0" w:line="255" w:lineRule="auto"/>
        <w:rPr>
          <w:sz w:val="20"/>
          <w:szCs w:val="20"/>
          <w:color w:val="auto"/>
        </w:rPr>
      </w:pPr>
      <w:r>
        <w:rPr>
          <w:rFonts w:ascii="Arial" w:cs="Arial" w:eastAsia="Arial" w:hAnsi="Arial"/>
          <w:sz w:val="18"/>
          <w:szCs w:val="18"/>
          <w:color w:val="auto"/>
        </w:rPr>
        <w:t>prior to this offering. We have reserved shares of our Class A common stock for issuance under the BellRing Brands, Inc. 2019 Long-Term Incentive Plan. See “Executive Compensation—BellRing Brands, Inc. 2019 Long-Term Incentive Plan” for additional information regarding our equity incentive plan.</w:t>
      </w:r>
    </w:p>
    <w:p>
      <w:pPr>
        <w:spacing w:after="0" w:line="190" w:lineRule="exact"/>
        <w:rPr>
          <w:sz w:val="20"/>
          <w:szCs w:val="20"/>
          <w:color w:val="auto"/>
        </w:rPr>
      </w:pPr>
    </w:p>
    <w:p>
      <w:pPr>
        <w:ind w:left="380" w:right="20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320" w:right="220" w:hanging="515"/>
        <w:spacing w:after="0" w:line="277" w:lineRule="auto"/>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240" w:top="459" w:right="7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80" w:right="40" w:firstLine="426"/>
        <w:spacing w:after="0" w:line="284" w:lineRule="auto"/>
        <w:rPr>
          <w:sz w:val="20"/>
          <w:szCs w:val="20"/>
          <w:color w:val="auto"/>
        </w:rPr>
      </w:pPr>
      <w:r>
        <w:rPr>
          <w:rFonts w:ascii="Arial" w:cs="Arial" w:eastAsia="Arial" w:hAnsi="Arial"/>
          <w:sz w:val="16"/>
          <w:szCs w:val="16"/>
          <w:color w:val="auto"/>
        </w:rPr>
        <w:t>The following tables set forth certain summary historical condensed combined financial data for Post’s Active Nutrition business as of and for each of the fiscal years in the three-year period ended September 30, 2018, and as of March 31, 2019 and for the six months ended March 31,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six months ended March 31, 2019 and 2018 and</w:t>
      </w:r>
    </w:p>
    <w:p>
      <w:pPr>
        <w:spacing w:after="0" w:line="3" w:lineRule="exact"/>
        <w:rPr>
          <w:sz w:val="20"/>
          <w:szCs w:val="20"/>
          <w:color w:val="auto"/>
        </w:rPr>
      </w:pPr>
    </w:p>
    <w:p>
      <w:pPr>
        <w:ind w:left="380" w:right="280" w:firstLine="6"/>
        <w:spacing w:after="0" w:line="261"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each of which is contained elsewhere in this prospectus.</w:t>
      </w:r>
    </w:p>
    <w:p>
      <w:pPr>
        <w:spacing w:after="0" w:line="184"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summary unaudited historical condensed combined financial data as of and for the six months ended March 31, 2019 and 2018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240" w:top="459" w:right="7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98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214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ind w:left="60"/>
              <w:spacing w:after="0" w:line="119" w:lineRule="exact"/>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right"/>
              <w:ind w:right="450"/>
              <w:spacing w:after="0" w:line="14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402.3</w:t>
            </w: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$ 391.2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827.5</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$713.2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263.4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467.4</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144.6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3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131.0</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141.2</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(84.0)</w:t>
            </w:r>
          </w:p>
        </w:tc>
        <w:tc>
          <w:tcPr>
            <w:tcW w:w="60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0"/>
                <w:szCs w:val="20"/>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156.5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7"/>
              </w:rPr>
              <w:t>Active Nutrition</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6"/>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2.9</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601.5</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583.2</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parent company equity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504.6</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484.4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60" w:hanging="414"/>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7" w:lineRule="exact"/>
        <w:rPr>
          <w:sz w:val="20"/>
          <w:szCs w:val="20"/>
          <w:color w:val="auto"/>
        </w:rPr>
      </w:pPr>
    </w:p>
    <w:p>
      <w:pPr>
        <w:ind w:left="640" w:right="12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In fiscal 2018, approximately 92%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67%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 with one of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69"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our first two fiscal quarters of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convenient nutrition category, which includes the everyday nutrition, adult nutrition, sports nutrition and weight management consumer need states, is highly competitive. We compete with other brands in the convenient nutrition category and with many nutritional food and beverage players.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Competitors can be affected differently by weather conditions and natural disasters depending on the location of their suppliers and operations.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Failure to take adequate steps to reduce the likelihood or mitigate the potential impact of such events, or to effectively manage such events if they occur, particularly when an ingredient or packaging material is sourced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from a single location or supplier, could adversely affect our business, financial condition, results of operations and cash flows and/or require additional resources to restore our supply chain.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must identify changing consumer and customer preferences and develop and offer products to meet these preferences.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8"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March 1, 2019, we had approximately 370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6" w:lineRule="exact"/>
        <w:rPr>
          <w:sz w:val="20"/>
          <w:szCs w:val="20"/>
          <w:color w:val="auto"/>
        </w:rPr>
      </w:pPr>
    </w:p>
    <w:p>
      <w:pPr>
        <w:ind w:left="640" w:right="90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8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9"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1" w:lineRule="exact"/>
        <w:rPr>
          <w:sz w:val="20"/>
          <w:szCs w:val="20"/>
          <w:color w:val="auto"/>
        </w:rPr>
      </w:pPr>
    </w:p>
    <w:p>
      <w:pPr>
        <w:ind w:left="640" w:right="14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00" w:right="180" w:firstLine="441"/>
        <w:spacing w:after="0" w:line="297"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With approximately 370 employees as of March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1"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5"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7" w:lineRule="exact"/>
        <w:rPr>
          <w:sz w:val="20"/>
          <w:szCs w:val="20"/>
          <w:color w:val="auto"/>
        </w:rPr>
      </w:pPr>
    </w:p>
    <w:p>
      <w:pPr>
        <w:ind w:left="64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6"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of Proceeds,”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1180" w:right="16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In addition, in order to preserve its intended tax treatment in connection with the formation transactions, we expect that Post will require that BellRing Brands, LLC maintain a level of</w:t>
      </w:r>
    </w:p>
    <w:p>
      <w:pPr>
        <w:spacing w:after="0" w:line="2" w:lineRule="exact"/>
        <w:rPr>
          <w:sz w:val="20"/>
          <w:szCs w:val="20"/>
          <w:color w:val="auto"/>
        </w:rPr>
      </w:pPr>
    </w:p>
    <w:p>
      <w:pPr>
        <w:ind w:left="200"/>
        <w:spacing w:after="0"/>
        <w:tabs>
          <w:tab w:leader="none" w:pos="3660" w:val="left"/>
        </w:tabs>
        <w:rPr>
          <w:sz w:val="20"/>
          <w:szCs w:val="20"/>
          <w:color w:val="auto"/>
        </w:rPr>
      </w:pPr>
      <w:r>
        <w:rPr>
          <w:rFonts w:ascii="Arial" w:cs="Arial" w:eastAsia="Arial" w:hAnsi="Arial"/>
          <w:sz w:val="18"/>
          <w:szCs w:val="18"/>
          <w:color w:val="auto"/>
        </w:rPr>
        <w:t>outstanding indebtedness at least equal to $</w:t>
      </w:r>
      <w:r>
        <w:rPr>
          <w:sz w:val="20"/>
          <w:szCs w:val="20"/>
          <w:color w:val="auto"/>
        </w:rPr>
        <w:tab/>
      </w:r>
      <w:r>
        <w:rPr>
          <w:rFonts w:ascii="Arial" w:cs="Arial" w:eastAsia="Arial" w:hAnsi="Arial"/>
          <w:sz w:val="16"/>
          <w:szCs w:val="16"/>
          <w:color w:val="auto"/>
        </w:rPr>
        <w:t>for so long as Post owns an interest in BellRing Brands, LLC.</w:t>
      </w:r>
    </w:p>
    <w:p>
      <w:pPr>
        <w:spacing w:after="0" w:line="319"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7"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3"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tax-free spin-off to its shareholders. See “Shares Eligible for Future Sale.”</w:t>
      </w:r>
    </w:p>
    <w:p>
      <w:pPr>
        <w:spacing w:after="0" w:line="16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6"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81"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86"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b w:val="1"/>
          <w:bCs w:val="1"/>
          <w:i w:val="1"/>
          <w:iCs w:val="1"/>
          <w:color w:val="auto"/>
        </w:rPr>
        <w:t>Post may in the future determine to exit its interests in BellRing Brands, Inc. and BellRing Brands, LLC by means of a tax-free “spin-off” or “split-off” transaction that includes the merger of BellRing Brands, Inc. into a corporation formed by Post to facilitate the exit. Provided certain conditions are satisfied, we will be required to take all actions necessary to consummate the merger and the merger would not require a separate class vote of the holders of our Class A common stock or approval by an independent committee of the Board of Directors of BellRing Brands, Inc.</w:t>
      </w:r>
    </w:p>
    <w:p>
      <w:pPr>
        <w:spacing w:after="0" w:line="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While Post has advised us that it does not have any definitive plans to exit its interests in BellRing Brands, Inc. or BellRing Brands, LLC, it may determine to do so in the future by means of a tax-free “spin-off” or “split-off” transaction that includes the merger of BellRing Brands, Inc. into a corporation formed by Post to facilitate the exit. Pursuant to our organizational documents, if the terms of any such merger satisfy the conditions of a “spin-off merger transaction,” then we will be required to take all actions required to consummate the merger and we will not condition the merger upon a separate class vote of the holders of our Class A common stock or approval by an independent committee of the Board of Directors of BellRing Brands, Inc., even though such conditions are oftentimes included in transactions such as this in which a party, like Post in this case, has an interest on both sides of the transaction. As a result, so long as the share of Class B common stock entitles Post to at least a majority of the total voting power of our common stock, Post will have the ability on its own to approve a spin-off merger transaction, including the definitive transaction documentation to implement the spin-off merger transaction, which will provide for representations, covenants and indemnities on the part of BellRing Brands, Inc. and the surviving corporation.</w:t>
      </w:r>
    </w:p>
    <w:p>
      <w:pPr>
        <w:spacing w:after="0" w:line="17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 “spin-off merger transaction” is generally defined in our organizational documents as a merger of BellRing Brands, Inc. into a newly organized corporation formed by Post to facilitate the spin-off merger transaction and, immediately following the spin-off merger transaction, (i) each holder of Class A common stock will hold the same number of shares of common stock of the surviving corporation as such holder held of Class A common stock immediately prior to the merger, and each holder of Class A common stock will hold the same ownership percentage in the surviving corporation that such holder held indirectly (through its ownership of Class A common stock) in BellRing Brands, LLC immediately prior to the merger, and (ii) the consolidated net indebtedness of the surviving corporation (including BellRing Brands, LLC and its subsidiaries) will not be greater in any material respect than the consolidated net indebtedness of BellRing Brands, Inc. (including BellRing Brands, LLC and its subsidiaries) immediately prior to the merger. A spin-off merger transaction may include, at the option of Post, the issuance of debt by the surviving corporation, the proceeds of which would be used to repay indebtedness of BellRing Brands, LLC. Any such debt issued by the surviving corporation would be required to have interest rates and other material terms that are comparable to other precedent market transactions at such time (as determined by Post in consultation with a nationally recognized investment banking firm selected by Post). There can be no assurance that the terms of any such debt issued by the surviving corporation would have interest rates or other material terms that are as favorable as the indebtedness of BellRing Brands, LLC being repaid. See “Description of Capital Stock—Spin-Off Merger Transaction.”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connection with this offering, BellRing Brands, Inc. and BellRing Brands, LLC will enter into a tax matters agreement with Post. Under the tax matters agreement, Post will be responsible for all taxes for Post’s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90"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as well as certain other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The IRS may challenge all or part of these tax basis increases and tax benefits and no assurances can be made regarding the availability of these tax basis increases or other tax benefits.</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29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even if we do not receive the corresponding tax benefits until a later date when the BellRing Brands, LLC Units are actually redeemed. Such obligations under the tax receivable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agreement, however, would not arise if Post distributes its beneficial retained interest in BellRing Brands, LLC by means of a tax-free spin-off to its shareholders, including by means of a spin-off merger transaction as described under “Description of Capital Stock—Spin-Off Merger Transaction.”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74" w:lineRule="exact"/>
        <w:rPr>
          <w:sz w:val="20"/>
          <w:szCs w:val="20"/>
          <w:color w:val="auto"/>
        </w:rPr>
      </w:pPr>
    </w:p>
    <w:p>
      <w:pPr>
        <w:ind w:left="640" w:right="38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6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8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Subject to the terms of the amended and restated limited liability company agreement, BellRing Brands, LLC Units may be redeemed at any time for, at the option of BellRing Brands, LLC (as determined by its Board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auto"/>
        </w:rPr>
        <w:t>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87"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tax-free spin-off to its shareholders, including by means of a spin-off merger transaction as described under “Description of Capital Stock—Spin-Off Merger Transaction.”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3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completion of this offering, Post has provided us with various services including finance, information technology, legal, human resources, quality and purchasing functions. Following this offering, we expect Post to continue to provide many of these services to us for a fee provided for in the master services agreement described in “Certain Relationships and Related Party Transactions—Post-Offering Relationship with Post—Master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4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29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91" w:lineRule="exact"/>
        <w:rPr>
          <w:sz w:val="20"/>
          <w:szCs w:val="20"/>
          <w:color w:val="auto"/>
        </w:rPr>
      </w:pPr>
    </w:p>
    <w:p>
      <w:pPr>
        <w:ind w:left="640" w:right="36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 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w:t>
      </w:r>
    </w:p>
    <w:p>
      <w:pPr>
        <w:ind w:left="200" w:right="80"/>
        <w:spacing w:after="0" w:line="281" w:lineRule="auto"/>
        <w:rPr>
          <w:sz w:val="20"/>
          <w:szCs w:val="20"/>
          <w:color w:val="auto"/>
        </w:rPr>
      </w:pPr>
      <w:r>
        <w:rPr>
          <w:rFonts w:ascii="Arial" w:cs="Arial" w:eastAsia="Arial" w:hAnsi="Arial"/>
          <w:sz w:val="16"/>
          <w:szCs w:val="16"/>
          <w:color w:val="auto"/>
        </w:rPr>
        <w:t>substantial dilution of $ per share, the difference between the price per share you paid for a share of Class A common stock (based on the midpoint of the estimated offering price range set forth on the cover page of this prospectus) and the as adjusted net tangible book value per share of our Class A</w:t>
      </w:r>
    </w:p>
    <w:p>
      <w:pPr>
        <w:spacing w:after="0" w:line="1" w:lineRule="exact"/>
        <w:rPr>
          <w:sz w:val="20"/>
          <w:szCs w:val="20"/>
          <w:color w:val="auto"/>
        </w:rPr>
      </w:pPr>
    </w:p>
    <w:p>
      <w:pPr>
        <w:ind w:left="200" w:right="460"/>
        <w:spacing w:after="0" w:line="261" w:lineRule="auto"/>
        <w:rPr>
          <w:sz w:val="20"/>
          <w:szCs w:val="20"/>
          <w:color w:val="auto"/>
        </w:rPr>
      </w:pPr>
      <w:r>
        <w:rPr>
          <w:rFonts w:ascii="Arial" w:cs="Arial" w:eastAsia="Arial" w:hAnsi="Arial"/>
          <w:sz w:val="18"/>
          <w:szCs w:val="18"/>
          <w:color w:val="auto"/>
        </w:rPr>
        <w:t>common stock calculated as of , after giving effect to the issuance of shares of our Class A common stock in this offering. For additional information about the dilution that you will experience immediately after this offering, see “Dilution.”</w:t>
      </w:r>
    </w:p>
    <w:p>
      <w:pPr>
        <w:spacing w:after="0" w:line="29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3"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300"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 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apply to list our Class A common stock on the NYSE under the symbol “ ”.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6"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w:t>
      </w:r>
    </w:p>
    <w:p>
      <w:pPr>
        <w:spacing w:after="0" w:line="2"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have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common stock in connection with investments or acquisitions. The number of shares of common stock issued in connection with an investment or acquisition could constitute a material portion of our then outstanding shares of common stock.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w:t>
      </w:r>
    </w:p>
    <w:p>
      <w:pPr>
        <w:spacing w:after="0" w:line="46" w:lineRule="exact"/>
        <w:rPr>
          <w:sz w:val="20"/>
          <w:szCs w:val="20"/>
          <w:color w:val="auto"/>
        </w:rPr>
      </w:pPr>
    </w:p>
    <w:p>
      <w:pPr>
        <w:ind w:left="200"/>
        <w:spacing w:after="0"/>
        <w:tabs>
          <w:tab w:leader="none" w:pos="2740" w:val="left"/>
        </w:tabs>
        <w:rPr>
          <w:sz w:val="20"/>
          <w:szCs w:val="20"/>
          <w:color w:val="auto"/>
        </w:rPr>
      </w:pPr>
      <w:r>
        <w:rPr>
          <w:rFonts w:ascii="Arial" w:cs="Arial" w:eastAsia="Arial" w:hAnsi="Arial"/>
          <w:sz w:val="18"/>
          <w:szCs w:val="18"/>
          <w:color w:val="auto"/>
        </w:rPr>
        <w:t>and Post, which will hold</w:t>
      </w:r>
      <w:r>
        <w:rPr>
          <w:sz w:val="20"/>
          <w:szCs w:val="20"/>
          <w:color w:val="auto"/>
        </w:rPr>
        <w:tab/>
      </w:r>
      <w:r>
        <w:rPr>
          <w:rFonts w:ascii="Arial" w:cs="Arial" w:eastAsia="Arial" w:hAnsi="Arial"/>
          <w:sz w:val="16"/>
          <w:szCs w:val="16"/>
          <w:color w:val="auto"/>
        </w:rPr>
        <w:t>BellRing Brands, LLC Units (equal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720" w:val="left"/>
          <w:tab w:leader="none" w:pos="52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of the economic interest in BellRing Brands, LLC) (or</w:t>
      </w:r>
      <w:r>
        <w:rPr>
          <w:sz w:val="20"/>
          <w:szCs w:val="20"/>
          <w:color w:val="auto"/>
        </w:rPr>
        <w:tab/>
      </w:r>
      <w:r>
        <w:rPr>
          <w:rFonts w:ascii="Arial" w:cs="Arial" w:eastAsia="Arial" w:hAnsi="Arial"/>
          <w:sz w:val="16"/>
          <w:szCs w:val="16"/>
          <w:color w:val="auto"/>
        </w:rPr>
        <w:t>% if the underwriters exercise their over-allotment option in full) and one share of</w:t>
      </w:r>
    </w:p>
    <w:p>
      <w:pPr>
        <w:spacing w:after="0" w:line="23"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 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8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intend to file a registration statement under the Securities Act registering shares of our Class A common stock reserved for issuance under the BellRing Brands, Inc. 2019 Long-Term Incentive Plan, which will be effective at the time of the offering,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30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color w:val="auto"/>
        </w:rPr>
        <w:t>Our amended and restated certificate of incorporation will authorize us to issue up to shares of Class A common stock, one share of Class B common stock and up to shares of preferred stock with such rights and preferences as may be determined by our Board of Directors.</w:t>
      </w:r>
    </w:p>
    <w:p>
      <w:pPr>
        <w:ind w:left="200" w:right="140"/>
        <w:spacing w:after="0" w:line="270" w:lineRule="auto"/>
        <w:rPr>
          <w:sz w:val="20"/>
          <w:szCs w:val="20"/>
          <w:color w:val="auto"/>
        </w:rPr>
      </w:pPr>
      <w:r>
        <w:rPr>
          <w:rFonts w:ascii="Arial" w:cs="Arial" w:eastAsia="Arial" w:hAnsi="Arial"/>
          <w:sz w:val="17"/>
          <w:szCs w:val="17"/>
          <w:color w:val="auto"/>
        </w:rPr>
        <w:t>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do not intend to pay cash dividends on our Class A common stock for the foreseeable future. Consequently, investors must rely on sales of their shares of our Class A common stock after price appreciation,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“Use of Proceeds” and Description of Certain Indebtedness—Debt Facilities.” Our management will not have any discretion over the specific use of such proceeds.</w:t>
      </w:r>
    </w:p>
    <w:p>
      <w:pPr>
        <w:spacing w:after="0" w:line="296" w:lineRule="exact"/>
        <w:rPr>
          <w:sz w:val="20"/>
          <w:szCs w:val="20"/>
          <w:color w:val="auto"/>
        </w:rPr>
      </w:pPr>
    </w:p>
    <w:p>
      <w:pPr>
        <w:ind w:left="640" w:right="30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4" w:lineRule="exact"/>
        <w:rPr>
          <w:sz w:val="20"/>
          <w:szCs w:val="20"/>
          <w:color w:val="auto"/>
        </w:rPr>
      </w:pPr>
    </w:p>
    <w:p>
      <w:pPr>
        <w:ind w:left="1180" w:right="3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87" w:lineRule="exact"/>
        <w:rPr>
          <w:sz w:val="20"/>
          <w:szCs w:val="20"/>
          <w:color w:val="auto"/>
        </w:rPr>
      </w:pPr>
    </w:p>
    <w:p>
      <w:pPr>
        <w:jc w:val="both"/>
        <w:ind w:left="200" w:right="140" w:firstLine="441"/>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28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00" w:right="560" w:firstLine="441"/>
        <w:spacing w:after="0" w:line="312"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2"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89"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7" w:lineRule="exact"/>
        <w:rPr>
          <w:sz w:val="20"/>
          <w:szCs w:val="20"/>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2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not have the same protections afforded to stockholders of companies that are subject to all of the NYSE rules regarding corporate governance.</w:t>
      </w:r>
    </w:p>
    <w:p>
      <w:pPr>
        <w:spacing w:after="0" w:line="34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97"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BellRing Brands, Inc. In addition to tax expenses, BellRing Brands, Inc. also will incur expenses related to its operations, including expenses under the tax receivable agreement, which could be significant. See “Certain Relationships and Related Party Transactions—Post-Offering Relationship with Post—Tax Receivable Agreement.” We expect that BellRing Brands, LLC will make distributions in an amount sufficient to allow BellRing Brands, Inc. to pay its tax obligations in respect of taxable income allocated to us from BellRing Brands, LLC and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9" w:lineRule="exact"/>
        <w:rPr>
          <w:sz w:val="20"/>
          <w:szCs w:val="20"/>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38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44"/>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240" w:top="459" w:right="6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We estimate that the net proceeds from the sale of our Class A common stock in this offering, after deducting the underwriting discount and</w:t>
      </w:r>
    </w:p>
    <w:p>
      <w:pPr>
        <w:spacing w:after="0" w:line="35" w:lineRule="exact"/>
        <w:rPr>
          <w:sz w:val="20"/>
          <w:szCs w:val="20"/>
          <w:color w:val="auto"/>
        </w:rPr>
      </w:pPr>
    </w:p>
    <w:p>
      <w:pPr>
        <w:ind w:left="200"/>
        <w:spacing w:after="0"/>
        <w:tabs>
          <w:tab w:leader="none" w:pos="4120" w:val="left"/>
          <w:tab w:leader="none" w:pos="5200" w:val="left"/>
        </w:tabs>
        <w:rPr>
          <w:sz w:val="20"/>
          <w:szCs w:val="20"/>
          <w:color w:val="auto"/>
        </w:rPr>
      </w:pPr>
      <w:r>
        <w:rPr>
          <w:rFonts w:ascii="Arial" w:cs="Arial" w:eastAsia="Arial" w:hAnsi="Arial"/>
          <w:sz w:val="18"/>
          <w:szCs w:val="18"/>
          <w:color w:val="auto"/>
        </w:rPr>
        <w:t>expenses of this offering, will be approximately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6"/>
          <w:szCs w:val="16"/>
          <w:color w:val="auto"/>
        </w:rPr>
        <w:t>million if the underwriters exercise their over-allotment option in full) based on an</w:t>
      </w:r>
    </w:p>
    <w:p>
      <w:pPr>
        <w:spacing w:after="0" w:line="9"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assumed initial public offering price of $ per share (the midpoint of the estimated initial public offering price range set forth on the cover page of this prospectus).</w:t>
      </w:r>
    </w:p>
    <w:p>
      <w:pPr>
        <w:spacing w:after="0" w:line="18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“Description of Certain Indebtedness—Debt Facilities”. The Post bridge loan bears an interest rate of % and</w:t>
      </w:r>
    </w:p>
    <w:p>
      <w:pPr>
        <w:spacing w:after="0" w:line="2"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auto"/>
        </w:rPr>
        <w:t>matures on .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62" w:lineRule="exact"/>
        <w:rPr>
          <w:sz w:val="20"/>
          <w:szCs w:val="20"/>
          <w:color w:val="auto"/>
        </w:rPr>
      </w:pPr>
    </w:p>
    <w:p>
      <w:pPr>
        <w:ind w:left="200" w:right="20" w:firstLine="441"/>
        <w:spacing w:after="0"/>
        <w:rPr>
          <w:sz w:val="20"/>
          <w:szCs w:val="20"/>
          <w:color w:val="auto"/>
        </w:rPr>
      </w:pPr>
      <w:r>
        <w:rPr>
          <w:rFonts w:ascii="Arial" w:cs="Arial" w:eastAsia="Arial" w:hAnsi="Arial"/>
          <w:sz w:val="1"/>
          <w:szCs w:val="1"/>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 the same and after deducting the estimated underwriting discounts and commissions. Similarly, each increase or decrease of 1.0 million in the number of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we are offering would increase or decrease the net proceeds to us from this offering by $ million, assuming no change in the assumed initial public offering price of $ per share and after deducting the estimated underwriting discounts and commissions.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4"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as described below under “Certain Relationships and Related Party Transactions—Post-Offering Relationship with Post—Coordination of BellRing Brands, Inc. and BellRing Brands, LLC.” The amended and restated limited liability company agreement provides, to the extent cash is available, for distributions pro rata to the holders of BellRing Brands, LLC Units such that members receive an amount of cash sufficient to cover the estimated taxes payable by them. Future agreements governing our indebtedness may also limit our ability to pay dividends. See “Description of Certain Indebtedness” for a description of the restrictions on our ability to pay dividends.</w:t>
      </w:r>
    </w:p>
    <w:p>
      <w:pPr>
        <w:spacing w:after="0" w:line="18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cash and cash equivalents and capitalization as of March 31, 2019:</w:t>
      </w:r>
    </w:p>
    <w:p>
      <w:pPr>
        <w:spacing w:after="0" w:line="131"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1" w:lineRule="exact"/>
        <w:rPr>
          <w:sz w:val="20"/>
          <w:szCs w:val="20"/>
          <w:color w:val="auto"/>
        </w:rPr>
      </w:pPr>
    </w:p>
    <w:p>
      <w:pPr>
        <w:ind w:left="1180" w:right="160" w:hanging="539"/>
        <w:spacing w:after="0" w:line="257"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after giving effect to: (i) this offering, at an assumed initial public offering price of $ per share (which is the midpoint of the estimated offering price range set forth on the cover page of this prospectus) and (ii) the entry of BellRing Brands, LLC into the debt facilities, the borrowing by BellRing Brands, LLC under the debt facilities and the application of the net proceeds of this offering and the debt facilities to repay in full the Post bridge loan as described under “Use of Proceeds,” and assuming no exercise of the underwriters’ over-allotment option.</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 audited combined financial statements and the notes thereto as of September 30, 2018 and 2017 and for the three fiscal years ended September 30, 2018 and Post’s Active Nutrition business unaudited condensed combined financial statements and the notes thereto for the six months ended March 31, 2019 and 2018, each appearing elsewhere in this prospectus.</w:t>
      </w:r>
    </w:p>
    <w:p>
      <w:pPr>
        <w:spacing w:after="0" w:line="191"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As of March 31, 2019</w:t>
      </w:r>
    </w:p>
    <w:p>
      <w:pPr>
        <w:jc w:val="center"/>
        <w:ind w:left="902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7"/>
              </w:rPr>
              <w:t>Active</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BellRing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10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99"/>
              </w:rPr>
              <w:t>Brands, Inc.</w:t>
            </w:r>
          </w:p>
        </w:tc>
        <w:tc>
          <w:tcPr>
            <w:tcW w:w="0" w:type="dxa"/>
            <w:vAlign w:val="bottom"/>
          </w:tcPr>
          <w:p>
            <w:pPr>
              <w:spacing w:after="0"/>
              <w:rPr>
                <w:sz w:val="1"/>
                <w:szCs w:val="1"/>
                <w:color w:val="auto"/>
              </w:rPr>
            </w:pPr>
          </w:p>
        </w:tc>
      </w:tr>
      <w:tr>
        <w:trPr>
          <w:trHeight w:val="171"/>
        </w:trPr>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820" w:type="dxa"/>
            <w:vAlign w:val="bottom"/>
            <w:gridSpan w:val="4"/>
          </w:tcPr>
          <w:p>
            <w:pPr>
              <w:ind w:left="2920"/>
              <w:spacing w:after="0"/>
              <w:rPr>
                <w:sz w:val="20"/>
                <w:szCs w:val="20"/>
                <w:color w:val="auto"/>
              </w:rPr>
            </w:pPr>
            <w:r>
              <w:rPr>
                <w:rFonts w:ascii="Arial" w:cs="Arial" w:eastAsia="Arial" w:hAnsi="Arial"/>
                <w:sz w:val="14"/>
                <w:szCs w:val="14"/>
                <w:b w:val="1"/>
                <w:bCs w:val="1"/>
                <w:color w:val="auto"/>
              </w:rPr>
              <w:t>Historical</w:t>
            </w:r>
          </w:p>
        </w:tc>
        <w:tc>
          <w:tcPr>
            <w:tcW w:w="2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42"/>
        </w:trPr>
        <w:tc>
          <w:tcPr>
            <w:tcW w:w="1600" w:type="dxa"/>
            <w:vAlign w:val="bottom"/>
            <w:gridSpan w:val="3"/>
            <w:vMerge w:val="continue"/>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(a)(b)(c)</w:t>
            </w:r>
          </w:p>
        </w:tc>
        <w:tc>
          <w:tcPr>
            <w:tcW w:w="2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4"/>
            <w:vMerge w:val="continue"/>
          </w:tcPr>
          <w:p>
            <w:pPr>
              <w:spacing w:after="0"/>
              <w:rPr>
                <w:sz w:val="18"/>
                <w:szCs w:val="18"/>
                <w:color w:val="auto"/>
              </w:rPr>
            </w:pPr>
          </w:p>
        </w:tc>
        <w:tc>
          <w:tcPr>
            <w:tcW w:w="2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Debt facilities</w:t>
            </w:r>
            <w:r>
              <w:rPr>
                <w:rFonts w:ascii="Arial" w:cs="Arial" w:eastAsia="Arial" w:hAnsi="Arial"/>
                <w:sz w:val="15"/>
                <w:szCs w:val="15"/>
                <w:color w:val="auto"/>
                <w:w w:val="97"/>
              </w:rPr>
              <w:t>(a)</w:t>
            </w:r>
          </w:p>
        </w:tc>
        <w:tc>
          <w:tcPr>
            <w:tcW w:w="2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0" w:type="dxa"/>
            <w:vAlign w:val="bottom"/>
            <w:gridSpan w:val="3"/>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Stockholders’ Equity:</w:t>
            </w:r>
          </w:p>
        </w:tc>
        <w:tc>
          <w:tcPr>
            <w:tcW w:w="2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Common stock:</w:t>
            </w:r>
          </w:p>
        </w:tc>
        <w:tc>
          <w:tcPr>
            <w:tcW w:w="2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A, par value $0.01 per share; actual:</w:t>
            </w:r>
          </w:p>
        </w:tc>
        <w:tc>
          <w:tcPr>
            <w:tcW w:w="2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shares outstanding; as adjusted:</w:t>
            </w:r>
          </w:p>
        </w:tc>
        <w:tc>
          <w:tcPr>
            <w:tcW w:w="21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Class B, par value $0.01 per share; actual:</w:t>
            </w:r>
          </w:p>
        </w:tc>
        <w:tc>
          <w:tcPr>
            <w:tcW w:w="2120" w:type="dxa"/>
            <w:vAlign w:val="bottom"/>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color w:val="auto"/>
              </w:rPr>
              <w:t>and</w:t>
            </w:r>
          </w:p>
        </w:tc>
        <w:tc>
          <w:tcPr>
            <w:tcW w:w="2440" w:type="dxa"/>
            <w:vAlign w:val="bottom"/>
          </w:tcPr>
          <w:p>
            <w:pPr>
              <w:ind w:left="20"/>
              <w:spacing w:after="0"/>
              <w:rPr>
                <w:sz w:val="20"/>
                <w:szCs w:val="20"/>
                <w:color w:val="auto"/>
              </w:rPr>
            </w:pPr>
            <w:r>
              <w:rPr>
                <w:rFonts w:ascii="Arial" w:cs="Arial" w:eastAsia="Arial" w:hAnsi="Arial"/>
                <w:sz w:val="18"/>
                <w:szCs w:val="18"/>
                <w:color w:val="auto"/>
                <w:w w:val="92"/>
              </w:rPr>
              <w:t>shares outstanding; as adjusted:</w:t>
            </w:r>
          </w:p>
        </w:tc>
        <w:tc>
          <w:tcPr>
            <w:tcW w:w="2120" w:type="dxa"/>
            <w:vAlign w:val="bottom"/>
          </w:tcPr>
          <w:p>
            <w:pPr>
              <w:ind w:left="66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tcPr>
          <w:p>
            <w:pPr>
              <w:ind w:left="640"/>
              <w:spacing w:after="0"/>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color w:val="auto"/>
              </w:rPr>
              <w:t>and</w:t>
            </w:r>
          </w:p>
        </w:tc>
        <w:tc>
          <w:tcPr>
            <w:tcW w:w="2440" w:type="dxa"/>
            <w:vAlign w:val="bottom"/>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$0.01 per share;</w:t>
            </w:r>
          </w:p>
        </w:tc>
        <w:tc>
          <w:tcPr>
            <w:tcW w:w="51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authorized, no shares issued and outstanding actual</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and as adjusted</w:t>
            </w:r>
          </w:p>
        </w:tc>
        <w:tc>
          <w:tcPr>
            <w:tcW w:w="21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Total Capitalization</w:t>
            </w:r>
          </w:p>
        </w:tc>
        <w:tc>
          <w:tcPr>
            <w:tcW w:w="21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80" w:hanging="436"/>
        <w:spacing w:after="0" w:line="264"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of their obligations under the Post bridge loan. We will not receive any of the proceeds of the Post bridge loan.</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w:t>
      </w:r>
    </w:p>
    <w:p>
      <w:pPr>
        <w:spacing w:after="0" w:line="35" w:lineRule="exact"/>
        <w:rPr>
          <w:sz w:val="20"/>
          <w:szCs w:val="20"/>
          <w:color w:val="auto"/>
        </w:rPr>
      </w:pPr>
    </w:p>
    <w:p>
      <w:pPr>
        <w:ind w:left="640" w:right="20"/>
        <w:spacing w:after="0" w:line="251" w:lineRule="auto"/>
        <w:rPr>
          <w:sz w:val="20"/>
          <w:szCs w:val="20"/>
          <w:color w:val="auto"/>
        </w:rPr>
      </w:pPr>
      <w:r>
        <w:rPr>
          <w:rFonts w:ascii="Arial" w:cs="Arial" w:eastAsia="Arial" w:hAnsi="Arial"/>
          <w:sz w:val="18"/>
          <w:szCs w:val="18"/>
          <w:color w:val="auto"/>
        </w:rPr>
        <w:t>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table above, we have assumed:</w:t>
      </w:r>
    </w:p>
    <w:p>
      <w:pPr>
        <w:spacing w:after="0" w:line="131"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will be no borrowings under the revolving credit facility portion of the new debt facilities in connection with this offering; and</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ectPr>
          <w:pgSz w:w="11900" w:h="16838" w:orient="portrait"/>
          <w:cols w:equalWidth="0" w:num="1">
            <w:col w:w="11220"/>
          </w:cols>
          <w:pgMar w:left="240" w:top="459" w:right="439" w:bottom="1440" w:gutter="0" w:footer="0" w:header="0"/>
        </w:sectPr>
      </w:pPr>
    </w:p>
    <w:p>
      <w:pPr>
        <w:spacing w:after="0" w:line="23" w:lineRule="exact"/>
        <w:rPr>
          <w:sz w:val="20"/>
          <w:szCs w:val="20"/>
          <w:color w:val="auto"/>
        </w:rPr>
      </w:pPr>
    </w:p>
    <w:p>
      <w:pPr>
        <w:ind w:left="1180" w:right="220"/>
        <w:spacing w:after="0" w:line="261" w:lineRule="auto"/>
        <w:rPr>
          <w:sz w:val="20"/>
          <w:szCs w:val="20"/>
          <w:color w:val="auto"/>
        </w:rPr>
      </w:pPr>
      <w:r>
        <w:rPr>
          <w:rFonts w:ascii="Arial" w:cs="Arial" w:eastAsia="Arial" w:hAnsi="Arial"/>
          <w:sz w:val="18"/>
          <w:szCs w:val="18"/>
          <w:color w:val="auto"/>
        </w:rPr>
        <w:t>will be incurred and that BellRing Brands, LLC will receive net proceeds from the borrowings of $ million, after deducting fees and expenses.</w:t>
      </w:r>
    </w:p>
    <w:p>
      <w:pPr>
        <w:sectPr>
          <w:pgSz w:w="11900" w:h="16838" w:orient="portrait"/>
          <w:cols w:equalWidth="0" w:num="1">
            <w:col w:w="11220"/>
          </w:cols>
          <w:pgMar w:left="240" w:top="459" w:right="439" w:bottom="1440" w:gutter="0" w:footer="0" w:header="0"/>
          <w:type w:val="continuous"/>
        </w:sectPr>
      </w:pPr>
    </w:p>
    <w:p>
      <w:pPr>
        <w:spacing w:after="0" w:line="89" w:lineRule="exact"/>
        <w:rPr>
          <w:sz w:val="20"/>
          <w:szCs w:val="20"/>
          <w:color w:val="auto"/>
        </w:rPr>
      </w:pPr>
    </w:p>
    <w:p>
      <w:pPr>
        <w:ind w:left="640" w:hanging="436"/>
        <w:spacing w:after="0" w:line="342"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 Post in connection with its incorporation, which shares will be cancelled as part of the exchange), one share of its Class B common stock.</w:t>
      </w:r>
    </w:p>
    <w:p>
      <w:pPr>
        <w:spacing w:after="0" w:line="29" w:lineRule="exact"/>
        <w:rPr>
          <w:sz w:val="20"/>
          <w:szCs w:val="20"/>
          <w:color w:val="auto"/>
        </w:rPr>
      </w:pPr>
    </w:p>
    <w:p>
      <w:pPr>
        <w:ind w:left="640" w:right="1960"/>
        <w:spacing w:after="0" w:line="277" w:lineRule="auto"/>
        <w:rPr>
          <w:sz w:val="20"/>
          <w:szCs w:val="20"/>
          <w:color w:val="auto"/>
        </w:rPr>
      </w:pPr>
      <w:r>
        <w:rPr>
          <w:rFonts w:ascii="Arial" w:cs="Arial" w:eastAsia="Arial" w:hAnsi="Arial"/>
          <w:sz w:val="18"/>
          <w:szCs w:val="18"/>
          <w:color w:val="auto"/>
        </w:rPr>
        <w:t>In this offering, BellRing Brands, Inc. expects to issue approximately shares of its Class A common stock (or approximately shares if the underwriters exercise their over-allotment option in full).</w:t>
      </w:r>
    </w:p>
    <w:p>
      <w:pPr>
        <w:spacing w:after="0" w:line="76" w:lineRule="exact"/>
        <w:rPr>
          <w:sz w:val="20"/>
          <w:szCs w:val="20"/>
          <w:color w:val="auto"/>
        </w:rPr>
      </w:pPr>
    </w:p>
    <w:p>
      <w:pPr>
        <w:ind w:left="640" w:right="80" w:hanging="439"/>
        <w:spacing w:after="0" w:line="291" w:lineRule="auto"/>
        <w:tabs>
          <w:tab w:leader="none" w:pos="620" w:val="left"/>
        </w:tabs>
        <w:rPr>
          <w:sz w:val="20"/>
          <w:szCs w:val="20"/>
          <w:color w:val="auto"/>
        </w:rPr>
      </w:pPr>
      <w:r>
        <w:rPr>
          <w:rFonts w:ascii="Arial" w:cs="Arial" w:eastAsia="Arial" w:hAnsi="Arial"/>
          <w:sz w:val="16"/>
          <w:szCs w:val="16"/>
          <w:color w:val="auto"/>
        </w:rPr>
        <w:t>(c)</w:t>
        <w:tab/>
        <w:t>BellRing Brands, Inc. expects to receive net proceeds from this offering of approximately $ million (or approximately $ million if the underwriters exercise their over-allotment option in full), assuming the shares are offered at $ per share (the midpoint of the price range listed</w:t>
      </w:r>
    </w:p>
    <w:p>
      <w:pPr>
        <w:jc w:val="both"/>
        <w:ind w:left="640" w:right="280"/>
        <w:spacing w:after="0" w:line="273" w:lineRule="auto"/>
        <w:rPr>
          <w:sz w:val="20"/>
          <w:szCs w:val="20"/>
          <w:color w:val="auto"/>
        </w:rPr>
      </w:pPr>
      <w:r>
        <w:rPr>
          <w:rFonts w:ascii="Arial" w:cs="Arial" w:eastAsia="Arial" w:hAnsi="Arial"/>
          <w:sz w:val="17"/>
          <w:szCs w:val="17"/>
          <w:color w:val="auto"/>
        </w:rPr>
        <w:t>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If you invest in our Class A common stock, your ownership interest will be diluted to the extent that the initial public offering price per share of our Class A common stock exceeds the pro forma as adjusted net tangible book value per share of our Class A common stock immediately following this offering. Our pro forma net tangible book value gives effect to the pro forma adjustments to our capitalization referred to under “Capitalization.” Net tangible book value is equal to our total stockholders’ equity, less intangible assets, immediately prior to the closing of this offering. As adjusted net tangible book value is further adjusted to give effect to our sale of shares of our Class A common stock in this offering at an assumed initial public</w:t>
      </w:r>
    </w:p>
    <w:p>
      <w:pPr>
        <w:spacing w:after="0" w:line="2" w:lineRule="exact"/>
        <w:rPr>
          <w:sz w:val="20"/>
          <w:szCs w:val="20"/>
          <w:color w:val="auto"/>
        </w:rPr>
      </w:pPr>
    </w:p>
    <w:p>
      <w:pPr>
        <w:ind w:left="200" w:right="700"/>
        <w:spacing w:after="0" w:line="290" w:lineRule="auto"/>
        <w:rPr>
          <w:sz w:val="20"/>
          <w:szCs w:val="20"/>
          <w:color w:val="auto"/>
        </w:rPr>
      </w:pPr>
      <w:r>
        <w:rPr>
          <w:rFonts w:ascii="Arial" w:cs="Arial" w:eastAsia="Arial" w:hAnsi="Arial"/>
          <w:sz w:val="17"/>
          <w:szCs w:val="17"/>
          <w:color w:val="auto"/>
        </w:rPr>
        <w:t>offering price of $ per share, which is the midpoint of the estimated offering price range set forth on the cover page of this prospectus, after deducting the estimated underwriting discounts and commissions and estimated offering expenses payable by us.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tangible book value per share represents the net tangible book value divided by the total number of shares of our common stock</w:t>
      </w:r>
    </w:p>
    <w:p>
      <w:pPr>
        <w:spacing w:after="0" w:line="35" w:lineRule="exact"/>
        <w:rPr>
          <w:sz w:val="20"/>
          <w:szCs w:val="20"/>
          <w:color w:val="auto"/>
        </w:rPr>
      </w:pPr>
    </w:p>
    <w:p>
      <w:pPr>
        <w:ind w:left="200"/>
        <w:spacing w:after="0"/>
        <w:tabs>
          <w:tab w:leader="none" w:pos="6500" w:val="left"/>
          <w:tab w:leader="none" w:pos="7240" w:val="left"/>
        </w:tabs>
        <w:rPr>
          <w:sz w:val="20"/>
          <w:szCs w:val="20"/>
          <w:color w:val="auto"/>
        </w:rPr>
      </w:pPr>
      <w:r>
        <w:rPr>
          <w:rFonts w:ascii="Arial" w:cs="Arial" w:eastAsia="Arial" w:hAnsi="Arial"/>
          <w:sz w:val="18"/>
          <w:szCs w:val="18"/>
          <w:color w:val="auto"/>
        </w:rPr>
        <w:t>outstanding. As of March 31, 2019, the net tangible book value would have been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per share of our common stock.</w:t>
      </w:r>
    </w:p>
    <w:p>
      <w:pPr>
        <w:spacing w:after="0" w:line="211" w:lineRule="exact"/>
        <w:rPr>
          <w:sz w:val="20"/>
          <w:szCs w:val="20"/>
          <w:color w:val="auto"/>
        </w:rPr>
      </w:pPr>
    </w:p>
    <w:p>
      <w:pPr>
        <w:ind w:left="200" w:right="120" w:firstLine="441"/>
        <w:spacing w:after="0" w:line="274" w:lineRule="auto"/>
        <w:rPr>
          <w:sz w:val="20"/>
          <w:szCs w:val="20"/>
          <w:color w:val="auto"/>
        </w:rPr>
      </w:pPr>
      <w:r>
        <w:rPr>
          <w:rFonts w:ascii="Arial" w:cs="Arial" w:eastAsia="Arial" w:hAnsi="Arial"/>
          <w:sz w:val="17"/>
          <w:szCs w:val="17"/>
          <w:color w:val="auto"/>
        </w:rPr>
        <w:t>After giving effect to the formation transactions and our sale of shares of Class A common stock in this offering at an assumed initial public offering price of $ per share (which is the midpoint of the estimated offering price range set forth on the cover page of this prospectus), after</w:t>
      </w:r>
    </w:p>
    <w:p>
      <w:pPr>
        <w:ind w:left="200"/>
        <w:spacing w:after="0"/>
        <w:rPr>
          <w:sz w:val="20"/>
          <w:szCs w:val="20"/>
          <w:color w:val="auto"/>
        </w:rPr>
      </w:pPr>
      <w:r>
        <w:rPr>
          <w:rFonts w:ascii="Arial" w:cs="Arial" w:eastAsia="Arial" w:hAnsi="Arial"/>
          <w:sz w:val="16"/>
          <w:szCs w:val="16"/>
          <w:color w:val="auto"/>
        </w:rPr>
        <w:t>deducting the estimated underwriting discounts and commissions and estimated offering expenses payable by us, the as adjusted net tangible book value</w:t>
      </w:r>
    </w:p>
    <w:p>
      <w:pPr>
        <w:spacing w:after="0" w:line="386"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as of March 31, 2019 would have been approximately $ , or $ per share of common stock. Therefore, this offering will result in an immediate increase of $ in the tangible book value per share of our common stock outstanding prior to this offering and an immediate dilution of $ in the tangible book value per share of our Class A common stock purchased in this offering.</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5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March 31, 2019</w:t>
            </w:r>
          </w:p>
        </w:tc>
        <w:tc>
          <w:tcPr>
            <w:tcW w:w="2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17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upon completion of this offering</w:t>
            </w:r>
          </w:p>
        </w:tc>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from this offering</w:t>
            </w:r>
          </w:p>
        </w:tc>
        <w:tc>
          <w:tcPr>
            <w:tcW w:w="35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above discussion and table are based on the number of shares outstanding at March 31, 2019 on a pro forma basis and excludes an aggregate</w:t>
      </w:r>
    </w:p>
    <w:p>
      <w:pPr>
        <w:spacing w:after="0" w:line="46"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of additional shares of our Class A common stock that will be issuable upon redemption of BellRing Brands, LLC Units or reserved for future awards pursuant to the BellRing Brands, Inc. 2019 Long-Term Incentive Plan.</w:t>
      </w:r>
    </w:p>
    <w:p>
      <w:pPr>
        <w:spacing w:after="0" w:line="184"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A $1.00 increase or decrease in the assumed initial public offering price of $ per share (the midpoint of the estimated offering price range set forth on the cover page of this prospectus) would increase or decrease the as adjusted net tangible book value per share after this offering by $ per share and increase or decrease the dilution to new investors in this offering by $ per share, in each case assuming the number of shares of Class A</w:t>
      </w:r>
    </w:p>
    <w:p>
      <w:pPr>
        <w:ind w:left="200" w:right="140"/>
        <w:spacing w:after="0" w:line="421" w:lineRule="auto"/>
        <w:rPr>
          <w:sz w:val="20"/>
          <w:szCs w:val="20"/>
          <w:color w:val="auto"/>
        </w:rPr>
      </w:pPr>
      <w:r>
        <w:rPr>
          <w:rFonts w:ascii="Arial" w:cs="Arial" w:eastAsia="Arial" w:hAnsi="Arial"/>
          <w:sz w:val="16"/>
          <w:szCs w:val="16"/>
          <w:color w:val="auto"/>
        </w:rPr>
        <w:t>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in full, the as adjusted net tangible book value per share of our common stock would be $ per share, and the dilution in net tangible book value per share to investors in this offering would be $ per share of Class A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and for each of the fiscal years in the three-year period ended September 30, 2018 and as of March 31, 2019 and for the six months ended March 31,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six months ended March 31, 2019 and 2018 and (iv) “Management’s Discussion and Analysis of Financial Condition and Results of Operations,” each of which is contained elsewhere in this prospectus.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selected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selected unaudited historical condensed combined financial data as of and for the six months ended March 31, 2019 and 2018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tcPr>
          <w:p>
            <w:pPr>
              <w:jc w:val="center"/>
              <w:ind w:right="58"/>
              <w:spacing w:after="0" w:line="119" w:lineRule="exact"/>
              <w:rPr>
                <w:sz w:val="20"/>
                <w:szCs w:val="20"/>
                <w:color w:val="auto"/>
              </w:rPr>
            </w:pPr>
            <w:r>
              <w:rPr>
                <w:rFonts w:ascii="Arial" w:cs="Arial" w:eastAsia="Arial" w:hAnsi="Arial"/>
                <w:sz w:val="13"/>
                <w:szCs w:val="13"/>
                <w:b w:val="1"/>
                <w:bCs w:val="1"/>
                <w:color w:val="auto"/>
              </w:rPr>
              <w:t>Six Months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274"/>
              <w:spacing w:after="0" w:line="149"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391.2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3"/>
            <w:vMerge w:val="restart"/>
          </w:tcPr>
          <w:p>
            <w:pPr>
              <w:jc w:val="center"/>
              <w:ind w:left="253"/>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6"/>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601.5</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504.6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7"/>
              </w:rPr>
              <w:t>Active Nutrition</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Fiscal 2019</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Fiscal 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3"/>
              </w:rPr>
              <w:t>Second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Fourth</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Second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r>
      <w:tr>
        <w:trPr>
          <w:trHeight w:val="171"/>
        </w:trPr>
        <w:tc>
          <w:tcPr>
            <w:tcW w:w="484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160" w:hanging="436"/>
        <w:spacing w:after="0" w:line="277"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1060" w:right="80" w:hanging="333"/>
        <w:spacing w:after="0" w:line="31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2" w:lineRule="exact"/>
        <w:rPr>
          <w:rFonts w:ascii="Arial" w:cs="Arial" w:eastAsia="Arial" w:hAnsi="Arial"/>
          <w:sz w:val="16"/>
          <w:szCs w:val="16"/>
          <w:color w:val="auto"/>
        </w:rPr>
      </w:pPr>
    </w:p>
    <w:p>
      <w:pPr>
        <w:ind w:left="1060" w:right="60" w:hanging="343"/>
        <w:spacing w:after="0" w:line="259"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hanging="333"/>
        <w:spacing w:after="0" w:line="259"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right="20" w:hanging="343"/>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6" w:lineRule="exact"/>
        <w:rPr>
          <w:rFonts w:ascii="Arial" w:cs="Arial" w:eastAsia="Arial" w:hAnsi="Arial"/>
          <w:sz w:val="18"/>
          <w:szCs w:val="18"/>
          <w:color w:val="auto"/>
        </w:rPr>
      </w:pPr>
    </w:p>
    <w:p>
      <w:pPr>
        <w:ind w:left="1060" w:right="160" w:hanging="333"/>
        <w:spacing w:after="0" w:line="30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59" w:lineRule="exact"/>
        <w:rPr>
          <w:rFonts w:ascii="Arial" w:cs="Arial" w:eastAsia="Arial" w:hAnsi="Arial"/>
          <w:sz w:val="16"/>
          <w:szCs w:val="16"/>
          <w:color w:val="auto"/>
        </w:rPr>
      </w:pPr>
    </w:p>
    <w:p>
      <w:pPr>
        <w:ind w:left="1060" w:right="560" w:hanging="313"/>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6" w:lineRule="exact"/>
        <w:rPr>
          <w:rFonts w:ascii="Arial" w:cs="Arial" w:eastAsia="Arial" w:hAnsi="Arial"/>
          <w:sz w:val="18"/>
          <w:szCs w:val="18"/>
          <w:color w:val="auto"/>
        </w:rPr>
      </w:pPr>
    </w:p>
    <w:p>
      <w:pPr>
        <w:ind w:left="1060" w:right="80" w:hanging="343"/>
        <w:spacing w:after="0" w:line="312"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2"/>
        <w:spacing w:after="0" w:line="264" w:lineRule="auto"/>
        <w:tabs>
          <w:tab w:leader="none" w:pos="13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7" w:lineRule="exact"/>
        <w:rPr>
          <w:sz w:val="20"/>
          <w:szCs w:val="20"/>
          <w:color w:val="auto"/>
        </w:rPr>
      </w:pPr>
    </w:p>
    <w:p>
      <w:pPr>
        <w:ind w:left="1060" w:right="60" w:hanging="343"/>
        <w:spacing w:after="0" w:line="276"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Active Nutrition</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6"/>
          </w:tcPr>
          <w:p>
            <w:pPr>
              <w:jc w:val="center"/>
              <w:ind w:right="260"/>
              <w:spacing w:after="0" w:line="119" w:lineRule="exact"/>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left="233"/>
              <w:spacing w:after="0" w:line="149" w:lineRule="exact"/>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Separation costs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Assets held for sale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60" w:type="dxa"/>
            <w:vAlign w:val="bottom"/>
            <w:vMerge w:val="restart"/>
          </w:tcPr>
          <w:p>
            <w:pPr>
              <w:jc w:val="right"/>
              <w:ind w:right="790"/>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72"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the six months ended March 31, 2019, income tax effect on adjustments was calculated using 23.9%, the sum of the Company’s fiscal 2019 U.S. federal corporate income tax rate plus its blended state income tax rate net of federal deductions. For the six months ended March 31, 2018 and the year ended September 30, 2018, income tax effect on adjustments was calculated using 27.2%, the sum of the Company’s fiscal 2018 blended U.S. federal corporate income tax rate plus its blended state income tax rate. For the year ended September 30, 2017, income tax effect on adjustments was calculated using 37.7%, the sum of the Company’s fiscal 2017 U.S. federal corporate income tax rate plus its state income tax rate. For the year ended September 30, 2016, income tax effect on adjustments was calculated using 37.3%, the sum of the Company’s fiscal 2016 U.S. federal corporate income tax rate plus its blended state income tax rate.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following unaudited pro forma condensed consolidated balance sheet and statements of operations have been prepared to reflect (i) the</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formation transactions described in “Prospectus Summary—Formation Transactions,” including the issuance of one share of our Class B common stock</w:t>
      </w:r>
    </w:p>
    <w:p>
      <w:pPr>
        <w:spacing w:after="0" w:line="32" w:lineRule="exact"/>
        <w:rPr>
          <w:sz w:val="20"/>
          <w:szCs w:val="20"/>
          <w:color w:val="auto"/>
        </w:rPr>
      </w:pPr>
    </w:p>
    <w:p>
      <w:pPr>
        <w:ind w:left="200"/>
        <w:spacing w:after="0"/>
        <w:tabs>
          <w:tab w:leader="none" w:pos="1200" w:val="left"/>
          <w:tab w:leader="none" w:pos="57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BellRing Brands, LLC Units to Post; (ii) the sale of</w:t>
      </w:r>
      <w:r>
        <w:rPr>
          <w:sz w:val="20"/>
          <w:szCs w:val="20"/>
          <w:color w:val="auto"/>
        </w:rPr>
        <w:tab/>
      </w:r>
      <w:r>
        <w:rPr>
          <w:rFonts w:ascii="Arial" w:cs="Arial" w:eastAsia="Arial" w:hAnsi="Arial"/>
          <w:sz w:val="16"/>
          <w:szCs w:val="16"/>
          <w:color w:val="auto"/>
        </w:rPr>
        <w:t>shares of our Class A common stock in this offering, at an assumed initial</w:t>
      </w:r>
    </w:p>
    <w:p>
      <w:pPr>
        <w:spacing w:after="0" w:line="9"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public offering price of $ per share (which is the midpoint of the estimated offering price range set forth on the cover page of this prospectus) and assuming no exercise by the underwriters of their over-allotment option to purchase additional shares of our Class A common stock; and (iii) the entry of BellRing Brands, LLC into the debt facilities, its borrowing under the debt facilities and the application of the net proceeds of this offering and the debt facilities to repay in full the Post bridge loan as described under “Use of Proceeds.” The unaudited pro forma condensed consolidated balance sheet at March 31, 2019 is presented as if each of these events had occurred at March 31, 2019. The unaudited pro forma condensed consolidated statements of operations for the year ended September 30, 2018 and the six months ended March 31, 2019 are presented as if each of these events had occurred on October 1, 2017.</w:t>
      </w:r>
    </w:p>
    <w:p>
      <w:pPr>
        <w:spacing w:after="0" w:line="19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March 31,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w:t>
      </w:r>
    </w:p>
    <w:p>
      <w:pPr>
        <w:spacing w:after="0" w:line="2" w:lineRule="exact"/>
        <w:rPr>
          <w:sz w:val="20"/>
          <w:szCs w:val="20"/>
          <w:color w:val="auto"/>
        </w:rPr>
      </w:pPr>
    </w:p>
    <w:p>
      <w:pPr>
        <w:ind w:left="200" w:right="600"/>
        <w:spacing w:after="0" w:line="265" w:lineRule="auto"/>
        <w:rPr>
          <w:sz w:val="20"/>
          <w:szCs w:val="20"/>
          <w:color w:val="auto"/>
        </w:rPr>
      </w:pPr>
      <w:r>
        <w:rPr>
          <w:rFonts w:ascii="Arial" w:cs="Arial" w:eastAsia="Arial" w:hAnsi="Arial"/>
          <w:sz w:val="17"/>
          <w:szCs w:val="17"/>
          <w:color w:val="auto"/>
        </w:rPr>
        <w:t>recognize a deferred tax asset of approximately $ million and a liability of approximately $ million, assuming (i) all redemptions occurred on the same day; (ii) a price of $ per share (the midpoint of the price range set forth on the cover page of this prospectus); (iii) a</w:t>
      </w:r>
    </w:p>
    <w:p>
      <w:pPr>
        <w:ind w:left="200" w:right="260"/>
        <w:spacing w:after="0" w:line="281" w:lineRule="auto"/>
        <w:rPr>
          <w:sz w:val="20"/>
          <w:szCs w:val="20"/>
          <w:color w:val="auto"/>
        </w:rPr>
      </w:pPr>
      <w:r>
        <w:rPr>
          <w:rFonts w:ascii="Arial" w:cs="Arial" w:eastAsia="Arial" w:hAnsi="Arial"/>
          <w:sz w:val="16"/>
          <w:szCs w:val="16"/>
          <w:color w:val="auto"/>
        </w:rPr>
        <w:t>constant corporate tax rate of %; (iv) we will have sufficient taxable income to fully utilize the tax benefits; and (v) no material changes in tax law. For each 5% increase (decrease) in the amount of BellRing Brands, LLC Units redeemed by Post (and its transferees and assignees), our deferred tax</w:t>
      </w:r>
    </w:p>
    <w:p>
      <w:pPr>
        <w:spacing w:after="0" w:line="1" w:lineRule="exact"/>
        <w:rPr>
          <w:sz w:val="20"/>
          <w:szCs w:val="20"/>
          <w:color w:val="auto"/>
        </w:rPr>
      </w:pPr>
    </w:p>
    <w:p>
      <w:pPr>
        <w:ind w:left="200" w:right="480"/>
        <w:spacing w:after="0" w:line="281" w:lineRule="auto"/>
        <w:rPr>
          <w:sz w:val="20"/>
          <w:szCs w:val="20"/>
          <w:color w:val="auto"/>
        </w:rPr>
      </w:pPr>
      <w:r>
        <w:rPr>
          <w:rFonts w:ascii="Arial" w:cs="Arial" w:eastAsia="Arial" w:hAnsi="Arial"/>
          <w:sz w:val="16"/>
          <w:szCs w:val="16"/>
          <w:color w:val="auto"/>
        </w:rPr>
        <w:t>asset would increase (decrease) by approximately $ million and the related liability would increase (decrease) by approximately $ million, assuming that the price per share and corporate tax rate remain the same. For each $1.00 increase (decrease) in the assumed share price of</w:t>
      </w:r>
    </w:p>
    <w:p>
      <w:pPr>
        <w:spacing w:after="0" w:line="1" w:lineRule="exact"/>
        <w:rPr>
          <w:sz w:val="20"/>
          <w:szCs w:val="20"/>
          <w:color w:val="auto"/>
        </w:rPr>
      </w:pPr>
    </w:p>
    <w:p>
      <w:pPr>
        <w:ind w:left="880" w:hanging="676"/>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our deferred tax asset would increase (decrease) by</w:t>
      </w:r>
    </w:p>
    <w:p>
      <w:pPr>
        <w:spacing w:after="0" w:line="32"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approximately $ million and the related liability would increase (decrease) by approximately $ 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91"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tax-free spin-off to its shareholders, including by means of a spin-off merger transaction as described under “Description of Capital Stock—Spin-Off Merger Transaction”)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The present value of such tax benefit payments are discounted at a rate equal to the lesser of (i) 6.50% per annum, compounded annually and (ii) LIBOR plus 300 basis points. If we were to elect to terminate the tax receivable agreement immediately after this</w:t>
      </w:r>
    </w:p>
    <w:p>
      <w:pPr>
        <w:spacing w:after="0" w:line="6" w:lineRule="exact"/>
        <w:rPr>
          <w:sz w:val="20"/>
          <w:szCs w:val="20"/>
          <w:color w:val="auto"/>
        </w:rPr>
      </w:pPr>
    </w:p>
    <w:p>
      <w:pPr>
        <w:ind w:left="200" w:right="260"/>
        <w:spacing w:after="0" w:line="265" w:lineRule="auto"/>
        <w:rPr>
          <w:sz w:val="20"/>
          <w:szCs w:val="20"/>
          <w:color w:val="auto"/>
        </w:rPr>
      </w:pPr>
      <w:r>
        <w:rPr>
          <w:rFonts w:ascii="Arial" w:cs="Arial" w:eastAsia="Arial" w:hAnsi="Arial"/>
          <w:sz w:val="17"/>
          <w:szCs w:val="17"/>
          <w:color w:val="auto"/>
        </w:rPr>
        <w:t>offering, based on the assumed initial public offering price of $ per share of our Class A common stock (the midpoint of the range set forth on the cover page of this prospectus), we estimate that we would be required to pay approximately $ million in the aggregate under the tax</w:t>
      </w:r>
    </w:p>
    <w:p>
      <w:pPr>
        <w:ind w:left="200" w:right="40"/>
        <w:spacing w:after="0" w:line="290" w:lineRule="auto"/>
        <w:rPr>
          <w:sz w:val="20"/>
          <w:szCs w:val="20"/>
          <w:color w:val="auto"/>
        </w:rPr>
      </w:pPr>
      <w:r>
        <w:rPr>
          <w:rFonts w:ascii="Arial" w:cs="Arial" w:eastAsia="Arial" w:hAnsi="Arial"/>
          <w:sz w:val="17"/>
          <w:szCs w:val="17"/>
          <w:color w:val="auto"/>
        </w:rPr>
        <w:t>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Following the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unaudited pro forma condensed consolidated financial statements and the notes thereto should be read together with the following:</w:t>
      </w:r>
    </w:p>
    <w:p>
      <w:pPr>
        <w:spacing w:after="0" w:line="131" w:lineRule="exact"/>
        <w:rPr>
          <w:sz w:val="20"/>
          <w:szCs w:val="20"/>
          <w:color w:val="auto"/>
        </w:rPr>
      </w:pPr>
    </w:p>
    <w:p>
      <w:pPr>
        <w:ind w:left="1180" w:hanging="419"/>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Post’s Active Nutrition business audited combined financial statements and the notes thereto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right="280" w:hanging="430"/>
        <w:spacing w:after="0" w:line="308" w:lineRule="auto"/>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Post’s Active Nutrition business unaudited condensed combined financial statements and the notes thereto as of March 31, 2019 and September 30, 2018 and for the six months ended March 31, 2019 and 2018 included in this prospectus; and</w:t>
      </w:r>
    </w:p>
    <w:p>
      <w:pPr>
        <w:spacing w:after="0" w:line="51" w:lineRule="exact"/>
        <w:rPr>
          <w:rFonts w:ascii="Arial" w:cs="Arial" w:eastAsia="Arial" w:hAnsi="Arial"/>
          <w:sz w:val="17"/>
          <w:szCs w:val="17"/>
          <w:color w:val="auto"/>
        </w:rPr>
      </w:pPr>
    </w:p>
    <w:p>
      <w:pPr>
        <w:ind w:left="1180" w:hanging="41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240" w:top="459" w:right="6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26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4"/>
          </w:tcPr>
          <w:p>
            <w:pPr>
              <w:jc w:val="center"/>
              <w:ind w:left="74"/>
              <w:spacing w:after="0"/>
              <w:rPr>
                <w:sz w:val="20"/>
                <w:szCs w:val="20"/>
                <w:color w:val="auto"/>
              </w:rPr>
            </w:pPr>
            <w:r>
              <w:rPr>
                <w:rFonts w:ascii="Arial" w:cs="Arial" w:eastAsia="Arial" w:hAnsi="Arial"/>
                <w:sz w:val="14"/>
                <w:szCs w:val="14"/>
                <w:b w:val="1"/>
                <w:bCs w:val="1"/>
                <w:color w:val="auto"/>
                <w:w w:val="93"/>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w w:val="90"/>
              </w:rPr>
              <w:t>Adjustments</w:t>
            </w:r>
            <w:r>
              <w:rPr>
                <w:rFonts w:ascii="Arial" w:cs="Arial" w:eastAsia="Arial" w:hAnsi="Arial"/>
                <w:sz w:val="12"/>
                <w:szCs w:val="12"/>
                <w:b w:val="1"/>
                <w:bCs w:val="1"/>
                <w:color w:val="auto"/>
                <w:w w:val="90"/>
              </w:rPr>
              <w:t>(a)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7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224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0"/>
                <w:szCs w:val="20"/>
                <w:color w:val="auto"/>
              </w:rPr>
            </w:pPr>
            <w:r>
              <w:rPr>
                <w:rFonts w:ascii="Arial" w:cs="Arial" w:eastAsia="Arial" w:hAnsi="Arial"/>
                <w:sz w:val="15"/>
                <w:szCs w:val="15"/>
                <w:color w:val="auto"/>
              </w:rPr>
              <w:t>(d)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0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w w:val="96"/>
              </w:rPr>
              <w:t>Other current liabilities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Long-term debt</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liabilities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r>
              <w:rPr>
                <w:rFonts w:ascii="Arial" w:cs="Arial" w:eastAsia="Arial" w:hAnsi="Arial"/>
                <w:sz w:val="15"/>
                <w:szCs w:val="15"/>
                <w:color w:val="auto"/>
              </w:rPr>
              <w:t>(f)</w:t>
            </w: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Stockholders’ Equity</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Common stock:</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tcPr>
          <w:p>
            <w:pPr>
              <w:ind w:left="700"/>
              <w:spacing w:after="0" w:line="201" w:lineRule="exact"/>
              <w:rPr>
                <w:sz w:val="20"/>
                <w:szCs w:val="20"/>
                <w:color w:val="auto"/>
              </w:rPr>
            </w:pPr>
            <w:r>
              <w:rPr>
                <w:rFonts w:ascii="Arial" w:cs="Arial" w:eastAsia="Arial" w:hAnsi="Arial"/>
                <w:sz w:val="18"/>
                <w:szCs w:val="18"/>
                <w:color w:val="auto"/>
              </w:rPr>
              <w:t>Class A, par value $0.01 per share; actual:</w:t>
            </w:r>
          </w:p>
        </w:tc>
        <w:tc>
          <w:tcPr>
            <w:tcW w:w="300" w:type="dxa"/>
            <w:vAlign w:val="bottom"/>
          </w:tcPr>
          <w:p>
            <w:pPr>
              <w:spacing w:after="0"/>
              <w:rPr>
                <w:sz w:val="17"/>
                <w:szCs w:val="17"/>
                <w:color w:val="auto"/>
              </w:rPr>
            </w:pPr>
          </w:p>
        </w:tc>
        <w:tc>
          <w:tcPr>
            <w:tcW w:w="22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8"/>
                <w:szCs w:val="18"/>
                <w:color w:val="auto"/>
              </w:rPr>
              <w:t>authorized,</w:t>
            </w:r>
          </w:p>
        </w:tc>
        <w:tc>
          <w:tcPr>
            <w:tcW w:w="1760" w:type="dxa"/>
            <w:vAlign w:val="bottom"/>
          </w:tcPr>
          <w:p>
            <w:pPr>
              <w:ind w:left="60"/>
              <w:spacing w:after="0"/>
              <w:rPr>
                <w:sz w:val="20"/>
                <w:szCs w:val="20"/>
                <w:color w:val="auto"/>
              </w:rPr>
            </w:pPr>
            <w:r>
              <w:rPr>
                <w:rFonts w:ascii="Arial" w:cs="Arial" w:eastAsia="Arial" w:hAnsi="Arial"/>
                <w:sz w:val="18"/>
                <w:szCs w:val="18"/>
                <w:color w:val="auto"/>
              </w:rPr>
              <w:t>shares issued and</w:t>
            </w:r>
          </w:p>
        </w:tc>
        <w:tc>
          <w:tcPr>
            <w:tcW w:w="300" w:type="dxa"/>
            <w:vAlign w:val="bottom"/>
          </w:tcPr>
          <w:p>
            <w:pPr>
              <w:spacing w:after="0"/>
              <w:rPr>
                <w:sz w:val="18"/>
                <w:szCs w:val="18"/>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shares outstanding;</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8"/>
                <w:szCs w:val="18"/>
                <w:color w:val="auto"/>
              </w:rPr>
              <w:t>as adjusted:</w:t>
            </w:r>
          </w:p>
        </w:tc>
        <w:tc>
          <w:tcPr>
            <w:tcW w:w="1760" w:type="dxa"/>
            <w:vAlign w:val="bottom"/>
          </w:tcPr>
          <w:p>
            <w:pPr>
              <w:ind w:left="100"/>
              <w:spacing w:after="0"/>
              <w:rPr>
                <w:sz w:val="20"/>
                <w:szCs w:val="20"/>
                <w:color w:val="auto"/>
              </w:rPr>
            </w:pPr>
            <w:r>
              <w:rPr>
                <w:rFonts w:ascii="Arial" w:cs="Arial" w:eastAsia="Arial" w:hAnsi="Arial"/>
                <w:sz w:val="18"/>
                <w:szCs w:val="18"/>
                <w:color w:val="auto"/>
              </w:rPr>
              <w:t>shares authorized,</w:t>
            </w:r>
          </w:p>
        </w:tc>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shares issued and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1640"/>
              <w:spacing w:after="0"/>
              <w:rPr>
                <w:sz w:val="20"/>
                <w:szCs w:val="20"/>
                <w:color w:val="auto"/>
              </w:rPr>
            </w:pPr>
            <w:r>
              <w:rPr>
                <w:rFonts w:ascii="Arial" w:cs="Arial" w:eastAsia="Arial" w:hAnsi="Arial"/>
                <w:sz w:val="18"/>
                <w:szCs w:val="18"/>
                <w:color w:val="auto"/>
              </w:rPr>
              <w:t>shares outstanding</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Class B, par value $0.01 per share; actual:</w:t>
            </w:r>
          </w:p>
        </w:tc>
        <w:tc>
          <w:tcPr>
            <w:tcW w:w="300" w:type="dxa"/>
            <w:vAlign w:val="bottom"/>
            <w:shd w:val="clear" w:color="auto" w:fill="CCEEFF"/>
          </w:tcPr>
          <w:p>
            <w:pPr>
              <w:spacing w:after="0"/>
              <w:rPr>
                <w:sz w:val="17"/>
                <w:szCs w:val="17"/>
                <w:color w:val="auto"/>
              </w:rPr>
            </w:pPr>
          </w:p>
        </w:tc>
        <w:tc>
          <w:tcPr>
            <w:tcW w:w="22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1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issued and</w:t>
            </w: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shares outstanding;</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 adjusted:</w:t>
            </w:r>
          </w:p>
        </w:tc>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authorized,</w:t>
            </w: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shares issued and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Preferred stock, par value $0.01 per share;</w:t>
            </w:r>
          </w:p>
        </w:tc>
        <w:tc>
          <w:tcPr>
            <w:tcW w:w="2540" w:type="dxa"/>
            <w:vAlign w:val="bottom"/>
            <w:gridSpan w:val="4"/>
          </w:tcPr>
          <w:p>
            <w:pPr>
              <w:spacing w:after="0" w:line="201" w:lineRule="exact"/>
              <w:rPr>
                <w:sz w:val="20"/>
                <w:szCs w:val="20"/>
                <w:color w:val="auto"/>
              </w:rPr>
            </w:pPr>
            <w:r>
              <w:rPr>
                <w:rFonts w:ascii="Arial" w:cs="Arial" w:eastAsia="Arial" w:hAnsi="Arial"/>
                <w:sz w:val="18"/>
                <w:szCs w:val="18"/>
                <w:color w:val="auto"/>
              </w:rPr>
              <w:t>shares authorized, no</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520"/>
              <w:spacing w:after="0"/>
              <w:rPr>
                <w:sz w:val="20"/>
                <w:szCs w:val="20"/>
                <w:color w:val="auto"/>
              </w:rPr>
            </w:pPr>
            <w:r>
              <w:rPr>
                <w:rFonts w:ascii="Arial" w:cs="Arial" w:eastAsia="Arial" w:hAnsi="Arial"/>
                <w:sz w:val="18"/>
                <w:szCs w:val="18"/>
                <w:color w:val="auto"/>
                <w:w w:val="88"/>
              </w:rPr>
              <w:t>shares issued and outstanding actual and pro forma</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3"/>
          </w:tcPr>
          <w:p>
            <w:pPr>
              <w:ind w:left="1420"/>
              <w:spacing w:after="0"/>
              <w:rPr>
                <w:sz w:val="20"/>
                <w:szCs w:val="20"/>
                <w:color w:val="auto"/>
              </w:rPr>
            </w:pPr>
            <w:r>
              <w:rPr>
                <w:rFonts w:ascii="Arial" w:cs="Arial" w:eastAsia="Arial" w:hAnsi="Arial"/>
                <w:sz w:val="18"/>
                <w:szCs w:val="18"/>
                <w:color w:val="auto"/>
                <w:w w:val="94"/>
              </w:rPr>
              <w:t>Total Liabilities and Stockholders’ Equity</w:t>
            </w:r>
          </w:p>
        </w:tc>
        <w:tc>
          <w:tcPr>
            <w:tcW w:w="2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MARCH 31,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Active Nutrition</w:t>
            </w:r>
          </w:p>
        </w:tc>
        <w:tc>
          <w:tcPr>
            <w:tcW w:w="68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120" w:type="dxa"/>
            <w:vAlign w:val="bottom"/>
            <w:gridSpan w:val="3"/>
          </w:tcPr>
          <w:p>
            <w:pPr>
              <w:ind w:left="68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6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6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Net Earnings Including Noncontrolling Interest</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Active Nutrition</w:t>
            </w:r>
          </w:p>
        </w:tc>
        <w:tc>
          <w:tcPr>
            <w:tcW w:w="72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3"/>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119.8</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Net Earnings Including Noncontrolling Interest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2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2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1180" w:hanging="544"/>
        <w:spacing w:after="0"/>
        <w:tabs>
          <w:tab w:leader="none" w:pos="1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1180" w:right="320" w:hanging="544"/>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240"/>
              <w:spacing w:after="0"/>
              <w:rPr>
                <w:sz w:val="20"/>
                <w:szCs w:val="20"/>
                <w:color w:val="auto"/>
              </w:rPr>
            </w:pPr>
            <w:r>
              <w:rPr>
                <w:rFonts w:ascii="Arial" w:cs="Arial" w:eastAsia="Arial" w:hAnsi="Arial"/>
                <w:sz w:val="18"/>
                <w:szCs w:val="18"/>
                <w:color w:val="auto"/>
              </w:rPr>
              <w:t>Post will hold</w:t>
            </w: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w w:val="95"/>
              </w:rPr>
              <w:t>BellRing Brands, LLC Units, which will represent   % of the economic interest in BellRing Brands, LLC (or   %</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2"/>
              </w:rPr>
              <w:t>if the underwriters exercise their over-allotment option in full), and one share of Class B common stock, which, for so long as Post or its</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affiliates (other than us) directly own more than 50% of the BellRing Brands, LLC Units as described in this prospectus, will</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5"/>
              </w:rPr>
              <w:t>represent 67% of the combined voting power of the common stock of BellRing Brands, Inc. Due to Post’s rights to redeem BellRing</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3"/>
              </w:rPr>
              <w:t>Brands, LLC Units) for (i) shares of BellRing Brands, Inc. Class A common stock on a one-for-one basis or (ii) cash at BellRing Brands,</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6"/>
              </w:rPr>
              <w:t>LLC’s option (as determined by the BellRing Brands, LLC Board of Managers), the non-controlling interest in BellRing Brands, LLC</w:t>
            </w:r>
          </w:p>
        </w:tc>
      </w:tr>
      <w:tr>
        <w:trPr>
          <w:trHeight w:val="230"/>
        </w:trPr>
        <w:tc>
          <w:tcPr>
            <w:tcW w:w="30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represented by these Units will be classified as temporary equity.</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The purchasers in this offering (i) will own</w:t>
            </w:r>
          </w:p>
        </w:tc>
        <w:tc>
          <w:tcPr>
            <w:tcW w:w="6500" w:type="dxa"/>
            <w:vAlign w:val="bottom"/>
          </w:tcPr>
          <w:p>
            <w:pPr>
              <w:ind w:left="400"/>
              <w:spacing w:after="0"/>
              <w:rPr>
                <w:sz w:val="20"/>
                <w:szCs w:val="20"/>
                <w:color w:val="auto"/>
              </w:rPr>
            </w:pPr>
            <w:r>
              <w:rPr>
                <w:rFonts w:ascii="Arial" w:cs="Arial" w:eastAsia="Arial" w:hAnsi="Arial"/>
                <w:sz w:val="18"/>
                <w:szCs w:val="18"/>
                <w:color w:val="auto"/>
                <w:w w:val="94"/>
              </w:rPr>
              <w:t>shares of Class A common stock, which, for so long as Post or its affiliates (other</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7"/>
              </w:rPr>
              <w:t>than us) directly own more than 50% of the BellRing Brands, LLC Units as described in this prospectus, will represent 33% of the</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3"/>
              </w:rPr>
              <w:t>combined voting power of the common stock of BellRing Brands, Inc. and 100% of the economic interest in BellRing Brands, Inc., and</w:t>
            </w:r>
          </w:p>
        </w:tc>
      </w:tr>
      <w:tr>
        <w:trPr>
          <w:trHeight w:val="216"/>
        </w:trPr>
        <w:tc>
          <w:tcPr>
            <w:tcW w:w="300" w:type="dxa"/>
            <w:vAlign w:val="bottom"/>
          </w:tcPr>
          <w:p>
            <w:pPr>
              <w:spacing w:after="0"/>
              <w:rPr>
                <w:sz w:val="18"/>
                <w:szCs w:val="18"/>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w w:val="99"/>
              </w:rPr>
              <w:t>(ii) through BellRing Brands, Inc.’s ownership of BellRing Brands, LLC Units, indirectly will hold   % of the economic interest in</w:t>
            </w:r>
          </w:p>
        </w:tc>
      </w:tr>
      <w:tr>
        <w:trPr>
          <w:trHeight w:val="230"/>
        </w:trPr>
        <w:tc>
          <w:tcPr>
            <w:tcW w:w="300" w:type="dxa"/>
            <w:vAlign w:val="bottom"/>
          </w:tcPr>
          <w:p>
            <w:pPr>
              <w:spacing w:after="0"/>
              <w:rPr>
                <w:sz w:val="20"/>
                <w:szCs w:val="20"/>
                <w:color w:val="auto"/>
              </w:rPr>
            </w:pPr>
          </w:p>
        </w:tc>
        <w:tc>
          <w:tcPr>
            <w:tcW w:w="10240" w:type="dxa"/>
            <w:vAlign w:val="bottom"/>
            <w:gridSpan w:val="3"/>
          </w:tcPr>
          <w:p>
            <w:pPr>
              <w:ind w:left="240"/>
              <w:spacing w:after="0"/>
              <w:rPr>
                <w:sz w:val="20"/>
                <w:szCs w:val="20"/>
                <w:color w:val="auto"/>
              </w:rPr>
            </w:pPr>
            <w:r>
              <w:rPr>
                <w:rFonts w:ascii="Arial" w:cs="Arial" w:eastAsia="Arial" w:hAnsi="Arial"/>
                <w:sz w:val="18"/>
                <w:szCs w:val="18"/>
                <w:color w:val="auto"/>
              </w:rPr>
              <w:t>BellRing Brands, LLC (or   % if the underwriters exercise their over-allotment option in full).</w:t>
            </w:r>
          </w:p>
        </w:tc>
      </w:tr>
    </w:tbl>
    <w:p>
      <w:pPr>
        <w:spacing w:after="0" w:line="107" w:lineRule="exact"/>
        <w:rPr>
          <w:sz w:val="20"/>
          <w:szCs w:val="20"/>
          <w:color w:val="auto"/>
        </w:rPr>
      </w:pPr>
    </w:p>
    <w:p>
      <w:pPr>
        <w:ind w:left="1180" w:right="20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20"/>
        <w:spacing w:after="0" w:line="342" w:lineRule="auto"/>
        <w:rPr>
          <w:sz w:val="20"/>
          <w:szCs w:val="20"/>
          <w:color w:val="auto"/>
        </w:rPr>
      </w:pPr>
      <w:r>
        <w:rPr>
          <w:rFonts w:ascii="Arial" w:cs="Arial" w:eastAsia="Arial" w:hAnsi="Arial"/>
          <w:sz w:val="16"/>
          <w:szCs w:val="16"/>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29" w:lineRule="exact"/>
        <w:rPr>
          <w:sz w:val="20"/>
          <w:szCs w:val="20"/>
          <w:color w:val="auto"/>
        </w:rPr>
      </w:pPr>
    </w:p>
    <w:p>
      <w:pPr>
        <w:ind w:left="1180" w:right="80" w:hanging="544"/>
        <w:spacing w:after="0" w:line="253"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180" w:right="300" w:hanging="544"/>
        <w:spacing w:after="0" w:line="26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a portion of the consolidated net earnings (loss) will be allocated to the non-controlling interest to reflect the entitlement of Post to a portion of the consolidated net earnings (loss).</w:t>
      </w:r>
    </w:p>
    <w:p>
      <w:pPr>
        <w:spacing w:after="0" w:line="289" w:lineRule="exact"/>
        <w:rPr>
          <w:rFonts w:ascii="Arial" w:cs="Arial" w:eastAsia="Arial" w:hAnsi="Arial"/>
          <w:sz w:val="18"/>
          <w:szCs w:val="18"/>
          <w:color w:val="auto"/>
        </w:rPr>
      </w:pPr>
    </w:p>
    <w:p>
      <w:pPr>
        <w:ind w:left="900" w:hanging="256"/>
        <w:spacing w:after="0"/>
        <w:tabs>
          <w:tab w:leader="none" w:pos="900" w:val="left"/>
        </w:tabs>
        <w:numPr>
          <w:ilvl w:val="1"/>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obligations under the Post bridge loan. We will not receive any of the proceeds of the Post bridge loan. See “Prospectus Summary—Debt Financing Arrangements—Post Bridge Loan” and “Description of Certain Indebtedness.”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w:t>
      </w:r>
    </w:p>
    <w:p>
      <w:pPr>
        <w:spacing w:after="0" w:line="35"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 See “Prospectus Summary—Debt Financing Arrangements—Post Bridge Loan” and “Description of Certain Indebtedness.”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1180" w:right="30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will be no borrowings under the revolving credit facility portion of the new debt facilities of BellRing Brands, LLC in connection with this offering;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pacing w:after="0" w:line="23" w:lineRule="exact"/>
        <w:rPr>
          <w:sz w:val="20"/>
          <w:szCs w:val="20"/>
          <w:color w:val="auto"/>
        </w:rPr>
      </w:pPr>
    </w:p>
    <w:p>
      <w:pPr>
        <w:ind w:left="1180"/>
        <w:spacing w:after="0"/>
        <w:tabs>
          <w:tab w:leader="none" w:pos="4660" w:val="left"/>
        </w:tabs>
        <w:rPr>
          <w:sz w:val="20"/>
          <w:szCs w:val="20"/>
          <w:color w:val="auto"/>
        </w:rPr>
      </w:pPr>
      <w:r>
        <w:rPr>
          <w:rFonts w:ascii="Arial" w:cs="Arial" w:eastAsia="Arial" w:hAnsi="Arial"/>
          <w:sz w:val="18"/>
          <w:szCs w:val="18"/>
          <w:color w:val="auto"/>
        </w:rPr>
        <w:t>will be incurred at an assumed interest rate of</w:t>
      </w:r>
      <w:r>
        <w:rPr>
          <w:sz w:val="20"/>
          <w:szCs w:val="20"/>
          <w:color w:val="auto"/>
        </w:rPr>
        <w:tab/>
      </w:r>
      <w:r>
        <w:rPr>
          <w:rFonts w:ascii="Arial" w:cs="Arial" w:eastAsia="Arial" w:hAnsi="Arial"/>
          <w:sz w:val="16"/>
          <w:szCs w:val="16"/>
          <w:color w:val="auto"/>
        </w:rPr>
        <w:t>% and that BellRing Brands, LLC will receive net proceeds from the borrowings of</w:t>
      </w:r>
    </w:p>
    <w:p>
      <w:pPr>
        <w:spacing w:after="0" w:line="9" w:lineRule="exact"/>
        <w:rPr>
          <w:sz w:val="20"/>
          <w:szCs w:val="20"/>
          <w:color w:val="auto"/>
        </w:rPr>
      </w:pPr>
    </w:p>
    <w:p>
      <w:pPr>
        <w:ind w:left="1620" w:hanging="444"/>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million, after deducting fees and expenses.</w:t>
      </w:r>
    </w:p>
    <w:p>
      <w:pPr>
        <w:spacing w:after="0" w:line="211" w:lineRule="exact"/>
        <w:rPr>
          <w:sz w:val="20"/>
          <w:szCs w:val="20"/>
          <w:color w:val="auto"/>
        </w:rPr>
      </w:pPr>
    </w:p>
    <w:p>
      <w:pPr>
        <w:ind w:left="200" w:right="100" w:firstLine="441"/>
        <w:spacing w:after="0" w:line="285" w:lineRule="auto"/>
        <w:rPr>
          <w:sz w:val="20"/>
          <w:szCs w:val="20"/>
          <w:color w:val="auto"/>
        </w:rPr>
      </w:pPr>
      <w:r>
        <w:rPr>
          <w:rFonts w:ascii="Arial" w:cs="Arial" w:eastAsia="Arial" w:hAnsi="Arial"/>
          <w:sz w:val="16"/>
          <w:szCs w:val="16"/>
          <w:color w:val="auto"/>
        </w:rPr>
        <w:t>The final principal balance of the term loan or senior note portion of such debt facilities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 assumed above for the debt</w:t>
      </w:r>
    </w:p>
    <w:p>
      <w:pPr>
        <w:spacing w:after="0" w:line="2" w:lineRule="exact"/>
        <w:rPr>
          <w:sz w:val="20"/>
          <w:szCs w:val="20"/>
          <w:color w:val="auto"/>
        </w:rPr>
      </w:pPr>
    </w:p>
    <w:p>
      <w:pPr>
        <w:ind w:left="200"/>
        <w:spacing w:after="0"/>
        <w:tabs>
          <w:tab w:leader="none" w:pos="6560" w:val="left"/>
        </w:tabs>
        <w:rPr>
          <w:sz w:val="20"/>
          <w:szCs w:val="20"/>
          <w:color w:val="auto"/>
        </w:rPr>
      </w:pPr>
      <w:r>
        <w:rPr>
          <w:rFonts w:ascii="Arial" w:cs="Arial" w:eastAsia="Arial" w:hAnsi="Arial"/>
          <w:sz w:val="18"/>
          <w:szCs w:val="18"/>
          <w:color w:val="auto"/>
        </w:rPr>
        <w:t>facilities would increase or decrease pro forma interest expense by approximately $</w:t>
      </w:r>
      <w:r>
        <w:rPr>
          <w:sz w:val="20"/>
          <w:szCs w:val="20"/>
          <w:color w:val="auto"/>
        </w:rPr>
        <w:tab/>
      </w:r>
      <w:r>
        <w:rPr>
          <w:rFonts w:ascii="Arial" w:cs="Arial" w:eastAsia="Arial" w:hAnsi="Arial"/>
          <w:sz w:val="16"/>
          <w:szCs w:val="16"/>
          <w:color w:val="auto"/>
        </w:rPr>
        <w:t>million for the fiscal year ended September 30, 2018 and</w:t>
      </w:r>
    </w:p>
    <w:p>
      <w:pPr>
        <w:spacing w:after="0" w:line="9"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approximately $ million for the six months ended March 31, 2019 (assuming the principal balance of the debt facilities does not change from that assumed above).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640"/>
        <w:spacing w:after="0"/>
        <w:tabs>
          <w:tab w:leader="none" w:pos="4180" w:val="left"/>
        </w:tabs>
        <w:rPr>
          <w:sz w:val="20"/>
          <w:szCs w:val="20"/>
          <w:color w:val="auto"/>
        </w:rPr>
      </w:pPr>
      <w:r>
        <w:rPr>
          <w:rFonts w:ascii="Arial" w:cs="Arial" w:eastAsia="Arial" w:hAnsi="Arial"/>
          <w:sz w:val="18"/>
          <w:szCs w:val="18"/>
          <w:color w:val="auto"/>
        </w:rPr>
        <w:t>BellRing Brands, Inc. expects to issue</w:t>
      </w:r>
      <w:r>
        <w:rPr>
          <w:sz w:val="20"/>
          <w:szCs w:val="20"/>
          <w:color w:val="auto"/>
        </w:rPr>
        <w:tab/>
      </w:r>
      <w:r>
        <w:rPr>
          <w:rFonts w:ascii="Arial" w:cs="Arial" w:eastAsia="Arial" w:hAnsi="Arial"/>
          <w:sz w:val="16"/>
          <w:szCs w:val="16"/>
          <w:color w:val="auto"/>
        </w:rPr>
        <w:t>shares of Class A common stock in this offering. The unaudited pro forma consolidated basic and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diluted earnings per share for the periods presented are based on the combined basic and diluted weighted-average shares outstanding to be issued by</w:t>
      </w:r>
    </w:p>
    <w:p>
      <w:pPr>
        <w:spacing w:after="0" w:line="3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BellRing Brands, Inc. in this offering. The calculation includes shares of Class A common stock assumed to be sold in this offering. The share of BellRing Brands, Inc. Class B common stock does not share in its earnings and is therefore not included in the weighted average shares outstanding or net earnings available per common share.</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w:t>
      </w:r>
    </w:p>
    <w:p>
      <w:pPr>
        <w:ind w:left="200"/>
        <w:spacing w:after="0"/>
        <w:rPr>
          <w:sz w:val="20"/>
          <w:szCs w:val="20"/>
          <w:color w:val="auto"/>
        </w:rPr>
      </w:pPr>
      <w:r>
        <w:rPr>
          <w:rFonts w:ascii="Arial" w:cs="Arial" w:eastAsia="Arial" w:hAnsi="Arial"/>
          <w:sz w:val="18"/>
          <w:szCs w:val="18"/>
          <w:color w:val="auto"/>
        </w:rPr>
        <w:t>cover page of this prospectus), after deducting underwriting discounts and commissions and estimated offering expenses payable by us.</w:t>
      </w:r>
    </w:p>
    <w:p>
      <w:pPr>
        <w:spacing w:after="0" w:line="21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640"/>
        <w:spacing w:after="0"/>
        <w:tabs>
          <w:tab w:leader="none" w:pos="7140" w:val="left"/>
        </w:tabs>
        <w:rPr>
          <w:sz w:val="20"/>
          <w:szCs w:val="20"/>
          <w:color w:val="auto"/>
        </w:rPr>
      </w:pPr>
      <w:r>
        <w:rPr>
          <w:rFonts w:ascii="Arial" w:cs="Arial" w:eastAsia="Arial" w:hAnsi="Arial"/>
          <w:sz w:val="17"/>
          <w:szCs w:val="17"/>
          <w:color w:val="auto"/>
        </w:rPr>
        <w:t>To reflect the tax effect of the pro forma adjustments at an assumed effective tax rate of</w:t>
        <w:tab/>
        <w:t>%.</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BellRing Brands, Inc. was formed as a Delaware corporation in 2019 to become the holding company for Active Nutrition, which, effective as of the fiscal quarter 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 GmbH, which manufactures and sells Active Nutrition products in certain international markets. We are a provider of highly nutritious, great-tasting products including RTD protein shakes, other RTD beverages, powders, nutrition bars and nutritional supplements in the convenient nutrition category. The following discussion contains references to the six months ended March 31, 2019 and 2018 and the years ended September 30, 2018, 2017 and 2016, which represent the financial results of our predecessor, Active Nutrition, for the same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29"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1180" w:right="580" w:hanging="544"/>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29" w:lineRule="exact"/>
        <w:rPr>
          <w:rFonts w:ascii="Arial" w:cs="Arial" w:eastAsia="Arial" w:hAnsi="Arial"/>
          <w:sz w:val="16"/>
          <w:szCs w:val="16"/>
          <w:color w:val="auto"/>
        </w:rPr>
      </w:pPr>
    </w:p>
    <w:p>
      <w:pPr>
        <w:ind w:left="1180" w:right="260" w:hanging="544"/>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24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six months ended March 31,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To increase inventory and to minimize the overall impact to customers and consumers, Active Nutrition reduced its available RTD protein shake flavors in the first quarter of fiscal 2019 from seven to its two best-selling flavors, chocolate and vanilla. This decision adversely impacted the year-over-year growth rate for the six months ended March 31, 2019 compared to growth trends experienced in fiscal 2018 and 2017. During the second quarter of fiscal 2019, all flavors were re-introduced. With these actions as well as planned incremental capacity in the second half of fiscal 2019, management believes we will be able to meet expected customer demand and our inventory levels will be enough to accelerate our growth beyond that experienced since the beginning of fiscal 2019.</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“Cost of goods sold” in the Combined Statements of Operations and Comprehensive Income include:</w:t>
      </w:r>
    </w:p>
    <w:p>
      <w:pPr>
        <w:spacing w:after="0" w:line="131" w:lineRule="exact"/>
        <w:rPr>
          <w:sz w:val="20"/>
          <w:szCs w:val="20"/>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44"/>
        <w:spacing w:after="0" w:line="276" w:lineRule="auto"/>
        <w:tabs>
          <w:tab w:leader="none" w:pos="11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77" w:lineRule="exact"/>
        <w:rPr>
          <w:rFonts w:ascii="Arial" w:cs="Arial" w:eastAsia="Arial" w:hAnsi="Arial"/>
          <w:sz w:val="17"/>
          <w:szCs w:val="17"/>
          <w:color w:val="auto"/>
        </w:rPr>
      </w:pPr>
    </w:p>
    <w:p>
      <w:pPr>
        <w:ind w:left="1180" w:right="240" w:hanging="544"/>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Costs included in “Selling, general and administrative expenses” in the Combined Statements of Operations and Comprehensive Income include:</w:t>
      </w:r>
    </w:p>
    <w:p>
      <w:pPr>
        <w:spacing w:after="0" w:line="154" w:lineRule="exact"/>
        <w:rPr>
          <w:sz w:val="20"/>
          <w:szCs w:val="20"/>
          <w:color w:val="auto"/>
        </w:rPr>
      </w:pPr>
    </w:p>
    <w:p>
      <w:pPr>
        <w:ind w:left="1180" w:hanging="544"/>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because of customer spending patterns and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six months ended March 31, 2019 and 2018, “Earnings before Income Taxes” (“EBIT”) in the Condensed Combined Statements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Operations and Comprehensive Income were impacted by the following items:</w:t>
      </w:r>
    </w:p>
    <w:p>
      <w:pPr>
        <w:spacing w:after="0" w:line="116" w:lineRule="exact"/>
        <w:rPr>
          <w:sz w:val="20"/>
          <w:szCs w:val="20"/>
          <w:color w:val="auto"/>
        </w:rPr>
      </w:pPr>
    </w:p>
    <w:p>
      <w:pPr>
        <w:ind w:left="1180" w:right="320" w:hanging="544"/>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separation costs of $2.9 million related to our separation from Post for the six months ended March 31, 2019;</w:t>
      </w:r>
    </w:p>
    <w:p>
      <w:pPr>
        <w:spacing w:after="0" w:line="130"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$2.6 million from selling expenses to net sales in the six months ended March 31, 2019, in connection with the adoption of Accounting Standards Update (“ASU”) 2014-09, “Revenue from Contracts with Customers (Topic 606);”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six months ended March 31,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Six months ended March 31, 2019 and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Active Nutrition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220"/>
              <w:spacing w:after="0" w:line="142" w:lineRule="exact"/>
              <w:rPr>
                <w:sz w:val="20"/>
                <w:szCs w:val="20"/>
                <w:color w:val="auto"/>
              </w:rPr>
            </w:pPr>
            <w:r>
              <w:rPr>
                <w:rFonts w:ascii="Arial" w:cs="Arial" w:eastAsia="Arial" w:hAnsi="Arial"/>
                <w:sz w:val="14"/>
                <w:szCs w:val="14"/>
                <w:b w:val="1"/>
                <w:bCs w:val="1"/>
                <w:color w:val="auto"/>
              </w:rPr>
              <w:t>Six Months Ended March 31,</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gridSpan w:val="2"/>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402.3</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391.2</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263.4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3160" w:type="dxa"/>
            <w:vAlign w:val="bottom"/>
          </w:tcPr>
          <w:p>
            <w:pPr>
              <w:jc w:val="right"/>
              <w:ind w:right="235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6%</w:t>
            </w: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80</w:t>
            </w:r>
          </w:p>
        </w:tc>
        <w:tc>
          <w:tcPr>
            <w:tcW w:w="3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Six months ended March 31, 2019 compared to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$11.1 million, or 3%, during the six months ended March 31, 2019,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$17.8 million, or 6%, with volume up 4%, primarily driven by increases in sales of RTD protein shake products, partially offset by lower sales of nutrition bars. Increases in RTD protein shake product volumes for the six months ended March 31, 2019 were below recent growth trends primarily due to short-term supply constraints (for further discussion, see “Industry &amp; Company Trends” above).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up $5.6 million, or 11%, with volume up 6%, primarily due to distribution gains in the club and mass channels and organic growth in the eCommerce channel, partially offset by lower specialty channel volumes.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$9.5 million, or 30%, with volume down 31%, primarily due to strategic sales reductions of low performing products within our North American portfolio, as well as consumption declines. Sales of all other products were down $2.8 million. Current year net sales were impacted by the reclassification of certain payments to customers of $2.6 million from selling expenses to net sales in connection with the adoption of ASU 2014-09 (see below for further discussion).</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EBIT increased $30.0 million, or 69%, for the six months ended March 31, 2019, as compared to the corresponding period in the prior year. EBIT in the six months ended March 31, 2018 was impacted by a litigation settlement accrual of $9.0 million. Excluding this impact, EBIT increased $21.0 million, or 40%. Gross profit margins improved to 36% in the six months ended March 31, 2019, from 33% in the prior year period. This increase was driven by lower raw material costs of $15.3 million, partially offset by increased co-manufacturing tolling costs of $2.5 million. Selling, general and administrative costs, excluding the impact of a litigation settlement accrual of $9.0 million, were lower primarily driven by reduced advertising and consumer spending of $5.7 million, partially offset by increased corporate cost allocations of $3.3 million, as compared to the prior year period, driven primarily by additional transaction costs incurred related to the separation from Post.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00" w:right="620" w:firstLine="441"/>
        <w:spacing w:after="0" w:line="312" w:lineRule="auto"/>
        <w:rPr>
          <w:sz w:val="20"/>
          <w:szCs w:val="20"/>
          <w:color w:val="auto"/>
        </w:rPr>
      </w:pPr>
      <w:r>
        <w:rPr>
          <w:rFonts w:ascii="Arial" w:cs="Arial" w:eastAsia="Arial" w:hAnsi="Arial"/>
          <w:sz w:val="16"/>
          <w:szCs w:val="16"/>
          <w:color w:val="auto"/>
        </w:rPr>
        <w:t>The effective income tax rate was 23.9% and 5.7% for the six months ended March 31, 2019 and 2018, respectively. In accordance with Accounting Standards Codification (“ASC”) Topic 740, “Income Taxes,” income tax expense (benefit) is recorded for interim periods using the estimated annual effective income tax rate for the full fiscal year adjusted for the impact of discrete items occurring during the interim periods.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effective income tax rate in the six months ended March 31,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fiscal 2019 tax year and was prorated with the pre-December 22, 2017 U.S. federal corporate income tax rate of 35% for the fiscal 2018 tax year. This proration resulted in a blended U.S. federal corporate income tax rate of 24.5% for fiscal 2018. During the six months ended March 31, 2018, Active Nutrition (i) remeasured its existing deferred tax assets and liabilities considering both the fiscal 2018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payments to customers were reclassified from “Selling, general and administrative expenses” to “Net Sales” in the Condensed Combined Statement of Operations and Comprehensive Income for the six months ended March 31, 2019. For additional information regarding ASU 2014-09, refer to Note 3 of “Notes to Condensed Combined Financial Statements” for the six months ended March 31, 2019 and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in millions; favorable/(unfavorable)</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60" w:type="dxa"/>
            <w:vAlign w:val="bottom"/>
          </w:tcPr>
          <w:p>
            <w:pPr>
              <w:jc w:val="right"/>
              <w:ind w:right="20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EBIT increased $54.2 million, or 83%, for the year ended September 30, 2018. EBIT in the year ended September 30, 2018 was impacted by a litigation settlement accrual of $9.0 million and in the year ended 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discussed, and lower advertising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and consumer spending of $9.7 million, partially offset by higher raw material costs of $2.3 million, increased freight costs of $8.4 million (excluding volume-driven increases) and increased employee-related expenses to support growth.</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ind w:left="200" w:right="12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6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fiscal 2019 tax year and is prorated with the pre-December 22, 2017 U.S. federal corporate income tax rate of 35% for the fiscal 2018 tax year. This proration resulted in a blended U.S. federal corporate income tax rate of 24.5% for fiscal 2018. Adjustments were made in the following instances: (i) Active Nutrition remeasured its existing deferred tax assets and liabilities considering both the fiscal 2018 blended rate and the 21% rate for future periods and recorded a tax benefit of $9.9 million and (ii) Active Nutrition calculated the one-time transition tax and recorded tax expense of $0.5 million. Full expensing of certain depreciable assets will result in a temporary difference as assets are placed in service.</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Active Nutrition</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6"/>
          </w:tcPr>
          <w:p>
            <w:pPr>
              <w:jc w:val="right"/>
              <w:ind w:right="220"/>
              <w:spacing w:after="0" w:line="119" w:lineRule="exact"/>
              <w:rPr>
                <w:sz w:val="20"/>
                <w:szCs w:val="20"/>
                <w:color w:val="auto"/>
              </w:rPr>
            </w:pPr>
            <w:r>
              <w:rPr>
                <w:rFonts w:ascii="Arial" w:cs="Arial" w:eastAsia="Arial" w:hAnsi="Arial"/>
                <w:sz w:val="13"/>
                <w:szCs w:val="13"/>
                <w:b w:val="1"/>
                <w:bCs w:val="1"/>
                <w:color w:val="auto"/>
                <w:w w:val="99"/>
              </w:rPr>
              <w:t>Six Months Ended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(133.0)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w:t>
      </w:r>
    </w:p>
    <w:p>
      <w:pPr>
        <w:ind w:left="200"/>
        <w:spacing w:after="0"/>
        <w:rPr>
          <w:sz w:val="20"/>
          <w:szCs w:val="20"/>
          <w:color w:val="auto"/>
        </w:rPr>
      </w:pPr>
      <w:r>
        <w:rPr>
          <w:rFonts w:ascii="Arial" w:cs="Arial" w:eastAsia="Arial" w:hAnsi="Arial"/>
          <w:sz w:val="18"/>
          <w:szCs w:val="18"/>
          <w:color w:val="auto"/>
        </w:rPr>
        <w:t>cover page of this prospectus), after deducting underwriting discounts and commissions and estimated offering expenses payable by us.</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Prior to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w:t>
      </w:r>
    </w:p>
    <w:p>
      <w:pPr>
        <w:spacing w:after="0" w:line="46" w:lineRule="exact"/>
        <w:rPr>
          <w:sz w:val="20"/>
          <w:szCs w:val="20"/>
          <w:color w:val="auto"/>
        </w:rPr>
      </w:pPr>
    </w:p>
    <w:p>
      <w:pPr>
        <w:jc w:val="both"/>
        <w:ind w:left="200" w:right="20"/>
        <w:spacing w:after="0" w:line="281" w:lineRule="auto"/>
        <w:rPr>
          <w:sz w:val="20"/>
          <w:szCs w:val="20"/>
          <w:color w:val="auto"/>
        </w:rPr>
      </w:pPr>
      <w:r>
        <w:rPr>
          <w:rFonts w:ascii="Arial" w:cs="Arial" w:eastAsia="Arial" w:hAnsi="Arial"/>
          <w:sz w:val="16"/>
          <w:szCs w:val="16"/>
          <w:color w:val="auto"/>
        </w:rPr>
        <w:t>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3" w:lineRule="exact"/>
        <w:rPr>
          <w:sz w:val="20"/>
          <w:szCs w:val="20"/>
          <w:color w:val="auto"/>
        </w:rPr>
      </w:pPr>
    </w:p>
    <w:p>
      <w:pPr>
        <w:ind w:left="200" w:right="700"/>
        <w:spacing w:after="0" w:line="261"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part of the formation transactions and this offering, BellRing Brands, LLC and its subsidiaries and BellRing Brands, Inc. will be designated “unrestricted subsidiaries” under Post’s senior note indentures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8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and foreign tax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imputed interest, basis adjustments, etc.) attributable to payments under the tax receivable agreement.</w:t>
      </w:r>
    </w:p>
    <w:p>
      <w:pPr>
        <w:spacing w:after="0" w:line="16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years averaging less than 1% of net sales. No significant capital expenditures are planned for fiscal 2019.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6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as described below under “Certain Relationships and Related Party Transactions—Post-Offering Relationship with Post—Amended and Restated Limited Liability Company Agreement—Coordination of BellRing Brands, Inc. and BellRing Brands, LLC.” The amended and restated limited liability company agreement provides, to the extent cash is available, for distributions pro rata to the holders of BellRing Brands, LLC Units such that members receive an amount of cash sufficient to cover the estimated taxes payable by them.</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Six months ended March 31, 2019 compared to 2018</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Cash provided by operating activities for the six months ended March 31, 2019 decreased by $24.0 million compared to the prior year period. The decrease was driven by unfavorable working capital changes of $56.3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RTD shake flavors in the second quarter of fiscal 2019 (for further discussion, see “Industry &amp; Company Trends” above) and collections of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 well as fluctuations in the timing of purchases and payments of trade payables. Additionally, working capital was impacted in the fiscal 2019 period by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 xml:space="preserve">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operating activities for the year ended September 30, 2017 increased by $39.6 million compared to the year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Six months ended March 31, 2019 compared to 2018</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Cash used in investing activities for the six months ended March 31, 2019 increased by $0.7 million compared to the prior year period, resulting from an increase in 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Six months ended March 31, 2019 compared to 2018</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Cash used in financing activities for the six months ended March 31, 2019 decreased $18.5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six months ended March 31, 2019 and 2018).</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5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ind w:left="640" w:right="760" w:hanging="436"/>
        <w:spacing w:after="0" w:line="250"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80" w:hanging="436"/>
        <w:spacing w:after="0" w:line="255"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7" w:lineRule="exact"/>
        <w:rPr>
          <w:sz w:val="20"/>
          <w:szCs w:val="20"/>
          <w:color w:val="auto"/>
        </w:rPr>
      </w:pPr>
    </w:p>
    <w:p>
      <w:pPr>
        <w:ind w:left="200" w:right="380" w:firstLine="441"/>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3"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200" w:firstLine="441"/>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84" w:lineRule="exact"/>
        <w:rPr>
          <w:sz w:val="20"/>
          <w:szCs w:val="20"/>
          <w:color w:val="auto"/>
        </w:rPr>
      </w:pPr>
    </w:p>
    <w:p>
      <w:pPr>
        <w:ind w:left="200" w:right="40" w:firstLine="441"/>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six months ended March 31, 2019 and 2018 for more information about estimates affecting income taxes.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six months ended March 31, 2019 and 2018 for a discussion regarding recently issued and adopted accounting standards.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24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4" w:lineRule="exact"/>
        <w:rPr>
          <w:sz w:val="20"/>
          <w:szCs w:val="20"/>
          <w:color w:val="auto"/>
        </w:rPr>
      </w:pPr>
    </w:p>
    <w:p>
      <w:pPr>
        <w:ind w:left="1180" w:right="980" w:hanging="544"/>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was the brand in the U.S. convenient nutrition category with the greatest growth according to Nielsen data for Total US xAOC including Convenience for the 52 week period ended January 16, 2019, continues, we believe, to have strong growth within the category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February 2019 and targets a range of consumers from committed athletes to active individuals.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168910</wp:posOffset>
            </wp:positionV>
            <wp:extent cx="5120005" cy="3155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200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66130" cy="1878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61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5"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i w:val="1"/>
          <w:iCs w:val="1"/>
          <w:color w:val="auto"/>
        </w:rPr>
        <w:t xml:space="preserve">Joint Juice </w:t>
      </w:r>
      <w:r>
        <w:rPr>
          <w:rFonts w:ascii="Arial" w:cs="Arial" w:eastAsia="Arial" w:hAnsi="Arial"/>
          <w:sz w:val="16"/>
          <w:szCs w:val="16"/>
          <w:color w:val="auto"/>
        </w:rPr>
        <w:t>brand. Premier Nutrition, Inc. was founded in 1997, and Joint Juice, Inc. was founded in 1999. In 2011, Joint Juice, Inc. acquired the</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brand and related assets from Premier Nutrition, Inc. via a corporate restructuring, and the resulting entity assumed the name Premier Nutrition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54"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and nutrition bars under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Dymatize Enterprises was founded in 1994. At the time of the acquisition,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7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 xml:space="preserve">In fiscal 2015, Post acquired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brands, Active Nutrition International (formerly known as PowerBar Europe GmbH) and manufacturing facilities in Boise, Idaho and Voerde, Germany.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was founded in 1986. In fiscal 2015, Post sold the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 In that same fiscal year, Post also ceased all production at, and thereafter sold, the Boise manufacturing facility. All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December 29, 2018, bars have a 46% dollar share, RTDs have a 39% dollar share, powders have an 11% dollar share and other product forms have a 3% dollar share (numbers do not add to 100% due to rounding). However, management believes the powder share for the total U.S. market (tracked and untracked) is significantly greater than the 11% share in tracked channels.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Tracked Channels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160655</wp:posOffset>
            </wp:positionV>
            <wp:extent cx="2752725" cy="2452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5272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Source: Nielsen, Total US xAOC including Convenience, 52 week period ended 12/29/2018</w:t>
      </w:r>
    </w:p>
    <w:p>
      <w:pPr>
        <w:spacing w:after="0" w:line="96"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November 24, 2018, management estimates that, excluding the private label sales from the category (which accounts for 5% of the sales in the category), everyday nutrition represents a 49% share of the category, adult nutrition represents a 17% share of the category, sports nutrition represents a 17% share of the category and weight management represents a 16% share of the category (numbers do not add to 100% due to rounding).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168910</wp:posOffset>
            </wp:positionV>
            <wp:extent cx="5017135" cy="4185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1713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 xml:space="preserve">Everyday nutrition is the largest, fastest-growing need state in the category based on Nielsen data for Total US xAOC including Convenience for 2014 to 2018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developed brand equities and product value propositions to appeal to a broad range of consumer need states.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brands are focused primarily on sports nutrition, which we define as consumers looking to supplement sports endurance and body building needs.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In addition, the IRI 2016 State of the Snack Food Industry report highlights that consumers are increasingly eating smaller meals more frequently throughout the day and 46% of consumers snack more than three times a day.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“Mainstreaming” convenient nutrition is fueling growth in the category across all forms, with total U.S. household penetration reaching 54% for the 52 week period ended June 30, 2018 (an increase from 52% for a comparable period in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2017 to 2018. Management believes there is a significant growth opportunity in liquids and powders as household penetration for the 52 week period ended December 29, 2018 according to Nielsen household panel data for all outlets was only 23% for liquids and 11% for powders, compared to 43% for bars.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8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largest brand and is positioned to appeal to mainstream consumers seeking convenient, delicious protein products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enjoy throughout the day. Our flagship 11 ounce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8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portfolio to include new flavors, high protein Clear RTD beverages, powders and nutrition bars.</w:t>
      </w:r>
    </w:p>
    <w:p>
      <w:pPr>
        <w:spacing w:after="0" w:line="17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00" w:right="520" w:firstLine="441"/>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141605</wp:posOffset>
            </wp:positionV>
            <wp:extent cx="4853940" cy="38931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5394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 our largest brand, holds the #1 share position in RTD protein shakes as measured by Nielsen household panel data for all outlets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52 week period ended December 29, 2018. However,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7"/>
          <w:szCs w:val="17"/>
          <w:i w:val="1"/>
          <w:iCs w:val="1"/>
          <w:color w:val="auto"/>
        </w:rPr>
        <w:t>Dymatize</w:t>
      </w:r>
      <w:r>
        <w:rPr>
          <w:rFonts w:ascii="Arial" w:cs="Arial" w:eastAsia="Arial" w:hAnsi="Arial"/>
          <w:sz w:val="17"/>
          <w:szCs w:val="17"/>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since the end of fiscal 2015 and accounted for 25% of fiscal 2018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We expect to introduce two additional flavors in the fall of 2019. We also have improved the taste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and nutrition bar formulations to ensure we continue to delight consumers. We believe our new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offering is already generating top 10% category velocities in FDM in less than twelve months based on Nielsen tracked channels data for the 52 week period ended February 23,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nutrition bars achieved the first and second highest velocities for bars according to German Nielsen data for December 2018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The </w:t>
      </w:r>
      <w:r>
        <w:rPr>
          <w:rFonts w:ascii="Arial" w:cs="Arial" w:eastAsia="Arial" w:hAnsi="Arial"/>
          <w:sz w:val="16"/>
          <w:szCs w:val="16"/>
          <w:i w:val="1"/>
          <w:iCs w:val="1"/>
          <w:color w:val="auto"/>
        </w:rPr>
        <w:t>Premier Protein Clear</w:t>
      </w:r>
      <w:r>
        <w:rPr>
          <w:rFonts w:ascii="Arial" w:cs="Arial" w:eastAsia="Arial" w:hAnsi="Arial"/>
          <w:sz w:val="16"/>
          <w:szCs w:val="16"/>
          <w:color w:val="auto"/>
        </w:rPr>
        <w:t xml:space="preserve"> RTD product is now distributed nationwide in Costco and other key retailers. </w:t>
      </w:r>
      <w:r>
        <w:rPr>
          <w:rFonts w:ascii="Arial" w:cs="Arial" w:eastAsia="Arial" w:hAnsi="Arial"/>
          <w:sz w:val="16"/>
          <w:szCs w:val="16"/>
          <w:i w:val="1"/>
          <w:iCs w:val="1"/>
          <w:color w:val="auto"/>
        </w:rPr>
        <w:t xml:space="preserve">Dymatize </w:t>
      </w:r>
      <w:r>
        <w:rPr>
          <w:rFonts w:ascii="Arial" w:cs="Arial" w:eastAsia="Arial" w:hAnsi="Arial"/>
          <w:sz w:val="16"/>
          <w:szCs w:val="16"/>
          <w:color w:val="auto"/>
        </w:rPr>
        <w:t>continues to be a leader in disruptive product innovation with several leading products for its core enthusiasts, the most recent being</w:t>
      </w:r>
      <w:r>
        <w:rPr>
          <w:rFonts w:ascii="Arial" w:cs="Arial" w:eastAsia="Arial" w:hAnsi="Arial"/>
          <w:sz w:val="16"/>
          <w:szCs w:val="16"/>
          <w:i w:val="1"/>
          <w:iCs w:val="1"/>
          <w:color w:val="auto"/>
        </w:rPr>
        <w:t xml:space="preserve"> All9 Amino</w:t>
      </w:r>
      <w:r>
        <w:rPr>
          <w:rFonts w:ascii="Arial" w:cs="Arial" w:eastAsia="Arial" w:hAnsi="Arial"/>
          <w:sz w:val="16"/>
          <w:szCs w:val="16"/>
          <w:color w:val="auto"/>
        </w:rPr>
        <w:t>, a supplement that provides the nine essential amino acids for optimal muscle protein synthesis.</w:t>
      </w:r>
    </w:p>
    <w:p>
      <w:pPr>
        <w:spacing w:after="0" w:line="16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 xml:space="preserve">We have an established and growing international business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continue distribution momentum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We are seeking to expand our wholesale and direct-to-consumer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business with specific emphasis on growing sales of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We are focused on leveraging recent marketing investments to accelerate FDM expansion of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in Western Europe, while continuing to maintain a strong presence in the specialty channel, which drives brand awareness.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 to drive the expansion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by offering a wider range of products in the FDM channel and investing behind our existing eCommerce platform.</w:t>
      </w:r>
    </w:p>
    <w:p>
      <w:pPr>
        <w:spacing w:after="0" w:line="192"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a leading mainstream, lifestyle brand in the convenient nutrition category, holding the #1 share position in the U.S. convenient</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RTD category as measured by Nielsen household panel data for all outlets for the 52 week period ended December 29, 2018.</w:t>
      </w:r>
    </w:p>
    <w:p>
      <w:pPr>
        <w:spacing w:after="0" w:line="124"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it has been one of the few brands in the category that has successfully expanded across consumer types as well as product forms.</w:t>
      </w:r>
    </w:p>
    <w:p>
      <w:pPr>
        <w:spacing w:after="0" w:line="17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was the RTD protein beverage brand in the U.S. convenient nutrition category with the greatest growth based on Nielsen data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Total US xAOC including Convenience the 52 week period ended January 16, 2019 and continues, we believe, to have strong growth within the category. In Nielsen tracked channels, our RTD protein shake sales have organically grown at a 68% CAGR from 2015 to 2018 based on Nielsen data for Total US xAOC including Convenience, considerably outpacing the broader category.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growth over this period has expanded the broader convenient nutrition category, driving 53% of convenient nutrition RTD category growth according to Nielsen data for Total US xAOC including Convenience for the 52 week period ended January 26, 2019. </w:t>
      </w:r>
      <w:r>
        <w:rPr>
          <w:rFonts w:ascii="Arial" w:cs="Arial" w:eastAsia="Arial" w:hAnsi="Arial"/>
          <w:sz w:val="17"/>
          <w:szCs w:val="17"/>
          <w:i w:val="1"/>
          <w:iCs w:val="1"/>
          <w:color w:val="auto"/>
        </w:rPr>
        <w:t>Premier Protein</w:t>
      </w:r>
      <w:r>
        <w:rPr>
          <w:rFonts w:ascii="Arial" w:cs="Arial" w:eastAsia="Arial" w:hAnsi="Arial"/>
          <w:sz w:val="17"/>
          <w:szCs w:val="17"/>
          <w:color w:val="auto"/>
        </w:rPr>
        <w:t>’s organic growth is fueled by our consumers’ loyalty to and love for the brand and its products, as new users are often introduced by their friends, families or health care providers.</w:t>
      </w:r>
    </w:p>
    <w:p>
      <w:pPr>
        <w:spacing w:after="0" w:line="17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characteristics and category-leading consumer loyalty differentiate the brand from its competitors. Based on Nielsen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 metrics, we believe the brand’s RTD protein shakes outpace the competition in buy rate, purchase size, repeat rate and share of requirements. Despite these metrics, according to Nielsen household panel data for all outlets for the 52 week period ended December 29, 2018, </w:t>
      </w:r>
      <w:r>
        <w:rPr>
          <w:rFonts w:ascii="Arial" w:cs="Arial" w:eastAsia="Arial" w:hAnsi="Arial"/>
          <w:sz w:val="18"/>
          <w:szCs w:val="18"/>
          <w:i w:val="1"/>
          <w:iCs w:val="1"/>
          <w:color w:val="auto"/>
        </w:rPr>
        <w:t>Premier Protein</w:t>
      </w:r>
      <w:r>
        <w:rPr>
          <w:rFonts w:ascii="Arial" w:cs="Arial" w:eastAsia="Arial" w:hAnsi="Arial"/>
          <w:sz w:val="18"/>
          <w:szCs w:val="18"/>
          <w:color w:val="auto"/>
        </w:rPr>
        <w:t>’s U.S. household penetration rate of 5% remains well below the household penetration rate for liquids in the convenient nutrition category of 23%, which we believe underscores the brand’s significant runway for growth.</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w w:val="96"/>
              </w:rPr>
              <w:t>Key Metric: Nielsen Household Panel, All Outlets, 52 week period ended 12/29/18</w:t>
            </w: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Pr>
          <w:p>
            <w:pPr>
              <w:jc w:val="right"/>
              <w:ind w:right="139"/>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2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$ 76.5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Size</w:t>
            </w:r>
          </w:p>
        </w:tc>
        <w:tc>
          <w:tcPr>
            <w:tcW w:w="5860" w:type="dxa"/>
            <w:vAlign w:val="bottom"/>
            <w:gridSpan w:val="3"/>
          </w:tcPr>
          <w:p>
            <w:pPr>
              <w:jc w:val="right"/>
              <w:ind w:right="819"/>
              <w:spacing w:after="0"/>
              <w:rPr>
                <w:sz w:val="20"/>
                <w:szCs w:val="20"/>
                <w:color w:val="auto"/>
              </w:rPr>
            </w:pPr>
            <w:r>
              <w:rPr>
                <w:rFonts w:ascii="Arial" w:cs="Arial" w:eastAsia="Arial" w:hAnsi="Arial"/>
                <w:sz w:val="18"/>
                <w:szCs w:val="18"/>
                <w:color w:val="auto"/>
              </w:rPr>
              <w:t>$ 23.6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Repeat Rate</w:t>
            </w:r>
          </w:p>
        </w:tc>
        <w:tc>
          <w:tcPr>
            <w:tcW w:w="586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 of Requirements (Loyalty)</w:t>
            </w:r>
          </w:p>
        </w:tc>
        <w:tc>
          <w:tcPr>
            <w:tcW w:w="5860" w:type="dxa"/>
            <w:vAlign w:val="bottom"/>
            <w:gridSpan w:val="3"/>
          </w:tcPr>
          <w:p>
            <w:pPr>
              <w:jc w:val="right"/>
              <w:ind w:right="819"/>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586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w:t>
            </w: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80" w:type="dxa"/>
            <w:vAlign w:val="bottom"/>
          </w:tcPr>
          <w:p>
            <w:pPr>
              <w:jc w:val="right"/>
              <w:ind w:right="1630"/>
              <w:spacing w:after="0"/>
              <w:rPr>
                <w:sz w:val="20"/>
                <w:szCs w:val="20"/>
                <w:color w:val="auto"/>
              </w:rPr>
            </w:pPr>
            <w:r>
              <w:rPr>
                <w:rFonts w:ascii="Arial" w:cs="Arial" w:eastAsia="Arial" w:hAnsi="Arial"/>
                <w:sz w:val="18"/>
                <w:szCs w:val="18"/>
                <w:color w:val="auto"/>
              </w:rPr>
              <w:t>105</w:t>
            </w:r>
          </w:p>
        </w:tc>
        <w:tc>
          <w:tcPr>
            <w:tcW w:w="14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’s product portfolio consists of RTD protein shakes, refreshing protein beverages, nutrition bars and protein powders.</w:t>
      </w:r>
      <w:r>
        <w:rPr>
          <w:rFonts w:ascii="Arial" w:cs="Arial" w:eastAsia="Arial" w:hAnsi="Arial"/>
          <w:sz w:val="16"/>
          <w:szCs w:val="16"/>
          <w:i w:val="1"/>
          <w:iCs w:val="1"/>
          <w:color w:val="auto"/>
        </w:rPr>
        <w:t xml:space="preserve"> Premier Protein</w:t>
      </w:r>
      <w:r>
        <w:rPr>
          <w:rFonts w:ascii="Arial" w:cs="Arial" w:eastAsia="Arial" w:hAnsi="Arial"/>
          <w:sz w:val="16"/>
          <w:szCs w:val="16"/>
          <w:color w:val="auto"/>
        </w:rPr>
        <w:t>’s flagship 11 ounce RTD protein shakes contain 30 grams of protein with only one gram of sugar and 160 calories. They are gluten-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soy-free, 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of every age in all four need states.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are available in a variety of flavors including chocolate, vanilla, cookies &amp; cream, caramel, bananas &amp; cream, strawberries &amp; cream and peaches &amp; cream. Two additional flavors will be introduced in the fall of 2019.</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plans to launch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intend to expand the portfolio in fiscal 2019 to deliver a new indulgent 20 gram nutrition bar with superior taste and texture to appeal to more mainstream consumers.</w:t>
      </w:r>
    </w:p>
    <w:p>
      <w:pPr>
        <w:spacing w:after="0" w:line="18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be found in major Canadian retailers and recently has expanded its high protein offerings into Europe with five nutrition bars and two protein powders.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and second highest velocities for bars according to German Nielsen data for December 2018.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also is sold in the club channel in Mexico, Japan and Korea.</w:t>
      </w:r>
    </w:p>
    <w:p>
      <w:pPr>
        <w:spacing w:after="0" w:line="16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still in the early stages of its expansion. We expect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We intend to innovate across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bringing new flavors and products to our loyal consumer base.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delivers nutrient dense products to fuel consumers with ambitious, athletic lifestyles.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is positioned as a high-quality brand internationally and has a notable presence in Western Europe. The brand also has recently expanded into eCommerce as well as the FDM channels to drive incremental scale. In German Nielsen tracked channels,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#2 in the sports nutrition category and is the #1 energy bar brand as measured by 2018 volume, organically growing at a CAGR of 9% from 2016 to 2018.</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1180" w:right="260" w:hanging="544"/>
        <w:spacing w:after="0" w:line="282"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1180" w:right="380" w:hanging="544"/>
        <w:spacing w:after="0" w:line="282"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 velocities, consumer insights and proven ability to grow their sales in the convenient nutrition category.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leads the category in consumer loyalty and repeat purchases and has enthusiastic fans who grow the brand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we believe delivers a differentiated offering of nutritional products.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ind w:left="1180" w:right="140" w:hanging="544"/>
        <w:spacing w:after="0" w:line="26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In 2018, www.premierprotein.com had more than 1.3 million visitors according to Google Analytics.</w:t>
      </w:r>
    </w:p>
    <w:p>
      <w:pPr>
        <w:spacing w:after="0" w:line="81" w:lineRule="exact"/>
        <w:rPr>
          <w:rFonts w:ascii="Arial" w:cs="Arial" w:eastAsia="Arial" w:hAnsi="Arial"/>
          <w:sz w:val="18"/>
          <w:szCs w:val="18"/>
          <w:color w:val="auto"/>
        </w:rPr>
      </w:pPr>
    </w:p>
    <w:p>
      <w:pPr>
        <w:ind w:left="1180" w:right="180" w:hanging="544"/>
        <w:spacing w:after="0" w:line="282"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social media channel. We leverage Instagram to connect with our fans and influencers,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product news and offer giveaways.</w:t>
      </w:r>
    </w:p>
    <w:p>
      <w:pPr>
        <w:spacing w:after="0" w:line="67" w:lineRule="exact"/>
        <w:rPr>
          <w:rFonts w:ascii="Arial" w:cs="Arial" w:eastAsia="Arial" w:hAnsi="Arial"/>
          <w:sz w:val="18"/>
          <w:szCs w:val="18"/>
          <w:color w:val="auto"/>
        </w:rPr>
      </w:pPr>
    </w:p>
    <w:p>
      <w:pPr>
        <w:ind w:left="1180" w:right="20" w:hanging="544"/>
        <w:spacing w:after="0" w:line="261"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highest reach social platform with approximately one million likes as of April 2019, which is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highest in the category. We also maintain a product rating of 4.6/5 stars, according to over 3,000 reviewers. Facebook is our primary social channel for sharing product news, posting motivational stories to accompany our fans on their fitness journey and answering consumer questions.</w:t>
      </w:r>
    </w:p>
    <w:p>
      <w:pPr>
        <w:spacing w:after="0" w:line="85" w:lineRule="exact"/>
        <w:rPr>
          <w:rFonts w:ascii="Arial" w:cs="Arial" w:eastAsia="Arial" w:hAnsi="Arial"/>
          <w:sz w:val="18"/>
          <w:szCs w:val="18"/>
          <w:color w:val="auto"/>
        </w:rPr>
      </w:pPr>
    </w:p>
    <w:p>
      <w:pPr>
        <w:ind w:left="1180" w:hanging="544"/>
        <w:spacing w:after="0"/>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42" w:lineRule="exact"/>
        <w:rPr>
          <w:rFonts w:ascii="Arial" w:cs="Arial" w:eastAsia="Arial" w:hAnsi="Arial"/>
          <w:sz w:val="17"/>
          <w:szCs w:val="17"/>
          <w:color w:val="auto"/>
        </w:rPr>
      </w:pPr>
    </w:p>
    <w:p>
      <w:pPr>
        <w:ind w:left="1180" w:right="400" w:hanging="544"/>
        <w:spacing w:after="0" w:line="282"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2018, we estimate that our influencers’ social media channels delivered over 3.4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32 million impressions per month. As of March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1" w:lineRule="exact"/>
        <w:rPr>
          <w:sz w:val="20"/>
          <w:szCs w:val="20"/>
          <w:color w:val="auto"/>
        </w:rPr>
      </w:pPr>
    </w:p>
    <w:p>
      <w:pPr>
        <w:ind w:left="1180" w:right="780" w:hanging="544"/>
        <w:spacing w:after="0" w:line="313" w:lineRule="auto"/>
        <w:tabs>
          <w:tab w:leader="none" w:pos="11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3" w:lineRule="exact"/>
        <w:rPr>
          <w:rFonts w:ascii="Arial" w:cs="Arial" w:eastAsia="Arial" w:hAnsi="Arial"/>
          <w:sz w:val="17"/>
          <w:szCs w:val="17"/>
          <w:color w:val="auto"/>
        </w:rPr>
      </w:pPr>
    </w:p>
    <w:p>
      <w:pPr>
        <w:ind w:left="1180" w:right="80" w:hanging="544"/>
        <w:spacing w:after="0" w:line="266"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March 2019, we had more than 200,000 Instagram followers, growing 37% over the prior year.</w:t>
      </w:r>
    </w:p>
    <w:p>
      <w:pPr>
        <w:spacing w:after="0" w:line="81" w:lineRule="exact"/>
        <w:rPr>
          <w:rFonts w:ascii="Arial" w:cs="Arial" w:eastAsia="Arial" w:hAnsi="Arial"/>
          <w:sz w:val="18"/>
          <w:szCs w:val="18"/>
          <w:color w:val="auto"/>
        </w:rPr>
      </w:pPr>
    </w:p>
    <w:p>
      <w:pPr>
        <w:jc w:val="both"/>
        <w:ind w:left="1180" w:right="140" w:hanging="544"/>
        <w:spacing w:after="0" w:line="347" w:lineRule="auto"/>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March 2019, we had more than 800,000 Facebook followers, growing 32% over the prior year.</w:t>
      </w:r>
    </w:p>
    <w:p>
      <w:pPr>
        <w:spacing w:after="0" w:line="21" w:lineRule="exact"/>
        <w:rPr>
          <w:rFonts w:ascii="Arial" w:cs="Arial" w:eastAsia="Arial" w:hAnsi="Arial"/>
          <w:sz w:val="16"/>
          <w:szCs w:val="16"/>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ind w:left="20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2" w:lineRule="exact"/>
        <w:rPr>
          <w:sz w:val="20"/>
          <w:szCs w:val="20"/>
          <w:color w:val="auto"/>
        </w:rPr>
      </w:pPr>
    </w:p>
    <w:p>
      <w:pPr>
        <w:ind w:left="1180" w:right="20" w:hanging="544"/>
        <w:spacing w:after="0" w:line="266"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1180" w:right="200" w:hanging="544"/>
        <w:spacing w:after="0" w:line="266"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and fastest-growing social media channel. We leverage Instagram to connect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fans, athletes and influencers. We also use Instagram to share product news and event stories as well as to conduct raffles and lotteries to drive community engagement.</w:t>
      </w:r>
    </w:p>
    <w:p>
      <w:pPr>
        <w:spacing w:after="0" w:line="81" w:lineRule="exact"/>
        <w:rPr>
          <w:rFonts w:ascii="Arial" w:cs="Arial" w:eastAsia="Arial" w:hAnsi="Arial"/>
          <w:sz w:val="18"/>
          <w:szCs w:val="18"/>
          <w:color w:val="auto"/>
        </w:rPr>
      </w:pPr>
    </w:p>
    <w:p>
      <w:pPr>
        <w:ind w:left="1180" w:right="220" w:hanging="544"/>
        <w:spacing w:after="0" w:line="282"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leverage extensive research and data tools to understand consumer trends and work in partnership with our customers to remain at the forefront of innovation.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b w:val="1"/>
          <w:bCs w:val="1"/>
          <w:i w:val="1"/>
          <w:iCs w:val="1"/>
          <w:color w:val="auto"/>
        </w:rPr>
        <w:t>Sourcing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Raw materials used in our business consist of ingredients and packaging materials purchased from local, regional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 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4"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from our contract manufacturers, which include all packaging and ingredients used, for an agreed-upon tolling charge for each item produced as well other minor costs. We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 xml:space="preserve">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Dymatize </w:t>
      </w:r>
      <w:r>
        <w:rPr>
          <w:rFonts w:ascii="Arial" w:cs="Arial" w:eastAsia="Arial" w:hAnsi="Arial"/>
          <w:sz w:val="18"/>
          <w:szCs w:val="18"/>
          <w:color w:val="auto"/>
        </w:rPr>
        <w:t>brands.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the international Food Safety Standards (ISO/FSSC 22.000, IFS or BRC), and OHSAS 18001 (Health and Safety).</w:t>
      </w:r>
    </w:p>
    <w:p>
      <w:pPr>
        <w:spacing w:after="0" w:line="173" w:lineRule="exact"/>
        <w:rPr>
          <w:sz w:val="20"/>
          <w:szCs w:val="20"/>
          <w:color w:val="auto"/>
        </w:rPr>
      </w:pPr>
    </w:p>
    <w:p>
      <w:pPr>
        <w:jc w:val="both"/>
        <w:ind w:left="200" w:right="340" w:firstLine="441"/>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sites maintain Global Food Safety Initiative certifications,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84"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have experienced in the past, and expect to continue to experience, seasonal fluctuations in our sales because of consumer spending patterns and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expect to enter into a sublease for our principal executive offices in St. Louis, Missouri. The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Gümlingen,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00" w:right="400" w:firstLine="441"/>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3" w:lineRule="exact"/>
        <w:rPr>
          <w:sz w:val="20"/>
          <w:szCs w:val="20"/>
          <w:color w:val="auto"/>
        </w:rPr>
      </w:pPr>
    </w:p>
    <w:p>
      <w:pPr>
        <w:ind w:left="200" w:right="700" w:firstLine="441"/>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approximately 370 employees as of March 1, 2019. Of these employees, approximately 190 are in the U.S., approximately 170 are in Germany and approximately 10 are in other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6 of “Notes to Combined Financial Statements” for the years ended September 30, 2018, 2017 and 2016 and Note 9 of “Notes to Condensed Combined Financial Statements” for the six months ended March 31, 2019 and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180" w:hanging="54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80" w:hanging="544"/>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544"/>
        <w:spacing w:after="0" w:line="264"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As of the date of this prospectus, we have not determined who will be our executive officers and directors at the time of this offering, other than Robert V. Vitale, who is expected to be our Executive Chairman, Darcy Horn Davenport, who is expected to serve as our President and Chief Executive Officer and as a member of our Board of Directors, and Paul A. Rode, who is expected to serve as our Chief Financial Officer. In subsequent amendments to this prospectus, we will identify the individuals who will be our other executive officers, if any, and directors at the time of this offering and provide the relevant disclosures regarding such individuals and the composition of our Board of Directors. The following sets forth, as of the date of this prospectus, information regarding individuals who are expected to serve as our executive officers and directors at the time of this offering.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48</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Robert V. Vitale </w:t>
      </w:r>
      <w:r>
        <w:rPr>
          <w:rFonts w:ascii="Arial" w:cs="Arial" w:eastAsia="Arial" w:hAnsi="Arial"/>
          <w:sz w:val="17"/>
          <w:szCs w:val="17"/>
          <w:color w:val="auto"/>
        </w:rPr>
        <w:t>will serve as our Executive Chairman upon completion of this offering. Mr. Vitale has been the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8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will serve as our President and Chief Executive Officer and as a member of our Board of Directors upon completion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offering.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 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 xml:space="preserve">Paul A. Rode </w:t>
      </w:r>
      <w:r>
        <w:rPr>
          <w:rFonts w:ascii="Arial" w:cs="Arial" w:eastAsia="Arial" w:hAnsi="Arial"/>
          <w:sz w:val="18"/>
          <w:szCs w:val="18"/>
          <w:color w:val="auto"/>
        </w:rPr>
        <w:t>will serve as our Chief Financial Officer. Mr. Rode has served as Chief Financial Officer of Post’s Active Nutrition business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2015 and as Chief Financial Officer of Consumer Brands, a prior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that upon or before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200" w:right="80" w:firstLine="981"/>
        <w:spacing w:after="0" w:line="259" w:lineRule="auto"/>
        <w:rPr>
          <w:sz w:val="20"/>
          <w:szCs w:val="20"/>
          <w:color w:val="auto"/>
        </w:rPr>
      </w:pPr>
      <w:r>
        <w:rPr>
          <w:rFonts w:ascii="Arial" w:cs="Arial" w:eastAsia="Arial" w:hAnsi="Arial"/>
          <w:sz w:val="18"/>
          <w:szCs w:val="18"/>
          <w:color w:val="auto"/>
        </w:rPr>
        <w:t>will serve as Class I directors, will serve as Class II directors and will serve as Class III directors.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or before the completion of this offering, we expect our Board of Directors will be set at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93" w:lineRule="exact"/>
        <w:rPr>
          <w:sz w:val="20"/>
          <w:szCs w:val="20"/>
          <w:color w:val="auto"/>
        </w:rPr>
      </w:pPr>
    </w:p>
    <w:p>
      <w:pPr>
        <w:ind w:left="200" w:right="240" w:firstLine="441"/>
        <w:spacing w:after="0" w:line="258" w:lineRule="auto"/>
        <w:rPr>
          <w:sz w:val="20"/>
          <w:szCs w:val="20"/>
          <w:color w:val="auto"/>
        </w:rPr>
      </w:pPr>
      <w:r>
        <w:rPr>
          <w:rFonts w:ascii="Arial" w:cs="Arial" w:eastAsia="Arial" w:hAnsi="Arial"/>
          <w:sz w:val="18"/>
          <w:szCs w:val="18"/>
          <w:color w:val="auto"/>
        </w:rPr>
        <w:t>Post has designated , and as its nominees under the investor rights agreement that we will enter into with Post as part of the formation transactions and this offering, with to serve as a Class I director, to serve as a Class II director and</w:t>
      </w:r>
    </w:p>
    <w:p>
      <w:pPr>
        <w:spacing w:after="0" w:line="1" w:lineRule="exact"/>
        <w:rPr>
          <w:sz w:val="20"/>
          <w:szCs w:val="20"/>
          <w:color w:val="auto"/>
        </w:rPr>
      </w:pPr>
    </w:p>
    <w:p>
      <w:pPr>
        <w:ind w:left="5580" w:right="960" w:hanging="5378"/>
        <w:spacing w:after="0" w:line="433" w:lineRule="auto"/>
        <w:rPr>
          <w:sz w:val="20"/>
          <w:szCs w:val="20"/>
          <w:color w:val="auto"/>
        </w:rPr>
      </w:pPr>
      <w:r>
        <w:rPr>
          <w:rFonts w:ascii="Arial" w:cs="Arial" w:eastAsia="Arial" w:hAnsi="Arial"/>
          <w:sz w:val="18"/>
          <w:szCs w:val="18"/>
          <w:color w:val="auto"/>
        </w:rPr>
        <w:t>to serve as a Class III director. If a vacancy is created on our Board of Directors as a result of the death, disability, retirement, resignation or 117</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removal of a director who is a Post nominee, Post will have the right to designate such person’s replacement. Please refer to “Certain Relationships and Related Party Transactions – Post-Offering Relationship with Post – Investor Rights Agreement.”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expect our Board of Directors will consist of a majority of independent directors upon or before the completion of this offering. Upon or</w:t>
      </w:r>
    </w:p>
    <w:p>
      <w:pPr>
        <w:spacing w:after="0" w:line="35"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before the completion of this offering, we expect that of the members of our Board of Directors will qualify as “independent” under the NYSE corporate governance standards. Our Board of Directors has determined as of the date of this prospectus that each of is an independent director as defined under the NYSE corporate governance standards.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or before the completion of this offering, these committees will include an Audit Committee and a Corporate Governance and Compensation Committee. Our Board of Directors also may establish such other committees as it deems appropriate, in accordance with applicable law and regulations 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 – Post-Offering Relationship with Post – Investor Rights Agreement.”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
        <w:spacing w:after="0" w:line="259" w:lineRule="auto"/>
        <w:tabs>
          <w:tab w:leader="none" w:pos="6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Upon or before the completion of this offering, we expect that all of the members of our Corporate Governance and Compensation Committee will be “independent” as defined under the NYSE corporate governance standards.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380" w:firstLine="441"/>
        <w:spacing w:after="0" w:line="288" w:lineRule="auto"/>
        <w:rPr>
          <w:sz w:val="20"/>
          <w:szCs w:val="20"/>
          <w:color w:val="auto"/>
        </w:rPr>
      </w:pPr>
      <w:r>
        <w:rPr>
          <w:rFonts w:ascii="Arial" w:cs="Arial" w:eastAsia="Arial" w:hAnsi="Arial"/>
          <w:sz w:val="16"/>
          <w:szCs w:val="16"/>
          <w:color w:val="auto"/>
        </w:rPr>
        <w:t>Prior to the completion of this offering, our Board of Directors will adopt a code of conduct that applies to all of our directors, officers and employees, including any persons serving as a principal executive officer, principal financial officer, principal accounting officer and controller and persons performing similar functions. Upon completion of this offering, the full text of the code of conduct will be available on our website located</w:t>
      </w:r>
    </w:p>
    <w:p>
      <w:pPr>
        <w:ind w:left="200" w:right="200"/>
        <w:spacing w:after="0" w:line="261" w:lineRule="auto"/>
        <w:rPr>
          <w:sz w:val="20"/>
          <w:szCs w:val="20"/>
          <w:color w:val="auto"/>
        </w:rPr>
      </w:pPr>
      <w:r>
        <w:rPr>
          <w:rFonts w:ascii="Arial" w:cs="Arial" w:eastAsia="Arial" w:hAnsi="Arial"/>
          <w:sz w:val="18"/>
          <w:szCs w:val="18"/>
          <w:color w:val="auto"/>
        </w:rPr>
        <w:t>at . We intend to disclose any amendments to or waivers from a provision of our code of conduct that applies to our executive officers on our website.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89"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None of our current directors has received compensation for his or her service as our director. Upon or before the completion of this offering, we expect that our Board of Directors will adopt a compensation program for our independent directors that will enable us to attract and retain qualified directors, provide them with compensation at a level that is consistent with our compensation objectives and encourage their ownership of our Class A common stock to further the alignment of their interests with the interests of our stockholders.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of the date of this prospectus, we have not yet finalized our named executive officers other than Robert V. Vitale, our Executive Chairman, and Darcy Horn Davenport, our President and Chief Executive Officer, each of whom served as principal executive officers of the Company in fiscal 2018, and Paul A. Rode, our Chief Financial Officer. We refer to these executive officers as our “named executive officers” or “NEOs.” We will identify our other named executive officer(s) and include the relevant disclosures relating to his or her compensation in subsequent amendments to this prospectus.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sections set forth certain information about compensation paid to our named executive officers.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2018 and, where required, fiscal 2017 by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Salary</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500" w:type="dxa"/>
            <w:vAlign w:val="bottom"/>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tcPr>
          <w:p>
            <w:pPr>
              <w:jc w:val="right"/>
              <w:ind w:right="89"/>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6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Executive Chairman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40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477,292</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296,371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13,218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2018</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280,456</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176,531</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160,390</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5,376</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27,988</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650,741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right="160" w:hanging="436"/>
        <w:spacing w:after="0" w:line="248" w:lineRule="auto"/>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2017 and fiscal 2018 compensation is fully disclosed in Post’s filings with the SEC.</w:t>
      </w:r>
    </w:p>
    <w:p>
      <w:pPr>
        <w:ind w:left="640" w:right="120" w:hanging="436"/>
        <w:spacing w:after="0" w:line="238" w:lineRule="auto"/>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See Note 12 to Post’s Active Nutrition business fiscal 2018 financial statements included herein for a discussion of the determination of these amounts under FASB ASC Topic 718.</w:t>
      </w:r>
    </w:p>
    <w:p>
      <w:pPr>
        <w:ind w:left="640" w:right="8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See Note 12 to Post’s Active Nutrition business fiscal 2018 financial statements included herein for a discussion of the determination of these amounts under FASB ASC Topic 718.</w:t>
      </w:r>
    </w:p>
    <w:p>
      <w:pPr>
        <w:ind w:left="640" w:hanging="436"/>
        <w:spacing w:after="0" w:line="221"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the fiscal year under the Post Holdings, Inc. Annual Bonus Program, discussed below.</w:t>
      </w:r>
    </w:p>
    <w:p>
      <w:pPr>
        <w:ind w:left="640" w:right="200" w:hanging="436"/>
        <w:spacing w:after="0" w:line="237" w:lineRule="auto"/>
        <w:tabs>
          <w:tab w:leader="none" w:pos="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As described above in “Management—Compensation Committee Interlocks and Insider Participation,” the fiscal 2018 compensation of our named executive officers was determined by Mr. Vitale or Ms. Davenport. We anticipate that Mr. Vitale and Ms. Davenport will continue to establish and manage the compensation of our named executive officers until the completion of this offering. After the completion of this offering, our executive compensation programs will be designed and implemented by our Board of Directors, through our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6"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ind w:left="200"/>
        <w:spacing w:after="0"/>
        <w:rPr>
          <w:sz w:val="20"/>
          <w:szCs w:val="20"/>
          <w:color w:val="auto"/>
        </w:rPr>
      </w:pPr>
      <w:r>
        <w:rPr>
          <w:rFonts w:ascii="Arial" w:cs="Arial" w:eastAsia="Arial" w:hAnsi="Arial"/>
          <w:sz w:val="16"/>
          <w:szCs w:val="16"/>
          <w:color w:val="auto"/>
        </w:rPr>
        <w:t>Mr. Vitale’s fiscal 2017 and fiscal 2018 compensation and the benefit plans in which he participates are fully disclosed in Post’s filings with the SEC.</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Base salaries are designed to recognize and reward the skill, competency, experience and performance a named executive officer brings to the position. The total base salaries earned by our named executive officers in fiscal 2018 are disclosed in the Summary Compensation Table above.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fiscal 2018, each of our named executive officers participated in the Post Holdings, Inc. Annual Bonus Program, which is an annual cash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Ms. Davenport’s target bonus amount was 100% of her base salary, and Mr. Rode’s target bonus amount was 50% of his base salary. Final bonus amounts were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Equity awards for our named executive officers were awarded under the Post Holdings, Inc. 2012 Long-Term Incentive Plan (the “2012 LTIP”) and the Post Holdings, Inc. 2016 Long-Term Incentive Plan (the “2016 LTIP” and, together with the 2012 LTIP, the “Post LTIPs”). Awards made to named executive officers consisted of restricted stock units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92"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intend to adopt our own equity incentive compensation plan for the benefit of our eligible employees in connection with the offering, as described more fully below under “—BellRing Brands, Inc. 2019 Long-Term Incentive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2018.</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salary to be paid at a future date. In addition, Post has the ability to provide a discretionary employer contribution at the times and in the amounts designated by Post, which, if made, vest at 25% for each year of service. Eligible employees may defer between 1% and 75% of their base salary.</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Savings Investment Plan (the “401(k) Plan”)</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Post maintains the 401(k) Plan, which is a defined contribution savings plan for all eligible employees of the Company, including each of our named executive officers. The 401(k) Plan is subject to certain provisions of the Employee Retirement Income Security Act of 1974, as amended (“ERISA”), and the Internal Revenue Code of 1986, as amended (the “Code”). The 401(k) Plan is designed to meet ERISA’s reporting and disclosure and fiduciary requirements, as well as to meet the minimum standards for participation and vesting. The Plan also is intended to qualify as a cash or deferred profit sharing plan under Section 401(k) of the Code, is intended to be qualified under Section 401(a) of the Code and is the subject of a favorable determination letter from the IRS.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Under the 401(k) Plan, our named executive officers may make pre-tax and Roth contributions of their eligible compensation, which are credited with a dollar-for-dollar employer matching contribution of up to 6%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eligible compensation deferred. Matching contributions made through December 31, 2017 vest at 20% for each year of service. Effective January 1, 2018, the 401(k) Plan was amended to provide that matching contributions made on or after January 1, 2018 are vested when made. Our named executive officers may select from a variety of investment funds, including the Post Common Stock Fund. The matching contributions made by Post under the 401(k) Plan for our named executive officers, as well as the discretionary contributions made by Post under the Executive Savings Investment Plan for our named executive officers, for fiscal 2018 were as follows: Ms. Davenport, $64,664; and Mr. Rode, $27,379. Such amounts are included in the “All Other Compensation” column in the Summary Compensation Table above.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adopt our own 401(k) plan in connection with the contemplated transactions.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September 30, 2018</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10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8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That Have</w:t>
            </w:r>
          </w:p>
        </w:tc>
        <w:tc>
          <w:tcPr>
            <w:tcW w:w="8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8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0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left="188"/>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800" w:type="dxa"/>
            <w:vAlign w:val="bottom"/>
            <w:gridSpan w:val="2"/>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24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3,333</w:t>
            </w:r>
            <w:r>
              <w:rPr>
                <w:rFonts w:ascii="Arial" w:cs="Arial" w:eastAsia="Arial" w:hAnsi="Arial"/>
                <w:sz w:val="12"/>
                <w:szCs w:val="12"/>
                <w:color w:val="auto"/>
              </w:rPr>
              <w:t>(2)</w:t>
            </w:r>
          </w:p>
        </w:tc>
        <w:tc>
          <w:tcPr>
            <w:tcW w:w="10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6,667</w:t>
            </w:r>
          </w:p>
        </w:tc>
        <w:tc>
          <w:tcPr>
            <w:tcW w:w="40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4"/>
                <w:szCs w:val="14"/>
                <w:color w:val="auto"/>
              </w:rPr>
              <w:t>71.32</w:t>
            </w:r>
          </w:p>
        </w:tc>
        <w:tc>
          <w:tcPr>
            <w:tcW w:w="2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11/14/2026</w:t>
            </w:r>
          </w:p>
        </w:tc>
        <w:tc>
          <w:tcPr>
            <w:tcW w:w="120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584</w:t>
            </w:r>
            <w:r>
              <w:rPr>
                <w:rFonts w:ascii="Arial" w:cs="Arial" w:eastAsia="Arial" w:hAnsi="Arial"/>
                <w:sz w:val="12"/>
                <w:szCs w:val="12"/>
                <w:color w:val="auto"/>
              </w:rPr>
              <w:t>(4)</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57,255</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15,975</w:t>
            </w:r>
            <w:r>
              <w:rPr>
                <w:rFonts w:ascii="Arial" w:cs="Arial" w:eastAsia="Arial" w:hAnsi="Arial"/>
                <w:sz w:val="12"/>
                <w:szCs w:val="12"/>
                <w:color w:val="auto"/>
              </w:rPr>
              <w:t>(3)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79.52</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12/01/2027</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4,000</w:t>
            </w:r>
            <w:r>
              <w:rPr>
                <w:rFonts w:ascii="Arial" w:cs="Arial" w:eastAsia="Arial" w:hAnsi="Arial"/>
                <w:sz w:val="12"/>
                <w:szCs w:val="12"/>
                <w:color w:val="auto"/>
              </w:rPr>
              <w:t>(5)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392,160</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3,727</w:t>
            </w:r>
            <w:r>
              <w:rPr>
                <w:rFonts w:ascii="Arial" w:cs="Arial" w:eastAsia="Arial" w:hAnsi="Arial"/>
                <w:sz w:val="12"/>
                <w:szCs w:val="12"/>
                <w:color w:val="auto"/>
              </w:rPr>
              <w:t>(6)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365,395</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(7)</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490,200</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920</w:t>
            </w:r>
            <w:r>
              <w:rPr>
                <w:rFonts w:ascii="Arial" w:cs="Arial" w:eastAsia="Arial" w:hAnsi="Arial"/>
                <w:sz w:val="12"/>
                <w:szCs w:val="12"/>
                <w:color w:val="auto"/>
              </w:rPr>
              <w:t>(4)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90,197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1,484</w:t>
            </w:r>
            <w:r>
              <w:rPr>
                <w:rFonts w:ascii="Arial" w:cs="Arial" w:eastAsia="Arial" w:hAnsi="Arial"/>
                <w:sz w:val="12"/>
                <w:szCs w:val="12"/>
                <w:color w:val="auto"/>
              </w:rPr>
              <w:t>(8)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145,491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2,234</w:t>
            </w:r>
            <w:r>
              <w:rPr>
                <w:rFonts w:ascii="Arial" w:cs="Arial" w:eastAsia="Arial" w:hAnsi="Arial"/>
                <w:sz w:val="12"/>
                <w:szCs w:val="12"/>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219,021</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right="100" w:hanging="436"/>
        <w:spacing w:after="0" w:line="230"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17, 2016, 2017 and 2018.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 w:hanging="436"/>
        <w:spacing w:after="0" w:line="238" w:lineRule="auto"/>
        <w:tabs>
          <w:tab w:leader="none" w:pos="6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right="2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hanging="436"/>
        <w:spacing w:after="0"/>
        <w:tabs>
          <w:tab w:leader="none" w:pos="6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Post’s closing stock price of $98.04 on September 28, 2018, the last trading day of fiscal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fiscal 2018, in the event of an involuntary termination of employment (whether in connection with a change in control of the Company or not), Ms. Davenport was eligible for compensation and benefits under the Post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Holdings, Inc. Executive Severance Plan (the “Executive Severance Plan”), and Mr. Rode was eligible for compensation and benefits under the Post Holdings, Inc. Severance Plan for Salary Grade 16 and Above (the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2018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We anticipate that our named executive officers will no longer be eligible for severance under the Executive Severance Plan or the Salary Grade 16 Plan, as applicable, and that the Company will implement its own severance plan, following the consummation of the contemplated transactions.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fiscal 2018,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1180" w:right="320" w:hanging="544"/>
        <w:spacing w:after="0" w:line="308" w:lineRule="auto"/>
        <w:tabs>
          <w:tab w:leader="none" w:pos="1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200" w:firstLine="4"/>
        <w:spacing w:after="0" w:line="323" w:lineRule="auto"/>
        <w:tabs>
          <w:tab w:leader="none" w:pos="4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Salary Grade 16 Plan, Mr. Rode was eligible for severance benefits in the event of an involuntary termination without “cause.” The payment of benefits under the Salary Grade 16 Plan is conditioned upon Mr. Rode executing a general release of claims that includes confidentiality and cooperation provisions, among other provisions.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1180" w:right="440" w:hanging="544"/>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Salary Grade 16 Plan also provides that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Equity awards in respect of Post common stock granted to our named executive officers under the 2012 LTIP and the 2016 LTIP are subject to special provisions in the event of certain involuntary terminations and/or a change in control (as defined under the applicable award agreement) as described herein. The agreements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governing all of our named executive officers’ NQSOs and RSUs issued under the 2016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180" w:right="740" w:hanging="544"/>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both the 2012 Plan and the 2016 Plan vest in whole or in part upon a termination because of death or disability.</w:t>
      </w:r>
    </w:p>
    <w:p>
      <w:pPr>
        <w:spacing w:after="0" w:line="75" w:lineRule="exact"/>
        <w:rPr>
          <w:rFonts w:ascii="Arial" w:cs="Arial" w:eastAsia="Arial" w:hAnsi="Arial"/>
          <w:sz w:val="18"/>
          <w:szCs w:val="18"/>
          <w:color w:val="auto"/>
        </w:rPr>
      </w:pPr>
    </w:p>
    <w:p>
      <w:pPr>
        <w:ind w:left="1180" w:right="80" w:hanging="544"/>
        <w:spacing w:after="0" w:line="279"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Under an RSU award made to Mr. Rode on June 17, 2014 under the 2012 Plan and which is scheduled to be fully vested on July 17, 2024, if Mr. Rode’s employment had been terminated by the Company or another Post affiliate without cause in fiscal 2018, any unvested RSUs would have become vested. This accelerated vesting provision also would apply if Mr. Rode’s employment with the Company or a subsidiary of the Company terminates as a result of the sale of the Company or a subsidiary of the Company.</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Vested stock options granted under the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connection with the consummation of this offering, we anticipate adopting an equity incentive compensation plan for the benefit of our eligible employees. We currently are developing the terms of this equity incentive compensation plan, which we will describe in subsequent amendments to this prospectus.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prior to and following the completion of this offering for:</w:t>
      </w:r>
    </w:p>
    <w:p>
      <w:pPr>
        <w:spacing w:after="0" w:line="76" w:lineRule="exact"/>
        <w:rPr>
          <w:sz w:val="20"/>
          <w:szCs w:val="20"/>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right). The number of shares of our Class A common stock outstanding and the percentage of beneficial ownership before this offering are based on the share of our Class B common stock and BellRing Brands, LLC Units to be issued and outstanding immediately prior to this offering and after giving effect to the formation transactions (based on the midpoint of the estimated initial public offering price range set forth on the cover page of this prospectus) and the redemption of all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7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Beneficial Owner Name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Principal Stockholder:</w:t>
      </w:r>
    </w:p>
    <w:p>
      <w:pPr>
        <w:ind w:left="500"/>
        <w:spacing w:after="0" w:line="221" w:lineRule="auto"/>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p>
      <w:pPr>
        <w:ind w:left="200"/>
        <w:spacing w:after="0"/>
        <w:rPr>
          <w:sz w:val="20"/>
          <w:szCs w:val="20"/>
          <w:color w:val="auto"/>
        </w:rPr>
      </w:pPr>
      <w:r>
        <w:rPr>
          <w:rFonts w:ascii="Arial" w:cs="Arial" w:eastAsia="Arial" w:hAnsi="Arial"/>
          <w:sz w:val="13"/>
          <w:szCs w:val="13"/>
          <w:b w:val="1"/>
          <w:bCs w:val="1"/>
          <w:color w:val="auto"/>
        </w:rPr>
        <w:t>Named Executive Officers, Directors and Director Nominees:</w:t>
      </w:r>
    </w:p>
    <w:p>
      <w:pPr>
        <w:ind w:left="500"/>
        <w:spacing w:after="0" w:line="221" w:lineRule="auto"/>
        <w:rPr>
          <w:sz w:val="20"/>
          <w:szCs w:val="20"/>
          <w:color w:val="auto"/>
        </w:rPr>
      </w:pPr>
      <w:r>
        <w:rPr>
          <w:rFonts w:ascii="Arial" w:cs="Arial" w:eastAsia="Arial" w:hAnsi="Arial"/>
          <w:sz w:val="14"/>
          <w:szCs w:val="14"/>
          <w:color w:val="auto"/>
        </w:rPr>
        <w:t>Robert V. Vitale</w:t>
      </w:r>
    </w:p>
    <w:p>
      <w:pPr>
        <w:ind w:left="500"/>
        <w:spacing w:after="0" w:line="221" w:lineRule="auto"/>
        <w:rPr>
          <w:sz w:val="20"/>
          <w:szCs w:val="20"/>
          <w:color w:val="auto"/>
        </w:rPr>
      </w:pPr>
      <w:r>
        <w:rPr>
          <w:rFonts w:ascii="Arial" w:cs="Arial" w:eastAsia="Arial" w:hAnsi="Arial"/>
          <w:sz w:val="14"/>
          <w:szCs w:val="14"/>
          <w:color w:val="auto"/>
        </w:rPr>
        <w:t>Darcy Horn Davenport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Paul A. Rode</w:t>
      </w:r>
    </w:p>
    <w:p>
      <w:pPr>
        <w:spacing w:after="0" w:line="200" w:lineRule="exact"/>
        <w:rPr>
          <w:sz w:val="20"/>
          <w:szCs w:val="20"/>
          <w:color w:val="auto"/>
        </w:rPr>
      </w:pPr>
    </w:p>
    <w:p>
      <w:pPr>
        <w:spacing w:after="0" w:line="397" w:lineRule="exact"/>
        <w:rPr>
          <w:sz w:val="20"/>
          <w:szCs w:val="20"/>
          <w:color w:val="auto"/>
        </w:rPr>
      </w:pPr>
    </w:p>
    <w:p>
      <w:pPr>
        <w:ind w:left="340" w:right="260" w:hanging="143"/>
        <w:spacing w:after="0" w:line="253" w:lineRule="auto"/>
        <w:rPr>
          <w:sz w:val="20"/>
          <w:szCs w:val="20"/>
          <w:color w:val="auto"/>
        </w:rPr>
      </w:pPr>
      <w:r>
        <w:rPr>
          <w:rFonts w:ascii="Arial" w:cs="Arial" w:eastAsia="Arial" w:hAnsi="Arial"/>
          <w:sz w:val="14"/>
          <w:szCs w:val="14"/>
          <w:color w:val="auto"/>
        </w:rPr>
        <w:t>All directors, director nominees and executive officers as a group (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7632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Shares</w:t>
            </w:r>
          </w:p>
        </w:tc>
        <w:tc>
          <w:tcPr>
            <w:tcW w:w="300" w:type="dxa"/>
            <w:vAlign w:val="bottom"/>
          </w:tcPr>
          <w:p>
            <w:pPr>
              <w:spacing w:after="0"/>
              <w:rPr>
                <w:sz w:val="14"/>
                <w:szCs w:val="1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Number of 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Shares</w:t>
            </w:r>
          </w:p>
        </w:tc>
      </w:tr>
      <w:tr>
        <w:trPr>
          <w:trHeight w:val="149"/>
        </w:trPr>
        <w:tc>
          <w:tcPr>
            <w:tcW w:w="16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Class A</w:t>
            </w:r>
          </w:p>
        </w:tc>
        <w:tc>
          <w:tcPr>
            <w:tcW w:w="8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300" w:type="dxa"/>
            <w:vAlign w:val="bottom"/>
          </w:tcPr>
          <w:p>
            <w:pPr>
              <w:spacing w:after="0"/>
              <w:rPr>
                <w:sz w:val="12"/>
                <w:szCs w:val="12"/>
                <w:color w:val="auto"/>
              </w:rPr>
            </w:pPr>
          </w:p>
        </w:tc>
        <w:tc>
          <w:tcPr>
            <w:tcW w:w="14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Class B</w:t>
            </w: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B</w:t>
            </w:r>
          </w:p>
        </w:tc>
      </w:tr>
      <w:tr>
        <w:trPr>
          <w:trHeight w:val="171"/>
        </w:trPr>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Beneficially Owned</w:t>
            </w:r>
          </w:p>
        </w:tc>
        <w:tc>
          <w:tcPr>
            <w:tcW w:w="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300" w:type="dxa"/>
            <w:vAlign w:val="bottom"/>
          </w:tcPr>
          <w:p>
            <w:pPr>
              <w:spacing w:after="0"/>
              <w:rPr>
                <w:sz w:val="14"/>
                <w:szCs w:val="14"/>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Beneficially Owned</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r>
      <w:tr>
        <w:trPr>
          <w:trHeight w:val="119"/>
        </w:trPr>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30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Before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Before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273"/>
        </w:trPr>
        <w:tc>
          <w:tcPr>
            <w:tcW w:w="620" w:type="dxa"/>
            <w:vAlign w:val="bottom"/>
          </w:tcPr>
          <w:p>
            <w:pPr>
              <w:spacing w:after="0"/>
              <w:rPr>
                <w:sz w:val="23"/>
                <w:szCs w:val="23"/>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2"/>
                <w:szCs w:val="12"/>
                <w:color w:val="auto"/>
                <w:w w:val="81"/>
              </w:rPr>
              <w:t>(3)</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-185420</wp:posOffset>
            </wp:positionV>
            <wp:extent cx="699770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3175</wp:posOffset>
            </wp:positionV>
            <wp:extent cx="6997700" cy="946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191770</wp:posOffset>
            </wp:positionV>
            <wp:extent cx="6997700" cy="946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380365</wp:posOffset>
            </wp:positionV>
            <wp:extent cx="699770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568960</wp:posOffset>
            </wp:positionV>
            <wp:extent cx="699770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757555</wp:posOffset>
            </wp:positionV>
            <wp:extent cx="6997700" cy="2317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1740" w:lineRule="exact"/>
        <w:rPr>
          <w:sz w:val="20"/>
          <w:szCs w:val="20"/>
          <w:color w:val="auto"/>
        </w:rPr>
      </w:pPr>
    </w:p>
    <w:p>
      <w:pPr>
        <w:sectPr>
          <w:pgSz w:w="11900" w:h="16838" w:orient="portrait"/>
          <w:cols w:equalWidth="0" w:num="2">
            <w:col w:w="4300" w:space="720"/>
            <w:col w:w="6180"/>
          </w:cols>
          <w:pgMar w:left="240" w:top="459" w:right="459" w:bottom="1440" w:gutter="0" w:footer="0" w:header="0"/>
          <w:type w:val="continuous"/>
        </w:sectPr>
      </w:pPr>
    </w:p>
    <w:p>
      <w:pPr>
        <w:ind w:left="640" w:hanging="436"/>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6"/>
        <w:spacing w:after="0" w:line="221"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hanging="436"/>
        <w:spacing w:after="0" w:line="221"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spacing w:after="0" w:line="1" w:lineRule="exact"/>
        <w:rPr>
          <w:sz w:val="20"/>
          <w:szCs w:val="20"/>
          <w:color w:val="auto"/>
        </w:rPr>
      </w:pPr>
    </w:p>
    <w:p>
      <w:pPr>
        <w:ind w:left="200"/>
        <w:spacing w:after="0"/>
        <w:tabs>
          <w:tab w:leader="none" w:pos="620" w:val="left"/>
          <w:tab w:leader="none" w:pos="17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Includes</w:t>
      </w:r>
      <w:r>
        <w:rPr>
          <w:sz w:val="20"/>
          <w:szCs w:val="20"/>
          <w:color w:val="auto"/>
        </w:rPr>
        <w:tab/>
      </w:r>
      <w:r>
        <w:rPr>
          <w:rFonts w:ascii="Arial" w:cs="Arial" w:eastAsia="Arial" w:hAnsi="Arial"/>
          <w:sz w:val="13"/>
          <w:szCs w:val="13"/>
          <w:color w:val="auto"/>
        </w:rPr>
        <w:t>shares of Class A common stock that may be acquired upon the redemption of BellRing Brands, LLC Units.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Prior to the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 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w:t>
      </w:r>
    </w:p>
    <w:p>
      <w:pPr>
        <w:spacing w:after="0" w:line="4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3" w:lineRule="exact"/>
        <w:rPr>
          <w:sz w:val="20"/>
          <w:szCs w:val="20"/>
          <w:color w:val="auto"/>
        </w:rPr>
      </w:pPr>
    </w:p>
    <w:p>
      <w:pPr>
        <w:ind w:left="200" w:right="700"/>
        <w:spacing w:after="0" w:line="261"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maturity, amortization, prepayment requirements and interest rates under the debt facilities will be determined by agreement with the lenders, or, in the case of senior notes, under the terms of the governing indenture. We expect the debt facilities to contain customary representations and warranties that are made 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60"/>
          </w:cols>
          <w:pgMar w:left="24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all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formation transactions and this offering, we intend to amend and restate our certificate of incorporation so that our</w:t>
      </w:r>
    </w:p>
    <w:p>
      <w:pPr>
        <w:spacing w:after="0" w:line="35"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authorized capital stock will consist of shares of Class A common stock, par value $0.01 per share, one share of Class B common stock, par value $0.01 per share, and shares of preferred stock, par value $0.01 per share.</w:t>
      </w:r>
    </w:p>
    <w:p>
      <w:pPr>
        <w:spacing w:after="0" w:line="184" w:lineRule="exact"/>
        <w:rPr>
          <w:sz w:val="20"/>
          <w:szCs w:val="20"/>
          <w:color w:val="auto"/>
        </w:rPr>
      </w:pPr>
    </w:p>
    <w:p>
      <w:pPr>
        <w:ind w:left="640"/>
        <w:spacing w:after="0"/>
        <w:tabs>
          <w:tab w:leader="none" w:pos="5420" w:val="left"/>
        </w:tabs>
        <w:rPr>
          <w:sz w:val="20"/>
          <w:szCs w:val="20"/>
          <w:color w:val="auto"/>
        </w:rPr>
      </w:pPr>
      <w:r>
        <w:rPr>
          <w:rFonts w:ascii="Arial" w:cs="Arial" w:eastAsia="Arial" w:hAnsi="Arial"/>
          <w:sz w:val="18"/>
          <w:szCs w:val="18"/>
          <w:color w:val="auto"/>
        </w:rPr>
        <w:t>After consummation of this offering, we expect to have</w:t>
      </w:r>
      <w:r>
        <w:rPr>
          <w:sz w:val="20"/>
          <w:szCs w:val="20"/>
          <w:color w:val="auto"/>
        </w:rPr>
        <w:tab/>
      </w:r>
      <w:r>
        <w:rPr>
          <w:rFonts w:ascii="Arial" w:cs="Arial" w:eastAsia="Arial" w:hAnsi="Arial"/>
          <w:sz w:val="16"/>
          <w:szCs w:val="16"/>
          <w:color w:val="auto"/>
        </w:rPr>
        <w:t>shares of our Class A common stock outstanding (or</w:t>
      </w:r>
    </w:p>
    <w:p>
      <w:pPr>
        <w:spacing w:after="0" w:line="23" w:lineRule="exact"/>
        <w:rPr>
          <w:sz w:val="20"/>
          <w:szCs w:val="20"/>
          <w:color w:val="auto"/>
        </w:rPr>
      </w:pPr>
    </w:p>
    <w:p>
      <w:pPr>
        <w:ind w:left="200"/>
        <w:spacing w:after="0"/>
        <w:tabs>
          <w:tab w:leader="none" w:pos="204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shares if the underwriters exercise their over-allotment option in full), one share of our Class B common stock outstanding and</w:t>
      </w:r>
    </w:p>
    <w:p>
      <w:pPr>
        <w:spacing w:after="0" w:line="32" w:lineRule="exact"/>
        <w:rPr>
          <w:sz w:val="20"/>
          <w:szCs w:val="20"/>
          <w:color w:val="auto"/>
        </w:rPr>
      </w:pPr>
    </w:p>
    <w:p>
      <w:pPr>
        <w:ind w:left="200"/>
        <w:spacing w:after="0"/>
        <w:tabs>
          <w:tab w:leader="none" w:pos="10100" w:val="left"/>
        </w:tabs>
        <w:rPr>
          <w:sz w:val="20"/>
          <w:szCs w:val="20"/>
          <w:color w:val="auto"/>
        </w:rPr>
      </w:pPr>
      <w:r>
        <w:rPr>
          <w:rFonts w:ascii="Arial" w:cs="Arial" w:eastAsia="Arial" w:hAnsi="Arial"/>
          <w:sz w:val="17"/>
          <w:szCs w:val="17"/>
          <w:color w:val="auto"/>
        </w:rPr>
        <w:t>no shares of preferred stock outstanding. We intend to apply to list our Class A common stock on the 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including a spin-off merger transaction (as defined under “—Spin-Off Merger Transaction”)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7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of our stockholders, including the adoption of amendments to our amended and restated certificate of incorporation and our amended and restated bylaws, the approval of mergers including a spin-off merger transaction (as defined under “—Spin-Off Merger Transaction”)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7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The holders of our Class A common stock will be entitled to receive dividends when, as and if declared by our Board of Directors out of legally available funds. The holder of our Class B common stock will not have any right to receive dividends other than dividends consisting of shares of our Class B common stock paid proportionally with respect to each outstanding share of our Class B common stock.</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their par value, the holders of our Class B common stock will not have any right to receive a distribution upon a liquidation or dissolution of our Company.</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tax-free spin-off or split-off to its shareholders, including by means of a spin-off merger transaction (as defined under “—Spin-Off Merger Transaction”).</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All outstanding shares of our Class A common stock and our Class B common stock prior to this offering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640"/>
        <w:spacing w:after="0"/>
        <w:tabs>
          <w:tab w:leader="none" w:pos="7980" w:val="left"/>
        </w:tabs>
        <w:rPr>
          <w:sz w:val="20"/>
          <w:szCs w:val="20"/>
          <w:color w:val="auto"/>
        </w:rPr>
      </w:pPr>
      <w:r>
        <w:rPr>
          <w:rFonts w:ascii="Arial" w:cs="Arial" w:eastAsia="Arial" w:hAnsi="Arial"/>
          <w:sz w:val="18"/>
          <w:szCs w:val="18"/>
          <w:color w:val="auto"/>
        </w:rPr>
        <w:t>Following the formation transactions and this offering, we will be authorized to issue up to</w:t>
      </w:r>
      <w:r>
        <w:rPr>
          <w:sz w:val="20"/>
          <w:szCs w:val="20"/>
          <w:color w:val="auto"/>
        </w:rPr>
        <w:tab/>
      </w:r>
      <w:r>
        <w:rPr>
          <w:rFonts w:ascii="Arial" w:cs="Arial" w:eastAsia="Arial" w:hAnsi="Arial"/>
          <w:sz w:val="16"/>
          <w:szCs w:val="16"/>
          <w:color w:val="auto"/>
        </w:rPr>
        <w:t>shares of preferred stock. Our Board of</w:t>
      </w:r>
    </w:p>
    <w:p>
      <w:pPr>
        <w:spacing w:after="0" w:line="23" w:lineRule="exact"/>
        <w:rPr>
          <w:sz w:val="20"/>
          <w:szCs w:val="20"/>
          <w:color w:val="auto"/>
        </w:rPr>
      </w:pPr>
    </w:p>
    <w:p>
      <w:pPr>
        <w:ind w:left="200"/>
        <w:spacing w:after="0" w:line="277" w:lineRule="auto"/>
        <w:rPr>
          <w:sz w:val="20"/>
          <w:szCs w:val="20"/>
          <w:color w:val="auto"/>
        </w:rPr>
      </w:pPr>
      <w:r>
        <w:rPr>
          <w:rFonts w:ascii="Arial" w:cs="Arial" w:eastAsia="Arial" w:hAnsi="Arial"/>
          <w:sz w:val="17"/>
          <w:szCs w:val="17"/>
          <w:color w:val="auto"/>
        </w:rPr>
        <w:t>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Directors also will be authorized to designate any qualifications, limitations or restrictions on the shares without any further vote or action by our stockholders, subject to applicable rules of the NYSE and Delaware law.</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in a manner unfavorable to our Company and our other stockholders” and “—Our amended and restated certificate of incorporation could prevent us from benefiting from corporate opportunities that might otherwise have been available to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92"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w:t>
      </w:r>
    </w:p>
    <w:p>
      <w:pPr>
        <w:ind w:left="200"/>
        <w:spacing w:after="0" w:line="267" w:lineRule="auto"/>
        <w:rPr>
          <w:sz w:val="20"/>
          <w:szCs w:val="20"/>
          <w:color w:val="auto"/>
        </w:rPr>
      </w:pPr>
      <w:r>
        <w:rPr>
          <w:rFonts w:ascii="Arial" w:cs="Arial" w:eastAsia="Arial" w:hAnsi="Arial"/>
          <w:sz w:val="17"/>
          <w:szCs w:val="17"/>
          <w:color w:val="auto"/>
        </w:rPr>
        <w:t>120 days prior to the date of the first anniversary of the prior year’s annual meeting;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5"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u w:val="single" w:color="auto"/>
          <w:color w:val="auto"/>
        </w:rPr>
        <w:t>Directors, and Not Stockholders, Fix the Size of the Board of Directors</w:t>
      </w:r>
      <w:r>
        <w:rPr>
          <w:rFonts w:ascii="Arial" w:cs="Arial" w:eastAsia="Arial" w:hAnsi="Arial"/>
          <w:sz w:val="16"/>
          <w:szCs w:val="16"/>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In accordance with our amended and</w:t>
      </w:r>
    </w:p>
    <w:p>
      <w:pPr>
        <w:ind w:left="200"/>
        <w:spacing w:after="0"/>
        <w:tabs>
          <w:tab w:leader="none" w:pos="5900" w:val="left"/>
        </w:tabs>
        <w:rPr>
          <w:sz w:val="20"/>
          <w:szCs w:val="20"/>
          <w:color w:val="auto"/>
        </w:rPr>
      </w:pPr>
      <w:r>
        <w:rPr>
          <w:rFonts w:ascii="Arial" w:cs="Arial" w:eastAsia="Arial" w:hAnsi="Arial"/>
          <w:sz w:val="18"/>
          <w:szCs w:val="18"/>
          <w:color w:val="auto"/>
        </w:rPr>
        <w:t>restated bylaws, we expect that our Board of Directors will consist of</w:t>
      </w:r>
      <w:r>
        <w:rPr>
          <w:sz w:val="20"/>
          <w:szCs w:val="20"/>
          <w:color w:val="auto"/>
        </w:rPr>
        <w:tab/>
      </w:r>
      <w:r>
        <w:rPr>
          <w:rFonts w:ascii="Arial" w:cs="Arial" w:eastAsia="Arial" w:hAnsi="Arial"/>
          <w:sz w:val="15"/>
          <w:szCs w:val="15"/>
          <w:color w:val="auto"/>
        </w:rPr>
        <w:t>members.</w:t>
      </w:r>
    </w:p>
    <w:p>
      <w:pPr>
        <w:spacing w:after="0" w:line="21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 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93" w:lineRule="exact"/>
        <w:rPr>
          <w:sz w:val="20"/>
          <w:szCs w:val="20"/>
          <w:color w:val="auto"/>
        </w:rPr>
      </w:pPr>
    </w:p>
    <w:p>
      <w:pPr>
        <w:jc w:val="both"/>
        <w:ind w:left="200" w:right="80" w:firstLine="441"/>
        <w:spacing w:after="0" w:line="291" w:lineRule="auto"/>
        <w:rPr>
          <w:sz w:val="20"/>
          <w:szCs w:val="20"/>
          <w:color w:val="auto"/>
        </w:rPr>
      </w:pPr>
      <w:r>
        <w:rPr>
          <w:rFonts w:ascii="Arial" w:cs="Arial" w:eastAsia="Arial" w:hAnsi="Arial"/>
          <w:sz w:val="16"/>
          <w:szCs w:val="16"/>
          <w:u w:val="single" w:color="auto"/>
          <w:color w:val="auto"/>
        </w:rPr>
        <w:t>Classified Board of Directors</w:t>
      </w:r>
      <w:r>
        <w:rPr>
          <w:rFonts w:ascii="Arial" w:cs="Arial" w:eastAsia="Arial" w:hAnsi="Arial"/>
          <w:sz w:val="16"/>
          <w:szCs w:val="16"/>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w:t>
      </w:r>
    </w:p>
    <w:p>
      <w:pPr>
        <w:jc w:val="both"/>
        <w:ind w:left="200" w:right="80"/>
        <w:spacing w:after="0" w:line="265" w:lineRule="auto"/>
        <w:rPr>
          <w:sz w:val="20"/>
          <w:szCs w:val="20"/>
          <w:color w:val="auto"/>
        </w:rPr>
      </w:pPr>
      <w:r>
        <w:rPr>
          <w:rFonts w:ascii="Arial" w:cs="Arial" w:eastAsia="Arial" w:hAnsi="Arial"/>
          <w:sz w:val="17"/>
          <w:szCs w:val="17"/>
          <w:color w:val="auto"/>
        </w:rPr>
        <w:t>be as equal as reasonably possible. With respect to the members of the Board in office on , 2019, the first class of directors shall hold office until the first annual stockholders’ meeting for election of directors, the second class of directors shall hold office until the second annual stockholders’ meeting for election of directors, and the third class of directors will hold office until the third annual stockholders’ meeting for election of directors.</w:t>
      </w:r>
    </w:p>
    <w:p>
      <w:pPr>
        <w:spacing w:after="0" w:line="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90"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certificate of incorporation may be amended in accordance with and upon the vote prescribed by Delaware law, except that:</w:t>
      </w:r>
    </w:p>
    <w:p>
      <w:pPr>
        <w:spacing w:after="0" w:line="131" w:lineRule="exact"/>
        <w:rPr>
          <w:sz w:val="20"/>
          <w:szCs w:val="20"/>
          <w:color w:val="auto"/>
        </w:rPr>
      </w:pPr>
    </w:p>
    <w:p>
      <w:pPr>
        <w:jc w:val="both"/>
        <w:ind w:left="1180" w:right="80" w:hanging="544"/>
        <w:spacing w:after="0" w:line="312" w:lineRule="auto"/>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2" w:lineRule="exact"/>
        <w:rPr>
          <w:rFonts w:ascii="Arial" w:cs="Arial" w:eastAsia="Arial" w:hAnsi="Arial"/>
          <w:sz w:val="16"/>
          <w:szCs w:val="16"/>
          <w:color w:val="auto"/>
        </w:rPr>
      </w:pPr>
    </w:p>
    <w:p>
      <w:pPr>
        <w:ind w:left="1180" w:right="780" w:hanging="544"/>
        <w:spacing w:after="0" w:line="312" w:lineRule="auto"/>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Section 11 of our amended and restated certificate of incorporation (relating to indemnification) may be amended (or a provision inconsistent with Section 11 adopted) only upon the affirmative vote of not less than 85% of all of the voting power of all of the outstanding shares of our common stock then entitled to vote in the election of directors, voting together as a single class.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the Board of Directors may amend, alter, change or repeal any provision of our amended and restated bylaws, except that the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Spin-Off Merger Transaction</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separate approval or other action of an independent committee of our Board of Directors or vote of the holders of our Class A common stock voting separately as a class will be required as part of, or otherwise in order to consummate, a spin-off merger transaction.</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In addition, the amended and restated limited liability company agreement will provide that, if the Board of Directors of Post approves the merger of a corporation formed by Post (which we refer to as “Spinco”) with BellRing Brands, Inc. and the terms of the merger and any transactions related thereto satisfy (or upon consummation will satisfy) the conditions of a spin-off merger transaction, and Post, in its sole discretion, so elects, then:</w:t>
      </w:r>
    </w:p>
    <w:p>
      <w:pPr>
        <w:spacing w:after="0" w:line="52" w:lineRule="exact"/>
        <w:rPr>
          <w:sz w:val="20"/>
          <w:szCs w:val="20"/>
          <w:color w:val="auto"/>
        </w:rPr>
      </w:pPr>
    </w:p>
    <w:p>
      <w:pPr>
        <w:ind w:left="1180" w:right="220" w:hanging="544"/>
        <w:spacing w:after="0" w:line="264"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Post will provide BellRing Brands, Inc. with written notice of its approval of such merger and any related transactions which together constitute the spin-off merger transaction, as well as the definitive transaction documentation prepared by Post to implement the spin-off merger transaction;</w:t>
      </w:r>
    </w:p>
    <w:p>
      <w:pPr>
        <w:spacing w:after="0" w:line="86" w:lineRule="exact"/>
        <w:rPr>
          <w:rFonts w:ascii="Arial" w:cs="Arial" w:eastAsia="Arial" w:hAnsi="Arial"/>
          <w:sz w:val="18"/>
          <w:szCs w:val="18"/>
          <w:color w:val="auto"/>
        </w:rPr>
      </w:pPr>
    </w:p>
    <w:p>
      <w:pPr>
        <w:ind w:left="1180" w:right="60" w:hanging="544"/>
        <w:spacing w:after="0" w:line="255"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prior to entering into definitive transaction documentation to implement the spin-off merger transaction and, if applicable, the tax-free spin treatment as described below, the Board of Directors of BellRing Brands, Inc. will adopt resolutions approving such definitive transaction documentation and declaring its advisability and will thereafter, in consultation with Post as to the timing of content thereof, submit the executed definitive transaction documentation evidencing the spin-off merger transaction to the stockholders of BellRing Brands, Inc. for approval as required under Delaware law (and, for avoidance of doubt, the Board of Directors of BellRing Brands, Inc. will not condition any aspect of the spin-off</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60"/>
        <w:spacing w:after="0" w:line="342" w:lineRule="auto"/>
        <w:rPr>
          <w:sz w:val="20"/>
          <w:szCs w:val="20"/>
          <w:color w:val="auto"/>
        </w:rPr>
      </w:pPr>
      <w:r>
        <w:rPr>
          <w:rFonts w:ascii="Arial" w:cs="Arial" w:eastAsia="Arial" w:hAnsi="Arial"/>
          <w:sz w:val="16"/>
          <w:szCs w:val="16"/>
          <w:color w:val="auto"/>
        </w:rPr>
        <w:t>merger transaction or the consummation thereof upon the approval of (i) a separate independent committee of the Board of Directors of BellRing Brands, Inc. or (ii) the affirmative vote of the holders of the Class A common stock voting separately as a class);</w:t>
      </w:r>
    </w:p>
    <w:p>
      <w:pPr>
        <w:spacing w:after="0" w:line="29" w:lineRule="exact"/>
        <w:rPr>
          <w:sz w:val="20"/>
          <w:szCs w:val="20"/>
          <w:color w:val="auto"/>
        </w:rPr>
      </w:pPr>
    </w:p>
    <w:p>
      <w:pPr>
        <w:ind w:left="1180" w:right="40" w:hanging="544"/>
        <w:spacing w:after="0" w:line="255"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BellRing Brands, Inc. will enter into definitive transaction documentation to implement the spin-off merger transaction in the form provided by Post as long as such definitive transaction documentation is customary for such a transaction in light of precedent market transactions at such time, and, in the event Post notifies BellRing Brands, Inc. that Post intends for the spin-off merger transaction to have tax-free spin treatment (as defined in the amended and restated limited liability company agreement), BellRing Brands, Inc. also will enter into additional definitive transaction documentation customary for such a transaction in light of precedent market transactions at such time intended to preserve tax-free spin treatment, including customary representations, covenants and indemnities on the part of BellRing Brands, Inc. and the surviving corporation; and</w:t>
      </w:r>
    </w:p>
    <w:p>
      <w:pPr>
        <w:spacing w:after="0" w:line="94" w:lineRule="exact"/>
        <w:rPr>
          <w:rFonts w:ascii="Arial" w:cs="Arial" w:eastAsia="Arial" w:hAnsi="Arial"/>
          <w:sz w:val="18"/>
          <w:szCs w:val="18"/>
          <w:color w:val="auto"/>
        </w:rPr>
      </w:pPr>
    </w:p>
    <w:p>
      <w:pPr>
        <w:ind w:left="1180" w:right="260" w:hanging="544"/>
        <w:spacing w:after="0" w:line="25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approval of the Board of Directors of BellRing Brands, Inc. and the stockholders of BellRing Brands, Inc. of the definitive transaction documentation evidencing the spin-off merger transaction, each of BellRing Brands, Inc. and BellRing Brands, LLC will, in consultation with Post and as provided in the definitive transaction documentation evidencing the spin-off merger transaction, take all actions required of them or their subsidiaries in order to consummate the spin-off merger transaction and the other transactions contemplated thereby or incidental thereto.</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 “spin-off merger transaction” will be defined in our amended and restated certificate of incorporation and in the amended and restated limited liability company agreement as a merger of BellRing Brands, Inc. into Spinco that satisfies the following conditions:</w:t>
      </w:r>
    </w:p>
    <w:p>
      <w:pPr>
        <w:spacing w:after="0" w:line="76" w:lineRule="exact"/>
        <w:rPr>
          <w:sz w:val="20"/>
          <w:szCs w:val="20"/>
          <w:color w:val="auto"/>
        </w:rPr>
      </w:pPr>
    </w:p>
    <w:p>
      <w:pPr>
        <w:ind w:left="1180" w:right="760" w:hanging="544"/>
        <w:spacing w:after="0" w:line="342"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Spinco is a newly organized corporate wholly-owned direct or indirect subsidiary of Post formed to facilitate the spin-off merger transaction that engages in no substantive business or activities other than in contemplation of the spin-off merger transaction;</w:t>
      </w:r>
    </w:p>
    <w:p>
      <w:pPr>
        <w:spacing w:after="0" w:line="29" w:lineRule="exact"/>
        <w:rPr>
          <w:rFonts w:ascii="Arial" w:cs="Arial" w:eastAsia="Arial" w:hAnsi="Arial"/>
          <w:sz w:val="16"/>
          <w:szCs w:val="16"/>
          <w:color w:val="auto"/>
        </w:rPr>
      </w:pPr>
    </w:p>
    <w:p>
      <w:pPr>
        <w:ind w:left="1180" w:hanging="544"/>
        <w:spacing w:after="0" w:line="290"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Post contributes or transfers to Spinco (a) the share of Class B common stock and all of the BellRing Brands, LLC Units that it owns in exchange for a number of shares of common stock of Spinco (which we refer to as “Spinco common stock”) equal to the number of BellRing Brands, LLC Units contributed or transferred by Post, and Spinco replaces Post as a member of BellRing Brands, LLC, and (b) at the option of Post, cash in an amount not in excess of the aggregate amount of the consolidated indebtedness of BellRing Brands, Inc. and its subsidiaries (including BellRing Brands, LLC) determined as of the date of such contribution or transfer (which we refer to as the “cash contribution”) in exchange for long-term debt instruments of Spinco in an aggregate principal amount not in excess of the amount of the cash contribution and having interest rates and other material terms that are comparable to other precedent market transactions at such time (as determined by Post in consultation with a nationally recognized investment banking firm selected by Post);</w:t>
      </w:r>
    </w:p>
    <w:p>
      <w:pPr>
        <w:spacing w:after="0" w:line="71" w:lineRule="exact"/>
        <w:rPr>
          <w:rFonts w:ascii="Arial" w:cs="Arial" w:eastAsia="Arial" w:hAnsi="Arial"/>
          <w:sz w:val="16"/>
          <w:szCs w:val="16"/>
          <w:color w:val="auto"/>
        </w:rPr>
      </w:pPr>
    </w:p>
    <w:p>
      <w:pPr>
        <w:ind w:left="1180" w:right="400" w:hanging="544"/>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Post elects to make a cash contribution, Spinco loans the proceeds of the cash contribution to BellRing Brands, LLC and BellRing Brands, LLC uses such cash proceeds to repay a portion of its consolidated indebtedness;</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Post distributes all of the shares of Spinco common stock received from Spinco to the shareholders of Post pursuant to a spin-off or split-off transaction;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Spinco is the surviving corporation in the merger (which we refer to as the “surviving corporation”) and under the terms of the merger:</w:t>
      </w:r>
    </w:p>
    <w:p>
      <w:pPr>
        <w:spacing w:after="0" w:line="142" w:lineRule="exact"/>
        <w:rPr>
          <w:rFonts w:ascii="Arial" w:cs="Arial" w:eastAsia="Arial" w:hAnsi="Arial"/>
          <w:sz w:val="17"/>
          <w:szCs w:val="17"/>
          <w:color w:val="auto"/>
        </w:rPr>
      </w:pPr>
    </w:p>
    <w:p>
      <w:pPr>
        <w:ind w:left="1620" w:hanging="430"/>
        <w:spacing w:after="0" w:line="277"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shares of Spinco common stock distributed by Post pursuant to the spin-off or split-off transaction described above remain issued and outstanding immediately after the merger and are unaffected by the merger;</w:t>
      </w:r>
    </w:p>
    <w:p>
      <w:pPr>
        <w:spacing w:after="0" w:line="75" w:lineRule="exact"/>
        <w:rPr>
          <w:rFonts w:ascii="Arial" w:cs="Arial" w:eastAsia="Arial" w:hAnsi="Arial"/>
          <w:sz w:val="18"/>
          <w:szCs w:val="18"/>
          <w:color w:val="auto"/>
        </w:rPr>
      </w:pPr>
    </w:p>
    <w:p>
      <w:pPr>
        <w:ind w:left="1620" w:right="480" w:hanging="430"/>
        <w:spacing w:after="0" w:line="277"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only consideration received by the holders of Class A common stock in the merger is shares of Spinco common stock at an exchange ratio of one share of Spinco common stock for each share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280"/>
        <w:spacing w:after="0" w:line="277" w:lineRule="auto"/>
        <w:rPr>
          <w:sz w:val="20"/>
          <w:szCs w:val="20"/>
          <w:color w:val="auto"/>
        </w:rPr>
      </w:pPr>
      <w:r>
        <w:rPr>
          <w:rFonts w:ascii="Arial" w:cs="Arial" w:eastAsia="Arial" w:hAnsi="Arial"/>
          <w:sz w:val="18"/>
          <w:szCs w:val="18"/>
          <w:color w:val="auto"/>
        </w:rPr>
        <w:t>Class A common stock and, upon consummation of the merger, each share of Class A common stock is cancelled and retired and ceases to exist; and</w:t>
      </w:r>
    </w:p>
    <w:p>
      <w:pPr>
        <w:spacing w:after="0" w:line="76" w:lineRule="exact"/>
        <w:rPr>
          <w:sz w:val="20"/>
          <w:szCs w:val="20"/>
          <w:color w:val="auto"/>
        </w:rPr>
      </w:pPr>
    </w:p>
    <w:p>
      <w:pPr>
        <w:ind w:left="1620" w:right="160" w:hanging="430"/>
        <w:spacing w:after="0" w:line="277"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share of Class B common stock held by Spinco is cancelled and retired and ceases to exist, and no consideration is delivered in exchange therefor or in payment thereof; and</w:t>
      </w:r>
    </w:p>
    <w:p>
      <w:pPr>
        <w:spacing w:after="0" w:line="75" w:lineRule="exact"/>
        <w:rPr>
          <w:rFonts w:ascii="Arial" w:cs="Arial" w:eastAsia="Arial" w:hAnsi="Arial"/>
          <w:sz w:val="18"/>
          <w:szCs w:val="18"/>
          <w:color w:val="auto"/>
        </w:rPr>
      </w:pPr>
    </w:p>
    <w:p>
      <w:pPr>
        <w:ind w:left="1180" w:right="80" w:hanging="544"/>
        <w:spacing w:after="0" w:line="259"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consolidated net indebtedness of the surviving corporation and its subsidiaries (including BellRing Brands, LLC and its subsidiaries) outstanding immediately after consummation of the merger does not exceed, in any material amount, the consolidated net indebtedness of BellRing Brands, Inc. and its subsidiaries (including BellRing Brands, LLC and its subsidiaries) outstanding immediately prior to the merger.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1180" w:hanging="544"/>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8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Class A common stock is currently not listed on any securities exchange. We intend to apply to have our Class A common stock listed on the</w:t>
      </w:r>
    </w:p>
    <w:p>
      <w:pPr>
        <w:spacing w:after="0" w:line="46" w:lineRule="exact"/>
        <w:rPr>
          <w:sz w:val="20"/>
          <w:szCs w:val="20"/>
          <w:color w:val="auto"/>
        </w:rPr>
      </w:pPr>
    </w:p>
    <w:p>
      <w:pPr>
        <w:ind w:left="200"/>
        <w:spacing w:after="0"/>
        <w:tabs>
          <w:tab w:leader="none" w:pos="2800" w:val="left"/>
        </w:tabs>
        <w:rPr>
          <w:sz w:val="20"/>
          <w:szCs w:val="20"/>
          <w:color w:val="auto"/>
        </w:rPr>
      </w:pPr>
      <w:r>
        <w:rPr>
          <w:rFonts w:ascii="Arial" w:cs="Arial" w:eastAsia="Arial" w:hAnsi="Arial"/>
          <w:sz w:val="18"/>
          <w:szCs w:val="18"/>
          <w:color w:val="auto"/>
        </w:rPr>
        <w:t>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180"/>
          </w:cols>
          <w:pgMar w:left="240" w:top="459" w:right="479" w:bottom="1440" w:gutter="0" w:footer="0" w:header="0"/>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completion of this offering, the transfer agent and registrar for our Class A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3" w:lineRule="exact"/>
        <w:rPr>
          <w:sz w:val="20"/>
          <w:szCs w:val="20"/>
          <w:color w:val="auto"/>
        </w:rPr>
      </w:pPr>
    </w:p>
    <w:p>
      <w:pPr>
        <w:sectPr>
          <w:pgSz w:w="11900" w:h="16838" w:orient="portrait"/>
          <w:cols w:equalWidth="0" w:num="2">
            <w:col w:w="8140" w:space="720"/>
            <w:col w:w="232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180"/>
          </w:cols>
          <w:pgMar w:left="240" w:top="459" w:right="47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58" w:lineRule="exact"/>
        <w:rPr>
          <w:sz w:val="20"/>
          <w:szCs w:val="20"/>
          <w:color w:val="auto"/>
        </w:rPr>
      </w:pPr>
    </w:p>
    <w:p>
      <w:pPr>
        <w:ind w:left="200" w:right="460" w:firstLine="441"/>
        <w:spacing w:after="0" w:line="312" w:lineRule="auto"/>
        <w:rPr>
          <w:sz w:val="20"/>
          <w:szCs w:val="20"/>
          <w:color w:val="auto"/>
        </w:rPr>
      </w:pPr>
      <w:r>
        <w:rPr>
          <w:rFonts w:ascii="Arial" w:cs="Arial" w:eastAsia="Arial" w:hAnsi="Arial"/>
          <w:sz w:val="16"/>
          <w:szCs w:val="16"/>
          <w:color w:val="auto"/>
        </w:rPr>
        <w:t>All of the shares of Class A common stock (or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w:t>
      </w:r>
    </w:p>
    <w:p>
      <w:pPr>
        <w:spacing w:after="0" w:line="35" w:lineRule="exact"/>
        <w:rPr>
          <w:sz w:val="20"/>
          <w:szCs w:val="20"/>
          <w:color w:val="auto"/>
        </w:rPr>
      </w:pPr>
    </w:p>
    <w:p>
      <w:pPr>
        <w:ind w:left="200"/>
        <w:spacing w:after="0" w:line="251" w:lineRule="auto"/>
        <w:rPr>
          <w:sz w:val="20"/>
          <w:szCs w:val="20"/>
          <w:color w:val="auto"/>
        </w:rPr>
      </w:pPr>
      <w:r>
        <w:rPr>
          <w:rFonts w:ascii="Arial" w:cs="Arial" w:eastAsia="Arial" w:hAnsi="Arial"/>
          <w:sz w:val="18"/>
          <w:szCs w:val="18"/>
          <w:color w:val="auto"/>
        </w:rPr>
        <w:t>BellRing Brands, Inc. and Post, which will hold BellRing Brands, LLC Units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Shares of our Class A common stock issuable in exchange for BellRing Brands, LLC Units would be considered “restricted securities,” as that term is defined in Rule 144 at the time of this offering.</w:t>
      </w:r>
    </w:p>
    <w:p>
      <w:pPr>
        <w:spacing w:after="0" w:line="19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200" w:right="120"/>
        <w:spacing w:after="0" w:line="295" w:lineRule="auto"/>
        <w:rPr>
          <w:sz w:val="20"/>
          <w:szCs w:val="20"/>
          <w:color w:val="auto"/>
        </w:rPr>
      </w:pPr>
      <w:r>
        <w:rPr>
          <w:rFonts w:ascii="Arial" w:cs="Arial" w:eastAsia="Arial" w:hAnsi="Arial"/>
          <w:sz w:val="16"/>
          <w:szCs w:val="16"/>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summarized below under “—Lock-up Agreements” pursuant to the holding period, volume and other restrictions of Rule 144. The representative of the underwriters is entitled to waive these lock-up provisions at its discretion prior to the expiration dates of such lock-up agreements.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As a result of these contractual restrictions, shares of our Class A common stock and the other securities subject to lock-up agreements will not be eligible for sale until these agreements expire or the restrictions are waived by the underwriters.</w:t>
      </w:r>
    </w:p>
    <w:p>
      <w:pPr>
        <w:spacing w:after="0" w:line="15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the grant or exercise of stock based equity awards. The underwriters may, at any time, waive these restrictions.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1180" w:right="40" w:hanging="539"/>
        <w:spacing w:after="0" w:line="264"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Class A common stock then outstanding, which will equal approximately shares immediately after this offering (assuming the underwriters do not elect to exercise their over-allotment option to purchase additional shares of our Class A common stock); or</w:t>
      </w:r>
    </w:p>
    <w:p>
      <w:pPr>
        <w:spacing w:after="0" w:line="87" w:lineRule="exact"/>
        <w:rPr>
          <w:sz w:val="20"/>
          <w:szCs w:val="20"/>
          <w:color w:val="auto"/>
        </w:rPr>
      </w:pPr>
    </w:p>
    <w:p>
      <w:pPr>
        <w:ind w:left="1180" w:right="140" w:hanging="544"/>
        <w:spacing w:after="0" w:line="277"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We intend to file with the SEC a registration statement on Form S-8 covering the shares of our Class A common stock that will be reserved for issuance under the BellRing Brands, Inc. 2019 Long-Term Incentive Plan.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BellRing Brands, Inc. 2019 Long-Term Incentive Plan will be eligible for sale by the recipient in the public market, subject to the lock-up agreements and Rule 144 restrictions described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Prior to the consummation of this offering,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six months ended March 31, 2019 and 2018 and Note 10 of “Notes to Combined Financial Statements” for the three fiscal years ended September 30, 2018 included in this prospectus.</w:t>
      </w:r>
    </w:p>
    <w:p>
      <w:pPr>
        <w:spacing w:after="0" w:line="193"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also expect to enter into certain agreements with Post in connection with this offering and relating to our relationship with Post after this offering, which are described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enter into the following agreements with Post relating to this offering and our relationship with Post after this offering:</w:t>
      </w:r>
    </w:p>
    <w:p>
      <w:pPr>
        <w:spacing w:after="0" w:line="131" w:lineRule="exact"/>
        <w:rPr>
          <w:sz w:val="20"/>
          <w:szCs w:val="20"/>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material terms that we expect to be included in each of these agreements, which remain subject to change, are summarized below. The summary of each such agreement is qualified by reference in its entirety to the full text of the applicable agreement, each of which will be filed as an exhibit to the registration statement of which this prospectus is a part.</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expect to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among BellRing Brands, Inc., BellRing Brands, LLC and its subsidiaries, and Post and its subsidiaries (other than us), regarding the principal transactions required to effect the formation transactions and this offering, and will govern the relationship between Post and us after this offering. For a description of the formation transactions, see “Prospectus Summary—Formation Transactions.”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w:t>
      </w:r>
    </w:p>
    <w:p>
      <w:pPr>
        <w:spacing w:after="0" w:line="76" w:lineRule="exact"/>
        <w:rPr>
          <w:sz w:val="20"/>
          <w:szCs w:val="20"/>
          <w:color w:val="auto"/>
        </w:rPr>
      </w:pPr>
    </w:p>
    <w:p>
      <w:pPr>
        <w:ind w:left="1180" w:right="200" w:hanging="544"/>
        <w:spacing w:after="0" w:line="312" w:lineRule="auto"/>
        <w:tabs>
          <w:tab w:leader="none" w:pos="1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59"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2" w:lineRule="exact"/>
        <w:rPr>
          <w:rFonts w:ascii="Arial" w:cs="Arial" w:eastAsia="Arial" w:hAnsi="Arial"/>
          <w:sz w:val="18"/>
          <w:szCs w:val="18"/>
          <w:color w:val="auto"/>
        </w:rPr>
      </w:pPr>
    </w:p>
    <w:p>
      <w:pPr>
        <w:ind w:left="1180" w:right="180" w:hanging="544"/>
        <w:spacing w:after="0" w:line="279" w:lineRule="auto"/>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BellRing Brands, LLC Assets and the BellRing Brands, LLC Liabilities (such assets and liabilities, other than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separation from Post.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 xml:space="preserve">Financial Reporting Covenants; Auditors and Audits; Annual Financial Statements and Accounting. </w:t>
      </w:r>
      <w:r>
        <w:rPr>
          <w:rFonts w:ascii="Arial" w:cs="Arial" w:eastAsia="Arial" w:hAnsi="Arial"/>
          <w:sz w:val="17"/>
          <w:szCs w:val="17"/>
          <w:color w:val="auto"/>
        </w:rPr>
        <w:t>Under the master transaction agreement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BellRing Brands, Inc. and BellRing Brands, LLC will agree that, until such time as Post is no longer required to include, for any fiscal year presented in any Form 10-K of Post, the consolidated results of operations and financial position of BellRing Brands, Inc. or any of its subsidiaries or to account for its investment in BellRing Brands, Inc. or any of its subsidiaries under the equity method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1180" w:hanging="544"/>
        <w:spacing w:after="0" w:line="255"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8" w:lineRule="exact"/>
        <w:rPr>
          <w:rFonts w:ascii="Arial" w:cs="Arial" w:eastAsia="Arial" w:hAnsi="Arial"/>
          <w:sz w:val="18"/>
          <w:szCs w:val="18"/>
          <w:color w:val="auto"/>
        </w:rPr>
      </w:pPr>
    </w:p>
    <w:p>
      <w:pPr>
        <w:ind w:left="1180" w:hanging="544"/>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ind w:left="1180" w:right="60" w:hanging="544"/>
        <w:spacing w:after="0" w:line="259"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national securities exchange and other public filings, press releases and public and private offering documents;</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44"/>
        <w:spacing w:after="0" w:line="342"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29" w:lineRule="exact"/>
        <w:rPr>
          <w:rFonts w:ascii="Arial" w:cs="Arial" w:eastAsia="Arial" w:hAnsi="Arial"/>
          <w:sz w:val="16"/>
          <w:szCs w:val="16"/>
          <w:color w:val="auto"/>
        </w:rPr>
      </w:pPr>
    </w:p>
    <w:p>
      <w:pPr>
        <w:ind w:left="1180" w:right="120" w:hanging="544"/>
        <w:spacing w:after="0" w:line="302"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59" w:lineRule="exact"/>
        <w:rPr>
          <w:rFonts w:ascii="Arial" w:cs="Arial" w:eastAsia="Arial" w:hAnsi="Arial"/>
          <w:sz w:val="16"/>
          <w:szCs w:val="16"/>
          <w:color w:val="auto"/>
        </w:rPr>
      </w:pPr>
    </w:p>
    <w:p>
      <w:pPr>
        <w:ind w:left="1180" w:right="280" w:hanging="544"/>
        <w:spacing w:after="0" w:line="264"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6" w:lineRule="exact"/>
        <w:rPr>
          <w:rFonts w:ascii="Arial" w:cs="Arial" w:eastAsia="Arial" w:hAnsi="Arial"/>
          <w:sz w:val="18"/>
          <w:szCs w:val="18"/>
          <w:color w:val="auto"/>
        </w:rPr>
      </w:pPr>
    </w:p>
    <w:p>
      <w:pPr>
        <w:ind w:left="1180" w:right="100" w:hanging="544"/>
        <w:spacing w:after="0" w:line="259"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1180" w:right="20" w:hanging="544"/>
        <w:spacing w:after="0" w:line="257"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The master transaction agreement will provide for cross-indemnities principally designed to place financial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liabilities of our business with us and financial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87" w:lineRule="exact"/>
        <w:rPr>
          <w:sz w:val="20"/>
          <w:szCs w:val="20"/>
          <w:color w:val="auto"/>
        </w:rPr>
      </w:pPr>
    </w:p>
    <w:p>
      <w:pPr>
        <w:ind w:left="1180" w:right="20" w:hanging="544"/>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LLC Liabilities and, in the case of Post, would include the Post Liabilities) and the other ancillary agreements;</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failure of BellRing Brands, LLC or Post to pay, perform or otherwise promptly discharge any of the BellRing Brands, LLC Liabilities or the Post Liabilities, respectively, in accordance with their terms, whether prior to, at or after the separation;</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280" w:hanging="544"/>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ind w:left="200" w:right="20" w:firstLine="4"/>
        <w:spacing w:after="0" w:line="252" w:lineRule="auto"/>
        <w:tabs>
          <w:tab w:leader="none" w:pos="4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following this offering to the extent (A) such information pertains to us or our business or (B) Post has provided prior written notice to us that such information will be included in one or more annual, quarterly or current reports, specifying how such information will be presented, and the information is included in such annual, quarterly or current reports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92"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or (2) provided by Post to us specifically for inclusion in BellRing Brands, Inc.’s annual, quarterly or current reports following this offering to the extent (A) such information pertains to (x) Post or</w:t>
      </w:r>
    </w:p>
    <w:p>
      <w:pPr>
        <w:spacing w:after="0" w:line="5" w:lineRule="exact"/>
        <w:rPr>
          <w:sz w:val="20"/>
          <w:szCs w:val="20"/>
          <w:color w:val="auto"/>
        </w:rPr>
      </w:pPr>
    </w:p>
    <w:p>
      <w:pPr>
        <w:jc w:val="both"/>
        <w:ind w:left="200" w:right="180" w:firstLine="4"/>
        <w:spacing w:after="0" w:line="295" w:lineRule="auto"/>
        <w:tabs>
          <w:tab w:leader="none" w:pos="4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Post’s business (for the avoidance of doubt, other than our business) or (B) BellRing Brands, Inc. has provided written notice to Post that such information will be included in one or more of its annual, quarterly or current reports, specifying how such information will be presented, and the information is included in such annual, quarterly or current reports (except, in the case of this clause (B), for liabilities arising out of or resulting from, or in connection with, any action or inaction of us, including as a result of any misstatement or omission of any information by us to Post).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Employee Matters Agreement. </w:t>
      </w:r>
      <w:r>
        <w:rPr>
          <w:rFonts w:ascii="Arial" w:cs="Arial" w:eastAsia="Arial" w:hAnsi="Arial"/>
          <w:sz w:val="18"/>
          <w:szCs w:val="18"/>
          <w:color w:val="auto"/>
        </w:rPr>
        <w:t>As part of the formation transactions and this offering, we will enter into the employee matters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The employee matters agreement will cover a wide range of compensation and benefit matters related to this offering. In general, under the employee matters agreement:</w:t>
      </w:r>
    </w:p>
    <w:p>
      <w:pPr>
        <w:spacing w:after="0" w:line="87" w:lineRule="exact"/>
        <w:rPr>
          <w:sz w:val="20"/>
          <w:szCs w:val="20"/>
          <w:color w:val="auto"/>
        </w:rPr>
      </w:pPr>
    </w:p>
    <w:p>
      <w:pPr>
        <w:ind w:left="1180" w:right="80" w:hanging="544"/>
        <w:spacing w:after="0" w:line="312"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Post will assume or retain: (1) all liabilities with respect to Post employees, former Post employees and their dependents and beneficiaries under all Post employee benefit plans (other than our employees and our former employees) and (2) all liabilities with respect to the employment of all Post employees and former Post employees (other than our employees and our former employees); and</w:t>
      </w:r>
    </w:p>
    <w:p>
      <w:pPr>
        <w:spacing w:after="0" w:line="52" w:lineRule="exact"/>
        <w:rPr>
          <w:rFonts w:ascii="Arial" w:cs="Arial" w:eastAsia="Arial" w:hAnsi="Arial"/>
          <w:sz w:val="16"/>
          <w:szCs w:val="16"/>
          <w:color w:val="auto"/>
        </w:rPr>
      </w:pPr>
    </w:p>
    <w:p>
      <w:pPr>
        <w:ind w:left="1180" w:right="180" w:hanging="544"/>
        <w:spacing w:after="0" w:line="302"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will assume or retain: (1) all liabilities related to benefits for our employees and their dependents and beneficiaries, (2) all liabilities with respect to the employment or termination of employment of our employees and our former employees and (3) all liabilities with respect to the expense of equity compensation that vests or becomes payable for our employees and our former employees, which equity was issued under the 2012 LTIP, the 2016 LTIP or the Post Holdings, Inc. 2019 Long-Term Incentive Plan.</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After this offering, it is anticipated that our U.S. employees will continue participating in some health and welfare benefits under plans sponsored by Post, and that with respect to some portion of these benefits, we will establish our own plans in the months following completion of the offering. We anticipate that we will establish our own 401(k) plan effective either at the time of this offering or at the start of the next calendar year following this offering. Additionally, we anticipate that our management employees will no longer be eligible for deferrals under Post’s non-qualified deferred compensation plans beginning January 1, 2020.</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anticipate that the employee matters agreement also will provide that we will reimburse Post for the cost of Post equity awards, if any, that become payable or are exercised by our employees and former employees after this offering.</w:t>
      </w:r>
    </w:p>
    <w:p>
      <w:pPr>
        <w:spacing w:after="0" w:line="170" w:lineRule="exact"/>
        <w:rPr>
          <w:sz w:val="20"/>
          <w:szCs w:val="20"/>
          <w:color w:val="auto"/>
        </w:rPr>
      </w:pPr>
    </w:p>
    <w:p>
      <w:pPr>
        <w:jc w:val="both"/>
        <w:ind w:left="200" w:right="460" w:firstLine="441"/>
        <w:spacing w:after="0" w:line="312" w:lineRule="auto"/>
        <w:rPr>
          <w:sz w:val="20"/>
          <w:szCs w:val="20"/>
          <w:color w:val="auto"/>
        </w:rPr>
      </w:pPr>
      <w:r>
        <w:rPr>
          <w:rFonts w:ascii="Arial" w:cs="Arial" w:eastAsia="Arial" w:hAnsi="Arial"/>
          <w:sz w:val="16"/>
          <w:szCs w:val="16"/>
          <w:color w:val="auto"/>
        </w:rPr>
        <w:t>Under the employee matters agreement,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the applicable Post Long-Term Incentive Plan and any award agreements applicable thereunder.</w:t>
      </w:r>
    </w:p>
    <w:p>
      <w:pPr>
        <w:spacing w:after="0" w:line="3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As part of the formation transactions and this offering, we will enter into the investor rights agreement with Post.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rights agreement will provide Post with certain demand, shelf and piggyback registration rights with respect to its shares of BellRing Brands, Inc. Class A common stock and also will provide Post with certain governance rights, depending on the size of its holdings of BellRing Brands, Inc.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1180" w:right="500" w:hanging="544"/>
        <w:spacing w:after="0" w:line="342"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308" w:lineRule="auto"/>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jc w:val="both"/>
        <w:ind w:left="200" w:right="160" w:firstLine="441"/>
        <w:spacing w:after="0" w:line="297"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the completion of this offering, our Board of Directors will have members, divided into three classes. The investor rights agreement will provide that Post, subject to applicable corporate governance rules of the SEC and the NYSE (which may require Post to designate independent directors), will have the right to 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69"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00" w:right="120" w:firstLine="441"/>
        <w:spacing w:after="0" w:line="261"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we, Post and BellRing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i w:val="1"/>
          <w:iCs w:val="1"/>
          <w:color w:val="auto"/>
        </w:rPr>
        <w:t>Reorganization</w:t>
      </w:r>
      <w:r>
        <w:rPr>
          <w:rFonts w:ascii="Arial" w:cs="Arial" w:eastAsia="Arial" w:hAnsi="Arial"/>
          <w:sz w:val="16"/>
          <w:szCs w:val="16"/>
          <w:color w:val="auto"/>
        </w:rPr>
        <w:t>. As part of the formation transactions, BellRing Brands, LLC will establish two new classes of its common units,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w:t>
      </w:r>
    </w:p>
    <w:p>
      <w:pPr>
        <w:spacing w:after="0" w:line="2"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reclassified into BellRing Brands, LLC Units in connection with the formation transactions. In connection with the formation transactions and this offering, additional BellRing</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Brands, LLC Units will be issued to BellRing Brands, Inc. as described under “Prospectus Summary—Formation Transactions.” The Board of Managers may cause BellRing Brands, LLC to issue from time to time such additional units or other equity securities as it may determine.</w:t>
      </w:r>
    </w:p>
    <w:p>
      <w:pPr>
        <w:spacing w:after="0" w:line="14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 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Post or its affiliates (other than us) directly own more than 50% of the BellRing Brands, LLC Units as set forth in this prospectus).</w:t>
      </w:r>
    </w:p>
    <w:p>
      <w:pPr>
        <w:spacing w:after="0" w:line="18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all other BellRing Brands, LLC Units.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4"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as described below under “—Coordination of BellRing Brands, Inc. and BellRing Brands, LLC.” Net profits and net losses of BellRing Brands, LLC generally will be allocated to holders of BellRing Brands, LLC Units on a pro rata basis in accordance with their respective percentage ownership.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w:t>
      </w:r>
    </w:p>
    <w:p>
      <w:pPr>
        <w:spacing w:after="0" w:line="18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Coordination of BellRing Brands, Inc. and BellRing Brands, LLC</w:t>
      </w:r>
      <w:r>
        <w:rPr>
          <w:rFonts w:ascii="Arial" w:cs="Arial" w:eastAsia="Arial" w:hAnsi="Arial"/>
          <w:sz w:val="18"/>
          <w:szCs w:val="18"/>
          <w:color w:val="auto"/>
        </w:rPr>
        <w:t>. Under the amended and restated limited liability company agreement,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BellRing Brands, Inc. issues a share of Class A common stock or any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other equity security entitled to any economic rights (including, without limitation, in this offering or pursuant to equity compensation plans or outstanding options, rights, warrants or other awards thereunder), which such other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 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0" w:lineRule="exact"/>
        <w:rPr>
          <w:sz w:val="20"/>
          <w:szCs w:val="20"/>
          <w:color w:val="auto"/>
        </w:rPr>
      </w:pPr>
    </w:p>
    <w:p>
      <w:pPr>
        <w:ind w:left="1180" w:right="280" w:hanging="544"/>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in accordance with the investor rights agreement;</w:t>
      </w:r>
    </w:p>
    <w:p>
      <w:pPr>
        <w:spacing w:after="0" w:line="130" w:lineRule="exact"/>
        <w:rPr>
          <w:rFonts w:ascii="Arial" w:cs="Arial" w:eastAsia="Arial" w:hAnsi="Arial"/>
          <w:sz w:val="18"/>
          <w:szCs w:val="18"/>
          <w:color w:val="auto"/>
        </w:rPr>
      </w:pPr>
    </w:p>
    <w:p>
      <w:pPr>
        <w:ind w:left="1180" w:right="100" w:hanging="544"/>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transfers by Post in connection with any tax-free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jc w:val="both"/>
        <w:ind w:left="200" w:right="140" w:firstLine="441"/>
        <w:spacing w:after="0" w:line="288" w:lineRule="auto"/>
        <w:rPr>
          <w:sz w:val="20"/>
          <w:szCs w:val="20"/>
          <w:color w:val="auto"/>
        </w:rPr>
      </w:pPr>
      <w:r>
        <w:rPr>
          <w:rFonts w:ascii="Arial" w:cs="Arial" w:eastAsia="Arial" w:hAnsi="Arial"/>
          <w:sz w:val="16"/>
          <w:szCs w:val="16"/>
          <w:color w:val="auto"/>
        </w:rPr>
        <w:t>In connection with any transfer by Post or any of its affiliates (other than us) of any BellRing Brands, LLC Units to any person other than us or Post’s affiliates,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ind w:left="200" w:firstLine="4"/>
        <w:spacing w:after="0" w:line="295" w:lineRule="auto"/>
        <w:tabs>
          <w:tab w:leader="none" w:pos="4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tax-free distribution of its beneficial retained interest in BellRing Brands, LLC to its shareholders or (v) of shares of our Class A common stock.</w:t>
      </w:r>
    </w:p>
    <w:p>
      <w:pPr>
        <w:spacing w:after="0" w:line="1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180" w:right="120" w:hanging="544"/>
        <w:spacing w:after="0" w:line="26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6"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180" w:right="140" w:hanging="544"/>
        <w:spacing w:after="0" w:line="297"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i w:val="1"/>
          <w:iCs w:val="1"/>
          <w:color w:val="auto"/>
        </w:rPr>
        <w:t>Redemption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Each member (other than us) will have the right to cause BellRing Brands, LLC to redeem its BellRing Brands, LLC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7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Spin-Off Merger Transaction</w:t>
      </w:r>
      <w:r>
        <w:rPr>
          <w:rFonts w:ascii="Arial" w:cs="Arial" w:eastAsia="Arial" w:hAnsi="Arial"/>
          <w:sz w:val="16"/>
          <w:szCs w:val="16"/>
          <w:color w:val="auto"/>
        </w:rPr>
        <w:t>. The amended and restated limited liability company agreement will provide that BellRing Brands, Inc. and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will be required to take all actions to consummate a spin-off merger transaction in the event that the Board of Directors of Post approves a spin-off merger transaction and elects to proceed under those provisions. See “Description of Capital Stock – Spin-Off Merger Transaction.”</w:t>
      </w:r>
    </w:p>
    <w:p>
      <w:pPr>
        <w:spacing w:after="0" w:line="14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our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 claims, damages or liabilities incurred by reason of any act or omission performed or omitted by such covered person in good faith on behalf of BellRing Brands, LLC.</w:t>
      </w:r>
    </w:p>
    <w:p>
      <w:pPr>
        <w:spacing w:after="0" w:line="17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7" w:lineRule="exact"/>
        <w:rPr>
          <w:sz w:val="20"/>
          <w:szCs w:val="20"/>
          <w:color w:val="auto"/>
        </w:rPr>
      </w:pPr>
    </w:p>
    <w:p>
      <w:pPr>
        <w:jc w:val="both"/>
        <w:ind w:left="200" w:right="120" w:firstLine="441"/>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i w:val="1"/>
          <w:iCs w:val="1"/>
          <w:color w:val="auto"/>
        </w:rPr>
        <w:t>Amendments</w:t>
      </w:r>
      <w:r>
        <w:rPr>
          <w:rFonts w:ascii="Arial" w:cs="Arial" w:eastAsia="Arial" w:hAnsi="Arial"/>
          <w:sz w:val="17"/>
          <w:szCs w:val="17"/>
          <w:color w:val="auto"/>
        </w:rPr>
        <w:t>. The amended and restated limited liability company agreement may be amended at any time and from time to time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Managers, although no amendment to the amended and restated limited liability company agreement may adversely modify in any material respect the BellRing Brands, LLC Units or any other class of units (or the rights, preferences or privileges of the BellRing Brands, LLC Units or any other class of units) then held by any members of BellRing Brands, LLC in any materially disproportionate manner to those then held by any other members without the prior written consent of a majority in interest of such disproportionately affected member or members.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Post (or certain of its transferees or assignees) may redeem BellRing Brands, LLC Units for, at the option of BellRing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LLC (as determined by its Board of Managers), shares of our Class A common stock or cash pursuant to the amended and restated limited liability company agreement. See “—Amended and Restated Limited Liability Company Agreement.” These redemptions, as well as certain other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tax basis in BellRing Brands, LLC’s assets in excess of our pro rata share of such basis. The IRS may challenge all or part of these tax basis increases and tax benefits and no assurances can be made regarding the availability of these tax basis increases or other tax benefits.</w:t>
      </w:r>
    </w:p>
    <w:p>
      <w:pPr>
        <w:spacing w:after="0" w:line="16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w:t>
      </w: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180" w:right="100" w:hanging="544"/>
        <w:spacing w:after="0" w:line="264"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86"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right="20" w:hanging="544"/>
        <w:spacing w:after="0" w:line="293" w:lineRule="auto"/>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 and</w:t>
      </w:r>
    </w:p>
    <w:p>
      <w:pPr>
        <w:spacing w:after="0" w:line="70" w:lineRule="exact"/>
        <w:rPr>
          <w:rFonts w:ascii="Arial" w:cs="Arial" w:eastAsia="Arial" w:hAnsi="Arial"/>
          <w:sz w:val="16"/>
          <w:szCs w:val="16"/>
          <w:color w:val="auto"/>
        </w:rPr>
      </w:pPr>
    </w:p>
    <w:p>
      <w:pPr>
        <w:ind w:left="1180" w:hanging="544"/>
        <w:spacing w:after="0"/>
        <w:tabs>
          <w:tab w:leader="none" w:pos="118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For purposes of the tax receivable agreement, cash savings in income tax will be computed by comparing our actual income tax liability (using assumed state and local tax rates)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us pursuant to an early termination procedure and will be terminated upon the occurrence of certain mergers, asset sales, other forms of business combination or other changes of control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6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tax-free spin-off to its shareholders, including by means of a spin-off merger transaction as described under “Description of Capital Stock—Spin-Off Merger Transaction.”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1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300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5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Upon consummation of this offering, BellRing Brands, Inc. will be a holding company, will have no material assets other than its ownership of BellRing Brands, LLC Units, and will have no independent means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generating revenue or cash flow. As owner of the voting membership unit in BellRing Brands, LLC, we intend to cause BellRing Brands, LLC to make distributions in an amount sufficient to allow us to pay our tax obligations in respect of taxable income allocated to us from BellRing Brands, LLC and our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If BellRing Brands, LLC does not distribute sufficient funds for us to pay 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could result in the acceleration of payments due under the tax receivable agreement.</w:t>
      </w:r>
    </w:p>
    <w:p>
      <w:pPr>
        <w:spacing w:after="0" w:line="188"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w:t>
      </w:r>
    </w:p>
    <w:p>
      <w:pPr>
        <w:spacing w:after="0" w:line="19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Under the tax matters agreement, for so long as BellRing Brands, LLC or any of its subsidiaries are includable in any consolidated income tax return required to be filed by Post, Post will maintain separate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 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 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and to monitor any such portion of such audit at its own expense, and the audited party will not settle or fail to contest any issue reasonably expected to materially affect the other party’s rights or obligations under the agreement without the other party’s prior written consent.</w:t>
      </w:r>
    </w:p>
    <w:p>
      <w:pPr>
        <w:spacing w:after="0" w:line="16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we will enter into the master services agreement,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and Post currently expect that Post will provide some combination of the following services, among others, to us following completion of this offering:</w:t>
      </w:r>
    </w:p>
    <w:p>
      <w:pPr>
        <w:spacing w:after="0" w:line="87" w:lineRule="exact"/>
        <w:rPr>
          <w:sz w:val="20"/>
          <w:szCs w:val="20"/>
          <w:color w:val="auto"/>
        </w:rPr>
      </w:pPr>
    </w:p>
    <w:p>
      <w:pPr>
        <w:ind w:left="1180" w:right="64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leasing/subleasing of office and/or data center space;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Post’s continued ownership of a majority of the voting rights of our outstanding capital stock and any subsequent extension or truncation agreed to by us and Post. We may terminate the master services agreement with respect to one or more particular services being received upon such notice as will be provided for in the master services agreement.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7" w:lineRule="exact"/>
        <w:rPr>
          <w:sz w:val="20"/>
          <w:szCs w:val="20"/>
          <w:color w:val="auto"/>
        </w:rPr>
      </w:pPr>
    </w:p>
    <w:p>
      <w:pPr>
        <w:ind w:left="1180" w:right="260" w:hanging="544"/>
        <w:spacing w:after="0" w:line="277"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240" w:top="460"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44"/>
        <w:spacing w:after="0" w:line="291" w:lineRule="auto"/>
        <w:tabs>
          <w:tab w:leader="none" w:pos="1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ind w:left="1180" w:right="320" w:hanging="4"/>
        <w:spacing w:after="0" w:line="261" w:lineRule="auto"/>
        <w:tabs>
          <w:tab w:leader="none" w:pos="14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4"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ind w:left="200" w:right="220" w:firstLine="4"/>
        <w:spacing w:after="0" w:line="271" w:lineRule="auto"/>
        <w:tabs>
          <w:tab w:leader="none" w:pos="4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7" w:lineRule="exact"/>
        <w:rPr>
          <w:sz w:val="20"/>
          <w:szCs w:val="20"/>
          <w:color w:val="auto"/>
        </w:rPr>
      </w:pPr>
    </w:p>
    <w:p>
      <w:pPr>
        <w:ind w:left="1180" w:hanging="544"/>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9" w:lineRule="exact"/>
        <w:rPr>
          <w:sz w:val="20"/>
          <w:szCs w:val="20"/>
          <w:color w:val="auto"/>
        </w:rPr>
      </w:pPr>
    </w:p>
    <w:p>
      <w:pPr>
        <w:ind w:left="1180" w:hanging="544"/>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1180" w:hanging="544"/>
        <w:spacing w:after="0" w:line="342" w:lineRule="auto"/>
        <w:tabs>
          <w:tab w:leader="none" w:pos="11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Goldman Sachs &amp; Co. LLC, Citigroup Global Markets Inc. and J.P. Morgan Securities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372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740" w:type="dxa"/>
            <w:vAlign w:val="bottom"/>
          </w:tcPr>
          <w:p>
            <w:pPr>
              <w:jc w:val="center"/>
              <w:ind w:left="1908"/>
              <w:spacing w:after="0"/>
              <w:rPr>
                <w:sz w:val="20"/>
                <w:szCs w:val="20"/>
                <w:color w:val="auto"/>
              </w:rPr>
            </w:pPr>
            <w:r>
              <w:rPr>
                <w:rFonts w:ascii="Arial" w:cs="Arial" w:eastAsia="Arial" w:hAnsi="Arial"/>
                <w:sz w:val="14"/>
                <w:szCs w:val="14"/>
                <w:b w:val="1"/>
                <w:bCs w:val="1"/>
                <w:color w:val="auto"/>
                <w:w w:val="91"/>
              </w:rPr>
              <w:t>Number of Shares of Class A</w:t>
            </w: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3740" w:type="dxa"/>
            <w:vAlign w:val="bottom"/>
          </w:tcPr>
          <w:p>
            <w:pPr>
              <w:jc w:val="center"/>
              <w:ind w:left="1908"/>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spacing w:after="0" w:line="19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5"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200" w:right="140" w:firstLine="4"/>
        <w:spacing w:after="0" w:line="255"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Sales of Class A common stock made outside of the U.S. may be made by affiliates of the underwriters.</w:t>
      </w:r>
    </w:p>
    <w:p>
      <w:pPr>
        <w:spacing w:after="0" w:line="1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show the per share and total public offering price, underwriting discounts and commissions, and proceeds before expenses to</w:t>
      </w:r>
    </w:p>
    <w:p>
      <w:pPr>
        <w:spacing w:after="0" w:line="46"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us. Such amounts are shown assuming both no exercise and full exercise of the underwriters’ option to purchase up to an additional shares of Class A common stock.</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b w:val="1"/>
                <w:bCs w:val="1"/>
                <w:color w:val="auto"/>
                <w:w w:val="99"/>
              </w:rPr>
              <w:t>No Exercise</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7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76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20" w:type="dxa"/>
            <w:vAlign w:val="bottom"/>
          </w:tcPr>
          <w:p>
            <w:pPr>
              <w:jc w:val="right"/>
              <w:ind w:right="1870"/>
              <w:spacing w:after="0"/>
              <w:rPr>
                <w:sz w:val="20"/>
                <w:szCs w:val="20"/>
                <w:color w:val="auto"/>
              </w:rPr>
            </w:pPr>
            <w:r>
              <w:rPr>
                <w:rFonts w:ascii="Arial" w:cs="Arial" w:eastAsia="Arial" w:hAnsi="Arial"/>
                <w:sz w:val="18"/>
                <w:szCs w:val="18"/>
                <w:color w:val="auto"/>
              </w:rPr>
              <w:t>160</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100" w:val="left"/>
        </w:tabs>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w:t>
      </w:r>
      <w:r>
        <w:rPr>
          <w:sz w:val="20"/>
          <w:szCs w:val="20"/>
          <w:color w:val="auto"/>
        </w:rPr>
        <w:tab/>
      </w:r>
      <w:r>
        <w:rPr>
          <w:rFonts w:ascii="Arial" w:cs="Arial" w:eastAsia="Arial" w:hAnsi="Arial"/>
          <w:sz w:val="15"/>
          <w:szCs w:val="15"/>
          <w:color w:val="auto"/>
        </w:rPr>
        <w:t>. We have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agreed to reimburse the underwriters for expenses relating to clearance of this offering with the Financial Industry Regulatory Authority, or FINRA, up</w:t>
      </w:r>
    </w:p>
    <w:p>
      <w:pPr>
        <w:spacing w:after="0" w:line="38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4"/>
          <w:szCs w:val="14"/>
          <w:color w:val="auto"/>
        </w:rPr>
        <w:t>.</w:t>
      </w:r>
    </w:p>
    <w:p>
      <w:pPr>
        <w:sectPr>
          <w:pgSz w:w="11900" w:h="16838" w:orient="portrait"/>
          <w:cols w:equalWidth="0" w:num="1">
            <w:col w:w="11160"/>
          </w:cols>
          <w:pgMar w:left="240" w:top="460" w:right="499" w:bottom="1440" w:gutter="0" w:footer="0" w:header="0"/>
        </w:sectPr>
      </w:pP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common stock offered by them.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Class A</w:t>
      </w:r>
    </w:p>
    <w:p>
      <w:pPr>
        <w:spacing w:after="0" w:line="463" w:lineRule="exact"/>
        <w:rPr>
          <w:sz w:val="20"/>
          <w:szCs w:val="20"/>
          <w:color w:val="auto"/>
        </w:rPr>
      </w:pPr>
    </w:p>
    <w:p>
      <w:pPr>
        <w:sectPr>
          <w:pgSz w:w="11900" w:h="16838" w:orient="portrait"/>
          <w:cols w:equalWidth="0" w:num="2">
            <w:col w:w="7800" w:space="240"/>
            <w:col w:w="3120"/>
          </w:cols>
          <w:pgMar w:left="240" w:top="460" w:right="49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We intend to apply to have our Class A common stock approved for listing on the NYSE under the trading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000" w:space="720"/>
            <w:col w:w="1440"/>
          </w:cols>
          <w:pgMar w:left="240" w:top="460" w:right="499" w:bottom="1440" w:gutter="0" w:footer="0" w:header="0"/>
          <w:type w:val="continuous"/>
        </w:sectPr>
      </w:pPr>
    </w:p>
    <w:p>
      <w:pPr>
        <w:spacing w:after="0" w:line="25"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ind w:left="200" w:right="120" w:firstLine="4"/>
        <w:spacing w:after="0" w:line="261" w:lineRule="auto"/>
        <w:tabs>
          <w:tab w:leader="none" w:pos="4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89" w:lineRule="exact"/>
        <w:rPr>
          <w:rFonts w:ascii="Arial" w:cs="Arial" w:eastAsia="Arial" w:hAnsi="Arial"/>
          <w:sz w:val="18"/>
          <w:szCs w:val="18"/>
          <w:color w:val="auto"/>
        </w:rPr>
      </w:pPr>
    </w:p>
    <w:p>
      <w:pPr>
        <w:ind w:left="1180" w:right="20" w:hanging="544"/>
        <w:spacing w:after="0" w:line="264"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180" w:right="280" w:hanging="544"/>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restrictions in the immediately preceding paragraph do not apply to our directors, officers or other holders of our outstanding Class A common stock or other securities who are parties to the lock-up agreements in certain circumstances.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lock-up restrictions described above do not apply solely to us with respect to certain transactions.</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Morgan Stanley &amp; Co. LLC, Goldman Sachs &amp; Co. LLC, Citigroup Global Markets Inc. and J.P. Morgan Securities LLC, in their sole discretion, may release the common stock and other securities subject to the lock-up agreements described above in whole or in part at any time.</w:t>
      </w:r>
    </w:p>
    <w:p>
      <w:pPr>
        <w:spacing w:after="0" w:line="14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60"/>
          </w:cols>
          <w:pgMar w:left="240" w:top="460" w:right="49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underwriters also may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2" w:lineRule="exact"/>
        <w:rPr>
          <w:sz w:val="20"/>
          <w:szCs w:val="20"/>
          <w:color w:val="auto"/>
        </w:rPr>
      </w:pPr>
    </w:p>
    <w:p>
      <w:pPr>
        <w:ind w:left="1180" w:hanging="544"/>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the U.K., this prospectus is only addressed to and directed at qualified investors who are: (i) investment professionals falling within Article 19(5) of the Financial Services and Markets Act 2000 (Financial Promotion) Order 2005 (the “Order”); or (ii) high-net-worth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58"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Where the shares are subscribed or purchased under Section 275 of the SFA by a relevant person that is a trust (where the trustee is not 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60"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8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7" w:lineRule="exact"/>
        <w:rPr>
          <w:sz w:val="20"/>
          <w:szCs w:val="20"/>
          <w:color w:val="auto"/>
        </w:rPr>
      </w:pPr>
    </w:p>
    <w:p>
      <w:pPr>
        <w:ind w:left="640"/>
        <w:spacing w:after="0"/>
        <w:tabs>
          <w:tab w:leader="none" w:pos="4040" w:val="left"/>
        </w:tabs>
        <w:rPr>
          <w:sz w:val="20"/>
          <w:szCs w:val="20"/>
          <w:color w:val="auto"/>
        </w:rPr>
      </w:pPr>
      <w:r>
        <w:rPr>
          <w:rFonts w:ascii="Arial" w:cs="Arial" w:eastAsia="Arial" w:hAnsi="Arial"/>
          <w:sz w:val="18"/>
          <w:szCs w:val="18"/>
          <w:color w:val="auto"/>
        </w:rPr>
        <w:t>We also maintain an internet website at</w:t>
      </w:r>
      <w:r>
        <w:rPr>
          <w:sz w:val="20"/>
          <w:szCs w:val="20"/>
          <w:color w:val="auto"/>
        </w:rPr>
        <w:tab/>
      </w:r>
      <w:r>
        <w:rPr>
          <w:rFonts w:ascii="Arial" w:cs="Arial" w:eastAsia="Arial" w:hAnsi="Arial"/>
          <w:sz w:val="16"/>
          <w:szCs w:val="16"/>
          <w:color w:val="auto"/>
        </w:rPr>
        <w:t>. Information on or accessible through our website is not part of this prospectus.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77">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Balance Sheet as of August 7, 2019</w:t>
              </w:r>
            </w:hyperlink>
          </w:p>
        </w:tc>
        <w:tc>
          <w:tcPr>
            <w:tcW w:w="1660" w:type="dxa"/>
            <w:vAlign w:val="bottom"/>
            <w:tcBorders>
              <w:top w:val="single" w:sz="8" w:color="0000EE"/>
            </w:tcBorders>
            <w:gridSpan w:val="7"/>
          </w:tcPr>
          <w:p>
            <w:pPr>
              <w:spacing w:after="0"/>
              <w:rPr>
                <w:sz w:val="17"/>
                <w:szCs w:val="17"/>
                <w:color w:val="auto"/>
              </w:rPr>
            </w:pPr>
          </w:p>
        </w:tc>
        <w:tc>
          <w:tcPr>
            <w:tcW w:w="63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79">
              <w:r>
                <w:rPr>
                  <w:rFonts w:ascii="Arial" w:cs="Arial" w:eastAsia="Arial" w:hAnsi="Arial"/>
                  <w:sz w:val="18"/>
                  <w:szCs w:val="18"/>
                  <w:color w:val="0000EE"/>
                  <w:w w:val="87"/>
                </w:rPr>
                <w:t>Notes to Balance Sheet</w:t>
              </w:r>
            </w:hyperlink>
          </w:p>
        </w:tc>
        <w:tc>
          <w:tcPr>
            <w:tcW w:w="89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80">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Combined Statements of Cash Flows</w:t>
              </w:r>
            </w:hyperlink>
          </w:p>
        </w:tc>
        <w:tc>
          <w:tcPr>
            <w:tcW w:w="79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84">
              <w:r>
                <w:rPr>
                  <w:rFonts w:ascii="Arial" w:cs="Arial" w:eastAsia="Arial" w:hAnsi="Arial"/>
                  <w:sz w:val="18"/>
                  <w:szCs w:val="18"/>
                  <w:color w:val="0000EE"/>
                  <w:w w:val="90"/>
                </w:rPr>
                <w:t>Combined Statements of Parent Company Equity</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Notes to Combined Financial Statements</w:t>
              </w:r>
            </w:hyperlink>
          </w:p>
        </w:tc>
        <w:tc>
          <w:tcPr>
            <w:tcW w:w="76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Six Months Ended March 31,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00">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Condensed Combined Balance Sheets</w:t>
              </w:r>
            </w:hyperlink>
          </w:p>
        </w:tc>
        <w:tc>
          <w:tcPr>
            <w:tcW w:w="2780" w:type="dxa"/>
            <w:vAlign w:val="bottom"/>
            <w:tcBorders>
              <w:top w:val="single" w:sz="8" w:color="0000EE"/>
            </w:tcBorders>
            <w:gridSpan w:val="8"/>
          </w:tcPr>
          <w:p>
            <w:pPr>
              <w:spacing w:after="0"/>
              <w:rPr>
                <w:sz w:val="17"/>
                <w:szCs w:val="17"/>
                <w:color w:val="auto"/>
              </w:rPr>
            </w:pPr>
          </w:p>
        </w:tc>
        <w:tc>
          <w:tcPr>
            <w:tcW w:w="5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02">
              <w:r>
                <w:rPr>
                  <w:rFonts w:ascii="Arial" w:cs="Arial" w:eastAsia="Arial" w:hAnsi="Arial"/>
                  <w:sz w:val="18"/>
                  <w:szCs w:val="18"/>
                  <w:color w:val="0000EE"/>
                  <w:w w:val="88"/>
                </w:rPr>
                <w:t>Condensed Combined Statements of Cash Flows</w:t>
              </w:r>
            </w:hyperlink>
          </w:p>
        </w:tc>
        <w:tc>
          <w:tcPr>
            <w:tcW w:w="7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Notes to Condensed Combined Financial Statements</w:t>
              </w:r>
            </w:hyperlink>
          </w:p>
        </w:tc>
        <w:tc>
          <w:tcPr>
            <w:tcW w:w="61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August 7,</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60"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Comprehensive</w:t>
            </w:r>
          </w:p>
        </w:tc>
        <w:tc>
          <w:tcPr>
            <w:tcW w:w="3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Use of Estimates and Allocations</w:t>
      </w:r>
      <w:r>
        <w:rPr>
          <w:rFonts w:ascii="Arial" w:cs="Arial" w:eastAsia="Arial" w:hAnsi="Arial"/>
          <w:sz w:val="17"/>
          <w:szCs w:val="17"/>
          <w:color w:val="auto"/>
        </w:rPr>
        <w:t>—The combined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6"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Amort.</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$ 155.4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318.7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341.5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5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60" w:right="45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 to expense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expected restructuring charge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Cumulative incurred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80" w:hanging="176"/>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43" w:lineRule="exact"/>
        <w:rPr>
          <w:sz w:val="20"/>
          <w:szCs w:val="20"/>
          <w:color w:val="auto"/>
        </w:rPr>
      </w:pPr>
    </w:p>
    <w:p>
      <w:pPr>
        <w:ind w:left="180" w:hanging="176"/>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480"/>
          </w:cols>
          <w:pgMar w:left="240" w:top="460" w:right="459" w:bottom="1440" w:gutter="0" w:footer="0" w:header="0"/>
          <w:type w:val="continuous"/>
        </w:sectPr>
      </w:pP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60" w:hanging="436"/>
        <w:spacing w:after="0" w:line="264"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Assets</w:t>
            </w:r>
          </w:p>
        </w:tc>
        <w:tc>
          <w:tcPr>
            <w:tcW w:w="12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122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w w:val="98"/>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300" w:firstLine="441"/>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 expense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46"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$56.9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cash overdrafts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legal settlements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Income and other taxes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2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2"/>
              </w:rPr>
              <w:t>Term in Years</w:t>
            </w:r>
          </w:p>
        </w:tc>
        <w:tc>
          <w:tcPr>
            <w:tcW w:w="46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1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248,206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1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1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30.7%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Restricted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(52,673)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1"/>
              </w:rPr>
              <w:t>Cash Settled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3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30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00" w:type="dxa"/>
            <w:vAlign w:val="bottom"/>
            <w:gridSpan w:val="2"/>
          </w:tcPr>
          <w:p>
            <w:pPr>
              <w:jc w:val="right"/>
              <w:ind w:right="3659"/>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Six Months Ended</w:t>
      </w:r>
    </w:p>
    <w:p>
      <w:pPr>
        <w:jc w:val="center"/>
        <w:ind w:left="9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20" w:type="dxa"/>
            <w:vAlign w:val="bottom"/>
          </w:tcPr>
          <w:p>
            <w:pPr>
              <w:spacing w:after="0"/>
              <w:rPr>
                <w:sz w:val="14"/>
                <w:szCs w:val="14"/>
                <w:color w:val="auto"/>
              </w:rPr>
            </w:pPr>
          </w:p>
        </w:tc>
        <w:tc>
          <w:tcPr>
            <w:tcW w:w="78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Property,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20"/>
                <w:szCs w:val="20"/>
                <w:color w:val="auto"/>
              </w:rPr>
            </w:pPr>
          </w:p>
        </w:tc>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Total Parent Company Equity</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Parent Company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Six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3"/>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Earnings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Increase in inventories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prepaid expenses and other current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Decrease in other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 accounts payable and other current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Increase in non-current liabilities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As Of and For The</w:t>
      </w:r>
    </w:p>
    <w:p>
      <w:pPr>
        <w:jc w:val="center"/>
        <w:ind w:left="9480"/>
        <w:spacing w:after="0" w:line="226" w:lineRule="auto"/>
        <w:rPr>
          <w:sz w:val="20"/>
          <w:szCs w:val="20"/>
          <w:color w:val="auto"/>
        </w:rPr>
      </w:pPr>
      <w:r>
        <w:rPr>
          <w:rFonts w:ascii="Arial" w:cs="Arial" w:eastAsia="Arial" w:hAnsi="Arial"/>
          <w:sz w:val="14"/>
          <w:szCs w:val="14"/>
          <w:b w:val="1"/>
          <w:bCs w:val="1"/>
          <w:color w:val="auto"/>
        </w:rPr>
        <w:t>Six Months Ended</w:t>
      </w:r>
    </w:p>
    <w:p>
      <w:pPr>
        <w:jc w:val="center"/>
        <w:ind w:left="948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of period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$453.1</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504.6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88" w:lineRule="exact"/>
        <w:rPr>
          <w:sz w:val="20"/>
          <w:szCs w:val="20"/>
          <w:color w:val="auto"/>
        </w:rPr>
      </w:pPr>
    </w:p>
    <w:p>
      <w:pPr>
        <w:ind w:left="200" w:right="600" w:firstLine="441"/>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6"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2—RECENTLY ADOPTED ACCOUNTING STANDARDS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financial position,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$2.6 within the statement of operations and comprehensive income. For additional information, refer to Note 3.</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44"/>
        <w:spacing w:after="0" w:line="264" w:lineRule="auto"/>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40" w:hanging="544"/>
        <w:spacing w:after="0" w:line="264" w:lineRule="auto"/>
        <w:tabs>
          <w:tab w:leader="none" w:pos="11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$2.6 in the six months ended March 31,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ind w:left="360"/>
              <w:spacing w:after="0"/>
              <w:rPr>
                <w:sz w:val="20"/>
                <w:szCs w:val="20"/>
                <w:color w:val="auto"/>
              </w:rPr>
            </w:pPr>
            <w:r>
              <w:rPr>
                <w:rFonts w:ascii="Arial" w:cs="Arial" w:eastAsia="Arial" w:hAnsi="Arial"/>
                <w:sz w:val="13"/>
                <w:szCs w:val="13"/>
                <w:b w:val="1"/>
                <w:bCs w:val="1"/>
                <w:color w:val="auto"/>
                <w:w w:val="94"/>
              </w:rPr>
              <w:t>Six Months Ended March 31,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As Reported</w:t>
            </w:r>
          </w:p>
        </w:tc>
        <w:tc>
          <w:tcPr>
            <w:tcW w:w="1160" w:type="dxa"/>
            <w:vAlign w:val="bottom"/>
            <w:gridSpan w:val="3"/>
          </w:tcPr>
          <w:p>
            <w:pPr>
              <w:ind w:left="480"/>
              <w:spacing w:after="0" w:line="110" w:lineRule="exact"/>
              <w:rPr>
                <w:sz w:val="20"/>
                <w:szCs w:val="20"/>
                <w:color w:val="auto"/>
              </w:rPr>
            </w:pPr>
            <w:r>
              <w:rPr>
                <w:rFonts w:ascii="Arial" w:cs="Arial" w:eastAsia="Arial" w:hAnsi="Arial"/>
                <w:sz w:val="12"/>
                <w:szCs w:val="12"/>
                <w:b w:val="1"/>
                <w:bCs w:val="1"/>
                <w:color w:val="auto"/>
                <w:w w:val="92"/>
              </w:rPr>
              <w:t>As Reported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5"/>
              </w:rPr>
              <w:t>Under</w:t>
            </w:r>
          </w:p>
        </w:tc>
        <w:tc>
          <w:tcPr>
            <w:tcW w:w="4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 Prior</w:t>
            </w:r>
          </w:p>
        </w:tc>
        <w:tc>
          <w:tcPr>
            <w:tcW w:w="1120" w:type="dxa"/>
            <w:vAlign w:val="bottom"/>
            <w:gridSpan w:val="4"/>
          </w:tcPr>
          <w:p>
            <w:pPr>
              <w:ind w:left="480"/>
              <w:spacing w:after="0" w:line="135" w:lineRule="exact"/>
              <w:rPr>
                <w:sz w:val="20"/>
                <w:szCs w:val="20"/>
                <w:color w:val="auto"/>
              </w:rPr>
            </w:pPr>
            <w:r>
              <w:rPr>
                <w:rFonts w:ascii="Arial" w:cs="Arial" w:eastAsia="Arial" w:hAnsi="Arial"/>
                <w:sz w:val="13"/>
                <w:szCs w:val="13"/>
                <w:b w:val="1"/>
                <w:bCs w:val="1"/>
                <w:color w:val="auto"/>
              </w:rPr>
              <w:t>Impact of</w:t>
            </w: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3"/>
              </w:rPr>
              <w:t>Topic 606</w:t>
            </w:r>
          </w:p>
        </w:tc>
        <w:tc>
          <w:tcPr>
            <w:tcW w:w="4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Guidance</w:t>
            </w:r>
          </w:p>
        </w:tc>
        <w:tc>
          <w:tcPr>
            <w:tcW w:w="4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Adoption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following table presents net sales by product. The amounts for the six months ended March 31, 2019 are presented under ASC Topic 606, “Revenue from Contracts with Customers” and the amounts for the six months ended March 31, 2018 are presented under ASC Topic 605, “Revenue Recognition.”</w:t>
      </w:r>
    </w:p>
    <w:p>
      <w:pPr>
        <w:spacing w:after="0" w:line="200"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Six Months Ended</w:t>
      </w:r>
    </w:p>
    <w:p>
      <w:pPr>
        <w:jc w:val="center"/>
        <w:ind w:left="9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3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$302.3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Powders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Sales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effective income tax rate was 23.9% and 5.7% for the six months ended March 31,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1"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The effective income tax rate in the six months ended March 31,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fiscal 2019 tax year and was prorated with the pre-December 22, 2017 U.S. federal corporate income tax rate of 35% for the Company’s fiscal 2018 tax year. This proration resulted in a blended U.S. federal corporate income tax rate of 24.5% for fiscal 2018. During the six months ended March 31, 2018, the Company (i) remeasured its existing deferred tax assets and liabilities considering both the fiscal 2018 year blended rate and the 21% rate for periods beyond fiscal 2018 and recorded a tax benefit of $9.9 and</w:t>
      </w:r>
    </w:p>
    <w:p>
      <w:pPr>
        <w:spacing w:after="0" w:line="1" w:lineRule="exact"/>
        <w:rPr>
          <w:sz w:val="20"/>
          <w:szCs w:val="20"/>
          <w:color w:val="auto"/>
        </w:rPr>
      </w:pPr>
    </w:p>
    <w:p>
      <w:pPr>
        <w:ind w:left="200" w:right="880" w:firstLine="4"/>
        <w:spacing w:after="0" w:line="261" w:lineRule="auto"/>
        <w:tabs>
          <w:tab w:leader="none" w:pos="4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calculated the one-time transition tax and recorded tax expense of $0.5. Full expensing of certain depreciable assets resulted in temporary differences, which were analyzed throughout fiscal 2018 as assets were placed in service.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2"/>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320" w:type="dxa"/>
            <w:vAlign w:val="bottom"/>
            <w:gridSpan w:val="3"/>
          </w:tcPr>
          <w:p>
            <w:pPr>
              <w:jc w:val="right"/>
              <w:ind w:right="3366"/>
              <w:spacing w:after="0"/>
              <w:rPr>
                <w:sz w:val="20"/>
                <w:szCs w:val="20"/>
                <w:color w:val="auto"/>
              </w:rPr>
            </w:pPr>
            <w:r>
              <w:rPr>
                <w:rFonts w:ascii="Arial" w:cs="Arial" w:eastAsia="Arial" w:hAnsi="Arial"/>
                <w:sz w:val="18"/>
                <w:szCs w:val="18"/>
                <w:color w:val="auto"/>
              </w:rPr>
              <w:t>F-32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September 30, 2018</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8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52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52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Subject to amortization:</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940" w:type="dxa"/>
            <w:vAlign w:val="bottom"/>
            <w:gridSpan w:val="2"/>
          </w:tcPr>
          <w:p>
            <w:pPr>
              <w:ind w:left="18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$ 149.7</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209.4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$ 155.4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Trademarks/brands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307.6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425.9</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318.7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w:t>
      </w:r>
    </w:p>
    <w:p>
      <w:pPr>
        <w:spacing w:after="0" w:line="2" w:lineRule="exact"/>
        <w:rPr>
          <w:sz w:val="20"/>
          <w:szCs w:val="20"/>
          <w:color w:val="auto"/>
        </w:rPr>
      </w:pPr>
    </w:p>
    <w:p>
      <w:pPr>
        <w:ind w:left="200" w:right="60"/>
        <w:spacing w:after="0" w:line="268" w:lineRule="auto"/>
        <w:rPr>
          <w:sz w:val="20"/>
          <w:szCs w:val="20"/>
          <w:color w:val="auto"/>
        </w:rPr>
      </w:pPr>
      <w:r>
        <w:rPr>
          <w:rFonts w:ascii="Arial" w:cs="Arial" w:eastAsia="Arial" w:hAnsi="Arial"/>
          <w:sz w:val="17"/>
          <w:szCs w:val="17"/>
          <w:color w:val="auto"/>
        </w:rPr>
        <w:t>method. Allocated costs were $5.5 and $2.2 for the six months ended March 31, 2019 and 2018, and are included in “Selling, general and administrative expenses” in the Condensed Combined Statements of Operations and Comprehensive Income. Allocated costs include $2.9 of costs related to the separation of the Company from Post for the six months ended March 31, 2019. All allocated costs are included in “Change in net parent investment” within financing activities on the Condensed Combined Statements of Cash Flows. It is not practicable to determine the actual expenses that would have been incurred for these services had the Company operated as a separate entity. Actual costs that would have been incurred had the Company operated as a separate public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8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 xml:space="preserve">In March 2013, a complaint was filed on behalf of a putative, nationwide class of consumers against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At both March 31, 2019 and September 30, 2018, the Company had accrued $8.5 related to this matter that was included in “Other current liabilities” on the Condensed Combined Balance Sheets.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Goldman Sachs &amp; Co. LLC</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J.P. Morgan</w:t>
      </w:r>
    </w:p>
    <w:p>
      <w:pPr>
        <w:spacing w:after="0" w:line="200" w:lineRule="exact"/>
        <w:rPr>
          <w:sz w:val="20"/>
          <w:szCs w:val="20"/>
          <w:color w:val="auto"/>
        </w:rPr>
      </w:pPr>
    </w:p>
    <w:p>
      <w:pPr>
        <w:spacing w:after="0" w:line="356"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122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6720" w:type="dxa"/>
            <w:vAlign w:val="bottom"/>
            <w:gridSpan w:val="3"/>
          </w:tcPr>
          <w:p>
            <w:pPr>
              <w:spacing w:after="0"/>
              <w:rPr>
                <w:sz w:val="20"/>
                <w:szCs w:val="20"/>
                <w:color w:val="auto"/>
              </w:rPr>
            </w:pPr>
            <w:r>
              <w:rPr>
                <w:rFonts w:ascii="Arial" w:cs="Arial" w:eastAsia="Arial" w:hAnsi="Arial"/>
                <w:sz w:val="18"/>
                <w:szCs w:val="18"/>
                <w:color w:val="auto"/>
              </w:rPr>
              <w:t>*  To be furnished by amendment.</w:t>
            </w:r>
          </w:p>
        </w:tc>
        <w:tc>
          <w:tcPr>
            <w:tcW w:w="3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March 25, 2019, we issued 1,000 shares of common stock to Post Holdings, Inc. in exchange for $10.00 in the aggregate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the share of our Class B common stock to Post Holdings, Inc., also under an exemption from registration provided by Section 4(a)(2) of the Securities Act. No underwriters will be involved in these transactions.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640" w:hanging="436"/>
        <w:spacing w:after="0" w:line="271"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rFonts w:ascii="Arial" w:cs="Arial" w:eastAsia="Arial" w:hAnsi="Arial"/>
          <w:sz w:val="17"/>
          <w:szCs w:val="17"/>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180" w:right="60" w:hanging="430"/>
        <w:spacing w:after="0" w:line="291" w:lineRule="auto"/>
        <w:tabs>
          <w:tab w:leader="none" w:pos="11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80" w:right="620" w:hanging="4"/>
        <w:spacing w:after="0" w:line="261" w:lineRule="auto"/>
        <w:tabs>
          <w:tab w:leader="none" w:pos="1435" w:val="left"/>
        </w:tabs>
        <w:numPr>
          <w:ilvl w:val="2"/>
          <w:numId w:val="120"/>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 and</w:t>
      </w:r>
    </w:p>
    <w:p>
      <w:pPr>
        <w:spacing w:after="0" w:line="89" w:lineRule="exact"/>
        <w:rPr>
          <w:rFonts w:ascii="Arial" w:cs="Arial" w:eastAsia="Arial" w:hAnsi="Arial"/>
          <w:sz w:val="18"/>
          <w:szCs w:val="18"/>
          <w:color w:val="auto"/>
        </w:rPr>
      </w:pPr>
    </w:p>
    <w:p>
      <w:pPr>
        <w:jc w:val="both"/>
        <w:ind w:left="1180" w:right="100" w:hanging="430"/>
        <w:spacing w:after="0" w:line="264" w:lineRule="auto"/>
        <w:tabs>
          <w:tab w:leader="none" w:pos="11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5700" w:hanging="166"/>
        <w:spacing w:after="0"/>
        <w:tabs>
          <w:tab w:leader="none" w:pos="5700" w:val="left"/>
        </w:tabs>
        <w:numPr>
          <w:ilvl w:val="3"/>
          <w:numId w:val="120"/>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24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8"/>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Certificate of Incorporation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Bylaws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Class A Common Stock Certificate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Class B Common Stock Certificate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4120" w:type="dxa"/>
            <w:vAlign w:val="bottom"/>
          </w:tcPr>
          <w:p>
            <w:pPr>
              <w:ind w:left="520"/>
              <w:spacing w:after="0"/>
              <w:rPr>
                <w:sz w:val="20"/>
                <w:szCs w:val="20"/>
                <w:color w:val="auto"/>
              </w:rPr>
            </w:pPr>
            <w:r>
              <w:rPr>
                <w:rFonts w:ascii="Arial" w:cs="Arial" w:eastAsia="Arial" w:hAnsi="Arial"/>
                <w:sz w:val="18"/>
                <w:szCs w:val="18"/>
                <w:color w:val="auto"/>
              </w:rPr>
              <w:t>Opinion of Lewis Rice LLC</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10.1*</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Master Transaction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10.2*</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Employee Matters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10.3*</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Investor Rights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10.4*</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Limited Liability Company Agreement of BellRing Brands, LLC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10.5*</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Tax Matters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10.6*</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Tax Receivable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Master Services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10"/>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w:t>
            </w:r>
          </w:p>
        </w:tc>
        <w:tc>
          <w:tcPr>
            <w:tcW w:w="4120" w:type="dxa"/>
            <w:vAlign w:val="bottom"/>
          </w:tcPr>
          <w:p>
            <w:pPr>
              <w:ind w:left="520"/>
              <w:spacing w:after="0"/>
              <w:rPr>
                <w:sz w:val="20"/>
                <w:szCs w:val="20"/>
                <w:color w:val="auto"/>
              </w:rPr>
            </w:pPr>
            <w:r>
              <w:rPr>
                <w:rFonts w:ascii="Arial" w:cs="Arial" w:eastAsia="Arial" w:hAnsi="Arial"/>
                <w:sz w:val="18"/>
                <w:szCs w:val="18"/>
                <w:color w:val="auto"/>
              </w:rPr>
              <w:t>Bridge Facility Agreement dated as of</w:t>
            </w:r>
          </w:p>
        </w:tc>
        <w:tc>
          <w:tcPr>
            <w:tcW w:w="6240" w:type="dxa"/>
            <w:vAlign w:val="bottom"/>
            <w:gridSpan w:val="3"/>
          </w:tcPr>
          <w:p>
            <w:pPr>
              <w:ind w:left="100"/>
              <w:spacing w:after="0"/>
              <w:rPr>
                <w:sz w:val="20"/>
                <w:szCs w:val="20"/>
                <w:color w:val="auto"/>
              </w:rPr>
            </w:pPr>
            <w:r>
              <w:rPr>
                <w:rFonts w:ascii="Arial" w:cs="Arial" w:eastAsia="Arial" w:hAnsi="Arial"/>
                <w:sz w:val="18"/>
                <w:szCs w:val="18"/>
                <w:color w:val="auto"/>
              </w:rPr>
              <w:t>, 2019, among Post Holdings, Inc., Morgan Stanley Senior Funding, Inc., as</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Administrative Agent and other lenders from time to time party thereto</w:t>
            </w:r>
          </w:p>
        </w:tc>
      </w:tr>
      <w:tr>
        <w:trPr>
          <w:trHeight w:val="310"/>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10.9*</w:t>
            </w:r>
          </w:p>
        </w:tc>
        <w:tc>
          <w:tcPr>
            <w:tcW w:w="4120" w:type="dxa"/>
            <w:vAlign w:val="bottom"/>
          </w:tcPr>
          <w:p>
            <w:pPr>
              <w:ind w:left="520"/>
              <w:spacing w:after="0"/>
              <w:rPr>
                <w:sz w:val="20"/>
                <w:szCs w:val="20"/>
                <w:color w:val="auto"/>
              </w:rPr>
            </w:pPr>
            <w:r>
              <w:rPr>
                <w:rFonts w:ascii="Arial" w:cs="Arial" w:eastAsia="Arial" w:hAnsi="Arial"/>
                <w:sz w:val="18"/>
                <w:szCs w:val="18"/>
                <w:color w:val="auto"/>
                <w:w w:val="92"/>
              </w:rPr>
              <w:t>Guarantee and Collateral Agreement dated as of</w:t>
            </w: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w w:val="90"/>
              </w:rPr>
              <w:t>, 2019 among Post Holdings, Inc., certain of its subsidiaries and Morgan Stanley</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w w:val="99"/>
              </w:rPr>
              <w:t>Senior Funding, Inc., as Administrative Agent</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10"/>
        </w:trPr>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10.10†</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w w:val="91"/>
              </w:rPr>
              <w:t>Stremick Heritage Foods, LLC and Premier Nutrition Corporation Manufacturing Agreement dated as of July 1, 2017, as amended June</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rPr>
              <w:t>11, 2018, October 1, 2018 and July 3, 2019</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21.1*</w:t>
            </w:r>
          </w:p>
        </w:tc>
        <w:tc>
          <w:tcPr>
            <w:tcW w:w="4120" w:type="dxa"/>
            <w:vAlign w:val="bottom"/>
          </w:tcPr>
          <w:p>
            <w:pPr>
              <w:ind w:left="520"/>
              <w:spacing w:after="0"/>
              <w:rPr>
                <w:sz w:val="20"/>
                <w:szCs w:val="20"/>
                <w:color w:val="auto"/>
              </w:rPr>
            </w:pPr>
            <w:r>
              <w:rPr>
                <w:rFonts w:ascii="Arial" w:cs="Arial" w:eastAsia="Arial" w:hAnsi="Arial"/>
                <w:sz w:val="18"/>
                <w:szCs w:val="18"/>
                <w:color w:val="auto"/>
              </w:rPr>
              <w:t>Subsidiaries of BellRing Brands, Inc.</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23.1*</w:t>
            </w:r>
          </w:p>
        </w:tc>
        <w:tc>
          <w:tcPr>
            <w:tcW w:w="4120" w:type="dxa"/>
            <w:vAlign w:val="bottom"/>
          </w:tcPr>
          <w:p>
            <w:pPr>
              <w:ind w:left="520"/>
              <w:spacing w:after="0"/>
              <w:rPr>
                <w:sz w:val="20"/>
                <w:szCs w:val="20"/>
                <w:color w:val="auto"/>
              </w:rPr>
            </w:pPr>
            <w:r>
              <w:rPr>
                <w:rFonts w:ascii="Arial" w:cs="Arial" w:eastAsia="Arial" w:hAnsi="Arial"/>
                <w:sz w:val="18"/>
                <w:szCs w:val="18"/>
                <w:color w:val="auto"/>
              </w:rPr>
              <w:t>Consent of PricewaterhouseCoopers LLP</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Consent of Lewis Rice LLC (contained in Exhibit 5.1)</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24.1*</w:t>
            </w:r>
          </w:p>
        </w:tc>
        <w:tc>
          <w:tcPr>
            <w:tcW w:w="4120" w:type="dxa"/>
            <w:vAlign w:val="bottom"/>
          </w:tcPr>
          <w:p>
            <w:pPr>
              <w:ind w:left="520"/>
              <w:spacing w:after="0"/>
              <w:rPr>
                <w:sz w:val="20"/>
                <w:szCs w:val="20"/>
                <w:color w:val="auto"/>
              </w:rPr>
            </w:pPr>
            <w:r>
              <w:rPr>
                <w:rFonts w:ascii="Arial" w:cs="Arial" w:eastAsia="Arial" w:hAnsi="Arial"/>
                <w:sz w:val="18"/>
                <w:szCs w:val="18"/>
                <w:color w:val="auto"/>
                <w:w w:val="92"/>
              </w:rPr>
              <w:t>Powers of Attorney (included on signature page)</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99.1*</w:t>
            </w:r>
          </w:p>
        </w:tc>
        <w:tc>
          <w:tcPr>
            <w:tcW w:w="4120" w:type="dxa"/>
            <w:vAlign w:val="bottom"/>
          </w:tcPr>
          <w:p>
            <w:pPr>
              <w:ind w:left="520"/>
              <w:spacing w:after="0"/>
              <w:rPr>
                <w:sz w:val="20"/>
                <w:szCs w:val="20"/>
                <w:color w:val="auto"/>
              </w:rPr>
            </w:pPr>
            <w:r>
              <w:rPr>
                <w:rFonts w:ascii="Arial" w:cs="Arial" w:eastAsia="Arial" w:hAnsi="Arial"/>
                <w:sz w:val="18"/>
                <w:szCs w:val="18"/>
                <w:color w:val="auto"/>
              </w:rPr>
              <w:t>Consents of Director Nominees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420" w:hanging="216"/>
        <w:spacing w:after="0"/>
        <w:tabs>
          <w:tab w:leader="none" w:pos="4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16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 - 3</w:t>
      </w:r>
    </w:p>
    <w:p>
      <w:pPr>
        <w:sectPr>
          <w:pgSz w:w="11900" w:h="16838" w:orient="portrait"/>
          <w:cols w:equalWidth="0" w:num="1">
            <w:col w:w="11160"/>
          </w:cols>
          <w:pgMar w:left="240" w:top="460"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w:t>
            </w:r>
          </w:p>
        </w:tc>
        <w:tc>
          <w:tcPr>
            <w:tcW w:w="1580" w:type="dxa"/>
            <w:vAlign w:val="bottom"/>
          </w:tcPr>
          <w:p>
            <w:pPr>
              <w:ind w:left="560"/>
              <w:spacing w:after="0"/>
              <w:rPr>
                <w:sz w:val="20"/>
                <w:szCs w:val="20"/>
                <w:color w:val="auto"/>
              </w:rPr>
            </w:pPr>
            <w:r>
              <w:rPr>
                <w:rFonts w:ascii="Arial" w:cs="Arial" w:eastAsia="Arial" w:hAnsi="Arial"/>
                <w:sz w:val="18"/>
                <w:szCs w:val="18"/>
                <w:color w:val="auto"/>
              </w:rPr>
              <w:t>, State of</w:t>
            </w:r>
          </w:p>
        </w:tc>
        <w:tc>
          <w:tcPr>
            <w:tcW w:w="700" w:type="dxa"/>
            <w:vAlign w:val="bottom"/>
          </w:tcPr>
          <w:p>
            <w:pPr>
              <w:ind w:left="380"/>
              <w:spacing w:after="0"/>
              <w:rPr>
                <w:sz w:val="20"/>
                <w:szCs w:val="20"/>
                <w:color w:val="auto"/>
              </w:rPr>
            </w:pPr>
            <w:r>
              <w:rPr>
                <w:rFonts w:ascii="Arial" w:cs="Arial" w:eastAsia="Arial" w:hAnsi="Arial"/>
                <w:sz w:val="18"/>
                <w:szCs w:val="18"/>
                <w:color w:val="auto"/>
                <w:w w:val="99"/>
              </w:rPr>
              <w:t>, on</w:t>
            </w: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 2019.</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4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BellRing Brands, Inc.</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430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color w:val="auto"/>
              </w:rPr>
              <w:t>POWER OF ATTORNEY</w:t>
            </w:r>
          </w:p>
        </w:tc>
        <w:tc>
          <w:tcPr>
            <w:tcW w:w="4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432"/>
        </w:trPr>
        <w:tc>
          <w:tcPr>
            <w:tcW w:w="8980" w:type="dxa"/>
            <w:vAlign w:val="bottom"/>
            <w:gridSpan w:val="5"/>
          </w:tcPr>
          <w:p>
            <w:pPr>
              <w:jc w:val="right"/>
              <w:ind w:right="400"/>
              <w:spacing w:after="0"/>
              <w:rPr>
                <w:sz w:val="20"/>
                <w:szCs w:val="20"/>
                <w:color w:val="auto"/>
              </w:rPr>
            </w:pPr>
            <w:r>
              <w:rPr>
                <w:rFonts w:ascii="Arial" w:cs="Arial" w:eastAsia="Arial" w:hAnsi="Arial"/>
                <w:sz w:val="18"/>
                <w:szCs w:val="18"/>
                <w:color w:val="auto"/>
                <w:w w:val="95"/>
              </w:rPr>
              <w:t>Each of the undersigned officers and directors of BellRing Brands, Inc. hereby severally constitutes and appoints</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020" w:type="dxa"/>
            <w:vAlign w:val="bottom"/>
          </w:tcPr>
          <w:p>
            <w:pPr>
              <w:ind w:left="380"/>
              <w:spacing w:after="0"/>
              <w:rPr>
                <w:sz w:val="20"/>
                <w:szCs w:val="20"/>
                <w:color w:val="auto"/>
              </w:rPr>
            </w:pPr>
            <w:r>
              <w:rPr>
                <w:rFonts w:ascii="Arial" w:cs="Arial" w:eastAsia="Arial" w:hAnsi="Arial"/>
                <w:sz w:val="18"/>
                <w:szCs w:val="18"/>
                <w:color w:val="auto"/>
              </w:rPr>
              <w:t>, and</w:t>
            </w:r>
          </w:p>
        </w:tc>
      </w:tr>
    </w:tbl>
    <w:p>
      <w:pPr>
        <w:ind w:left="200" w:right="40"/>
        <w:spacing w:after="0" w:line="269" w:lineRule="auto"/>
        <w:rPr>
          <w:sz w:val="20"/>
          <w:szCs w:val="20"/>
          <w:color w:val="auto"/>
        </w:rPr>
      </w:pPr>
      <w:r>
        <w:rPr>
          <w:rFonts w:ascii="Arial" w:cs="Arial" w:eastAsia="Arial" w:hAnsi="Arial"/>
          <w:sz w:val="17"/>
          <w:szCs w:val="17"/>
          <w:color w:val="auto"/>
        </w:rPr>
        <w:t>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Date</w:t>
            </w:r>
          </w:p>
        </w:tc>
      </w:tr>
      <w:tr>
        <w:trPr>
          <w:trHeight w:val="20"/>
        </w:trPr>
        <w:tc>
          <w:tcPr>
            <w:tcW w:w="2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372"/>
        </w:trPr>
        <w:tc>
          <w:tcPr>
            <w:tcW w:w="2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40" w:type="dxa"/>
            <w:vAlign w:val="bottom"/>
            <w:gridSpan w:val="3"/>
          </w:tcPr>
          <w:p>
            <w:pPr>
              <w:ind w:left="360"/>
              <w:spacing w:after="0"/>
              <w:rPr>
                <w:sz w:val="20"/>
                <w:szCs w:val="20"/>
                <w:color w:val="auto"/>
              </w:rPr>
            </w:pPr>
            <w:r>
              <w:rPr>
                <w:rFonts w:ascii="Arial" w:cs="Arial" w:eastAsia="Arial" w:hAnsi="Arial"/>
                <w:sz w:val="18"/>
                <w:szCs w:val="18"/>
                <w:color w:val="auto"/>
              </w:rPr>
              <w:t>II - 4</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4" w:name="page215"/>
    <w:bookmarkEnd w:id="214"/>
    <w:p>
      <w:pPr>
        <w:ind w:left="10000"/>
        <w:spacing w:after="0"/>
        <w:rPr>
          <w:sz w:val="20"/>
          <w:szCs w:val="20"/>
          <w:color w:val="auto"/>
        </w:rPr>
      </w:pPr>
      <w:r>
        <w:rPr>
          <w:rFonts w:ascii="Arial" w:cs="Arial" w:eastAsia="Arial" w:hAnsi="Arial"/>
          <w:sz w:val="16"/>
          <w:szCs w:val="16"/>
          <w:b w:val="1"/>
          <w:bCs w:val="1"/>
          <w:color w:val="auto"/>
        </w:rPr>
        <w:t>Exhibit 10.10</w:t>
      </w:r>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CERTAIN IDENTIFIED INFORMATION CONTAINED IN THIS DOCUMENT, MARKED BY [***], HAS BEEN OMITTED BECAUSE IT IS BOTH (1) NOT MATERIAL AND (2) WOULD LIKELY CAUSE COMPETITIVE HARM TO THE COMPANY IF PUBLICLY DISCLOSED.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STREMICK HERITAGE FOODS,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PREMIER NUTRITION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AGREEMENT</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MANUFACTURING AGREEMENT (the “Agreement”) is made this first day of July, 2017 (the “Effective Date”) between Stremicks Heritage Foods, LLC (“Heritage”), a Delaware limited liability company with an address of 4002 Westminster Avenue, Santa Ana, CA 92703 and PREMIER NUTRITION CORPORATION (“Premier”), a Delaware corporation with a principal place of business at 5905 Christie Avenue, Emeryville, California 94608 (each a “Party”, collectively, the “Parties”).</w:t>
      </w:r>
    </w:p>
    <w:p>
      <w:pPr>
        <w:spacing w:after="0" w:line="187"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WHEREAS, Heritage is engaged in the business of producing food products on a contract basis and desires to produce Products (as defined below) for Premier at its facilities in [***] as well as at its majority-owned subsidiary, Jasper Products, L.L.C. (“Jasper”) in [***];</w:t>
      </w:r>
    </w:p>
    <w:p>
      <w:pPr>
        <w:spacing w:after="0" w:line="147"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WHEREAS, Premier is the owner of certain proprietary formulations, manufacturing processes and techniques and wishes to have Product manufactured and packaged by Heritage in accordance with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contained herein and intending to be legally bound, the Parties agree as follows:</w:t>
      </w:r>
    </w:p>
    <w:p>
      <w:pPr>
        <w:spacing w:after="0" w:line="393" w:lineRule="exact"/>
        <w:rPr>
          <w:sz w:val="20"/>
          <w:szCs w:val="20"/>
          <w:color w:val="auto"/>
        </w:rPr>
      </w:pPr>
    </w:p>
    <w:p>
      <w:pPr>
        <w:ind w:left="980" w:hanging="544"/>
        <w:spacing w:after="0"/>
        <w:tabs>
          <w:tab w:leader="none" w:pos="9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BASIC TERMS</w:t>
      </w:r>
    </w:p>
    <w:p>
      <w:pPr>
        <w:spacing w:after="0" w:line="121" w:lineRule="exact"/>
        <w:rPr>
          <w:rFonts w:ascii="Arial" w:cs="Arial" w:eastAsia="Arial" w:hAnsi="Arial"/>
          <w:sz w:val="18"/>
          <w:szCs w:val="18"/>
          <w:b w:val="1"/>
          <w:bCs w:val="1"/>
          <w:color w:val="auto"/>
        </w:rPr>
      </w:pPr>
    </w:p>
    <w:p>
      <w:pPr>
        <w:ind w:right="100" w:firstLine="996"/>
        <w:spacing w:after="0" w:line="277" w:lineRule="auto"/>
        <w:tabs>
          <w:tab w:leader="none" w:pos="136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This Section contains the basic terms of this Agreement between Heritage and Premier. All other provisions of this Agreement are to be read in accordance with the provisions herein contained.</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760" w:type="dxa"/>
            <w:vAlign w:val="bottom"/>
          </w:tcPr>
          <w:p>
            <w:pPr>
              <w:ind w:left="100"/>
              <w:spacing w:after="0"/>
              <w:rPr>
                <w:sz w:val="20"/>
                <w:szCs w:val="20"/>
                <w:color w:val="auto"/>
              </w:rPr>
            </w:pPr>
            <w:r>
              <w:rPr>
                <w:rFonts w:ascii="Arial" w:cs="Arial" w:eastAsia="Arial" w:hAnsi="Arial"/>
                <w:sz w:val="18"/>
                <w:szCs w:val="18"/>
                <w:color w:val="auto"/>
              </w:rPr>
              <w:t>Commencement Date</w:t>
            </w:r>
          </w:p>
        </w:tc>
        <w:tc>
          <w:tcPr>
            <w:tcW w:w="1940" w:type="dxa"/>
            <w:vAlign w:val="bottom"/>
          </w:tcPr>
          <w:p>
            <w:pPr>
              <w:ind w:left="320"/>
              <w:spacing w:after="0"/>
              <w:rPr>
                <w:sz w:val="20"/>
                <w:szCs w:val="20"/>
                <w:color w:val="auto"/>
              </w:rPr>
            </w:pPr>
            <w:r>
              <w:rPr>
                <w:rFonts w:ascii="Arial" w:cs="Arial" w:eastAsia="Arial" w:hAnsi="Arial"/>
                <w:sz w:val="18"/>
                <w:szCs w:val="18"/>
                <w:color w:val="auto"/>
              </w:rPr>
              <w:t>July 1, 2017</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2760" w:type="dxa"/>
            <w:vAlign w:val="bottom"/>
          </w:tcPr>
          <w:p>
            <w:pPr>
              <w:ind w:left="100"/>
              <w:spacing w:after="0"/>
              <w:rPr>
                <w:sz w:val="20"/>
                <w:szCs w:val="20"/>
                <w:color w:val="auto"/>
              </w:rPr>
            </w:pPr>
            <w:r>
              <w:rPr>
                <w:rFonts w:ascii="Arial" w:cs="Arial" w:eastAsia="Arial" w:hAnsi="Arial"/>
                <w:sz w:val="18"/>
                <w:szCs w:val="18"/>
                <w:color w:val="auto"/>
              </w:rPr>
              <w:t>Termination Date</w:t>
            </w:r>
          </w:p>
        </w:tc>
        <w:tc>
          <w:tcPr>
            <w:tcW w:w="1940" w:type="dxa"/>
            <w:vAlign w:val="bottom"/>
          </w:tcPr>
          <w:p>
            <w:pPr>
              <w:ind w:left="320"/>
              <w:spacing w:after="0"/>
              <w:rPr>
                <w:sz w:val="20"/>
                <w:szCs w:val="20"/>
                <w:color w:val="auto"/>
              </w:rPr>
            </w:pPr>
            <w:r>
              <w:rPr>
                <w:rFonts w:ascii="Arial" w:cs="Arial" w:eastAsia="Arial" w:hAnsi="Arial"/>
                <w:sz w:val="18"/>
                <w:szCs w:val="18"/>
                <w:color w:val="auto"/>
              </w:rPr>
              <w:t>December 31, 2022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2760" w:type="dxa"/>
            <w:vAlign w:val="bottom"/>
          </w:tcPr>
          <w:p>
            <w:pPr>
              <w:ind w:left="100"/>
              <w:spacing w:after="0"/>
              <w:rPr>
                <w:sz w:val="20"/>
                <w:szCs w:val="20"/>
                <w:color w:val="auto"/>
              </w:rPr>
            </w:pPr>
            <w:r>
              <w:rPr>
                <w:rFonts w:ascii="Arial" w:cs="Arial" w:eastAsia="Arial" w:hAnsi="Arial"/>
                <w:sz w:val="18"/>
                <w:szCs w:val="18"/>
                <w:color w:val="auto"/>
              </w:rPr>
              <w:t>Product Descriptions</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A (2(a))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2760" w:type="dxa"/>
            <w:vAlign w:val="bottom"/>
          </w:tcPr>
          <w:p>
            <w:pPr>
              <w:ind w:left="100"/>
              <w:spacing w:after="0"/>
              <w:rPr>
                <w:sz w:val="20"/>
                <w:szCs w:val="20"/>
                <w:color w:val="auto"/>
              </w:rPr>
            </w:pPr>
            <w:r>
              <w:rPr>
                <w:rFonts w:ascii="Arial" w:cs="Arial" w:eastAsia="Arial" w:hAnsi="Arial"/>
                <w:sz w:val="18"/>
                <w:szCs w:val="18"/>
                <w:color w:val="auto"/>
              </w:rPr>
              <w:t>Records</w:t>
            </w:r>
          </w:p>
        </w:tc>
        <w:tc>
          <w:tcPr>
            <w:tcW w:w="1940" w:type="dxa"/>
            <w:vAlign w:val="bottom"/>
          </w:tcPr>
          <w:p>
            <w:pPr>
              <w:ind w:left="320"/>
              <w:spacing w:after="0"/>
              <w:rPr>
                <w:sz w:val="20"/>
                <w:szCs w:val="20"/>
                <w:color w:val="auto"/>
              </w:rPr>
            </w:pPr>
            <w:r>
              <w:rPr>
                <w:rFonts w:ascii="Arial" w:cs="Arial" w:eastAsia="Arial" w:hAnsi="Arial"/>
                <w:sz w:val="18"/>
                <w:szCs w:val="18"/>
                <w:color w:val="auto"/>
                <w:w w:val="90"/>
              </w:rPr>
              <w:t>Schedule B (2(i), 3(e))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(v)</w:t>
            </w:r>
          </w:p>
        </w:tc>
        <w:tc>
          <w:tcPr>
            <w:tcW w:w="2760" w:type="dxa"/>
            <w:vAlign w:val="bottom"/>
          </w:tcPr>
          <w:p>
            <w:pPr>
              <w:ind w:left="100"/>
              <w:spacing w:after="0"/>
              <w:rPr>
                <w:sz w:val="20"/>
                <w:szCs w:val="20"/>
                <w:color w:val="auto"/>
              </w:rPr>
            </w:pPr>
            <w:r>
              <w:rPr>
                <w:rFonts w:ascii="Arial" w:cs="Arial" w:eastAsia="Arial" w:hAnsi="Arial"/>
                <w:sz w:val="18"/>
                <w:szCs w:val="18"/>
                <w:color w:val="auto"/>
              </w:rPr>
              <w:t>Ingredients/Materials/Packaging</w:t>
            </w:r>
          </w:p>
        </w:tc>
        <w:tc>
          <w:tcPr>
            <w:tcW w:w="1940" w:type="dxa"/>
            <w:vAlign w:val="bottom"/>
          </w:tcPr>
          <w:p>
            <w:pPr>
              <w:spacing w:after="0"/>
              <w:rPr>
                <w:sz w:val="24"/>
                <w:szCs w:val="24"/>
                <w:color w:val="auto"/>
              </w:rPr>
            </w:pPr>
          </w:p>
        </w:tc>
      </w:tr>
      <w:tr>
        <w:trPr>
          <w:trHeight w:val="244"/>
        </w:trPr>
        <w:tc>
          <w:tcPr>
            <w:tcW w:w="360" w:type="dxa"/>
            <w:vAlign w:val="bottom"/>
          </w:tcPr>
          <w:p>
            <w:pPr>
              <w:spacing w:after="0"/>
              <w:rPr>
                <w:sz w:val="21"/>
                <w:szCs w:val="21"/>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Purchased by Premier</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C (3(b))</w:t>
            </w:r>
          </w:p>
        </w:tc>
      </w:tr>
    </w:tbl>
    <w:p>
      <w:pPr>
        <w:spacing w:after="0" w:line="94" w:lineRule="exact"/>
        <w:rPr>
          <w:sz w:val="20"/>
          <w:szCs w:val="20"/>
          <w:color w:val="auto"/>
        </w:rPr>
      </w:pPr>
    </w:p>
    <w:p>
      <w:pPr>
        <w:ind w:left="1840" w:hanging="459"/>
        <w:spacing w:after="0"/>
        <w:tabs>
          <w:tab w:leader="none" w:pos="1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Ingredient/Materials/Packaging</w:t>
      </w:r>
    </w:p>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Purchased by Heritage</w:t>
            </w:r>
          </w:p>
        </w:tc>
        <w:tc>
          <w:tcPr>
            <w:tcW w:w="1460" w:type="dxa"/>
            <w:vAlign w:val="bottom"/>
          </w:tcPr>
          <w:p>
            <w:pPr>
              <w:ind w:left="180"/>
              <w:spacing w:after="0"/>
              <w:rPr>
                <w:sz w:val="20"/>
                <w:szCs w:val="20"/>
                <w:color w:val="auto"/>
              </w:rPr>
            </w:pPr>
            <w:r>
              <w:rPr>
                <w:rFonts w:ascii="Arial" w:cs="Arial" w:eastAsia="Arial" w:hAnsi="Arial"/>
                <w:sz w:val="18"/>
                <w:szCs w:val="18"/>
                <w:color w:val="auto"/>
                <w:w w:val="89"/>
              </w:rPr>
              <w:t>Schedule C (3(c))</w:t>
            </w:r>
          </w:p>
        </w:tc>
      </w:tr>
      <w:tr>
        <w:trPr>
          <w:trHeight w:val="323"/>
        </w:trPr>
        <w:tc>
          <w:tcPr>
            <w:tcW w:w="420" w:type="dxa"/>
            <w:vAlign w:val="bottom"/>
          </w:tcPr>
          <w:p>
            <w:pPr>
              <w:spacing w:after="0"/>
              <w:rPr>
                <w:sz w:val="20"/>
                <w:szCs w:val="20"/>
                <w:color w:val="auto"/>
              </w:rPr>
            </w:pPr>
            <w:r>
              <w:rPr>
                <w:rFonts w:ascii="Arial" w:cs="Arial" w:eastAsia="Arial" w:hAnsi="Arial"/>
                <w:sz w:val="18"/>
                <w:szCs w:val="18"/>
                <w:color w:val="auto"/>
              </w:rPr>
              <w:t>(vii)</w:t>
            </w:r>
          </w:p>
        </w:tc>
        <w:tc>
          <w:tcPr>
            <w:tcW w:w="2840" w:type="dxa"/>
            <w:vAlign w:val="bottom"/>
          </w:tcPr>
          <w:p>
            <w:pPr>
              <w:ind w:left="40"/>
              <w:spacing w:after="0"/>
              <w:rPr>
                <w:sz w:val="20"/>
                <w:szCs w:val="20"/>
                <w:color w:val="auto"/>
              </w:rPr>
            </w:pPr>
            <w:r>
              <w:rPr>
                <w:rFonts w:ascii="Arial" w:cs="Arial" w:eastAsia="Arial" w:hAnsi="Arial"/>
                <w:sz w:val="18"/>
                <w:szCs w:val="18"/>
                <w:color w:val="auto"/>
              </w:rPr>
              <w:t>Material loss allowance</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C</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(viii)</w:t>
            </w:r>
          </w:p>
        </w:tc>
        <w:tc>
          <w:tcPr>
            <w:tcW w:w="2840" w:type="dxa"/>
            <w:vAlign w:val="bottom"/>
          </w:tcPr>
          <w:p>
            <w:pPr>
              <w:ind w:left="40"/>
              <w:spacing w:after="0"/>
              <w:rPr>
                <w:sz w:val="20"/>
                <w:szCs w:val="20"/>
                <w:color w:val="auto"/>
              </w:rPr>
            </w:pPr>
            <w:r>
              <w:rPr>
                <w:rFonts w:ascii="Arial" w:cs="Arial" w:eastAsia="Arial" w:hAnsi="Arial"/>
                <w:sz w:val="18"/>
                <w:szCs w:val="18"/>
                <w:color w:val="auto"/>
              </w:rPr>
              <w:t>Pricing and terms</w:t>
            </w:r>
          </w:p>
        </w:tc>
        <w:tc>
          <w:tcPr>
            <w:tcW w:w="1460" w:type="dxa"/>
            <w:vAlign w:val="bottom"/>
          </w:tcPr>
          <w:p>
            <w:pPr>
              <w:ind w:left="180"/>
              <w:spacing w:after="0"/>
              <w:rPr>
                <w:sz w:val="20"/>
                <w:szCs w:val="20"/>
                <w:color w:val="auto"/>
              </w:rPr>
            </w:pPr>
            <w:r>
              <w:rPr>
                <w:rFonts w:ascii="Arial" w:cs="Arial" w:eastAsia="Arial" w:hAnsi="Arial"/>
                <w:sz w:val="18"/>
                <w:szCs w:val="18"/>
                <w:color w:val="auto"/>
                <w:w w:val="93"/>
              </w:rPr>
              <w:t>Schedule C, 3(d)</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(ix)</w:t>
            </w:r>
          </w:p>
        </w:tc>
        <w:tc>
          <w:tcPr>
            <w:tcW w:w="2840" w:type="dxa"/>
            <w:vAlign w:val="bottom"/>
          </w:tcPr>
          <w:p>
            <w:pPr>
              <w:ind w:left="40"/>
              <w:spacing w:after="0"/>
              <w:rPr>
                <w:sz w:val="20"/>
                <w:szCs w:val="20"/>
                <w:color w:val="auto"/>
              </w:rPr>
            </w:pPr>
            <w:r>
              <w:rPr>
                <w:rFonts w:ascii="Arial" w:cs="Arial" w:eastAsia="Arial" w:hAnsi="Arial"/>
                <w:sz w:val="18"/>
                <w:szCs w:val="18"/>
                <w:color w:val="auto"/>
              </w:rPr>
              <w:t>Premier Contacts</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D</w:t>
            </w: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auto"/>
              </w:rPr>
              <w:t>(x)</w:t>
            </w:r>
          </w:p>
        </w:tc>
        <w:tc>
          <w:tcPr>
            <w:tcW w:w="2840" w:type="dxa"/>
            <w:vAlign w:val="bottom"/>
          </w:tcPr>
          <w:p>
            <w:pPr>
              <w:ind w:left="40"/>
              <w:spacing w:after="0"/>
              <w:rPr>
                <w:sz w:val="20"/>
                <w:szCs w:val="20"/>
                <w:color w:val="auto"/>
              </w:rPr>
            </w:pPr>
            <w:r>
              <w:rPr>
                <w:rFonts w:ascii="Arial" w:cs="Arial" w:eastAsia="Arial" w:hAnsi="Arial"/>
                <w:sz w:val="18"/>
                <w:szCs w:val="18"/>
                <w:color w:val="auto"/>
                <w:w w:val="97"/>
              </w:rPr>
              <w:t>Post Holdings’ Quality Expectations</w:t>
            </w:r>
          </w:p>
        </w:tc>
        <w:tc>
          <w:tcPr>
            <w:tcW w:w="14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Manual</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E</w:t>
            </w:r>
          </w:p>
        </w:tc>
      </w:tr>
      <w:tr>
        <w:trPr>
          <w:trHeight w:val="365"/>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60" w:type="dxa"/>
            <w:vAlign w:val="bottom"/>
          </w:tcPr>
          <w:p>
            <w:pPr>
              <w:ind w:left="8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0"/>
          </w:cols>
          <w:pgMar w:left="440" w:top="121" w:right="439" w:bottom="1440" w:gutter="0" w:footer="0" w:header="0"/>
        </w:sectPr>
      </w:pPr>
    </w:p>
    <w:bookmarkStart w:id="215" w:name="page216"/>
    <w:bookmarkEnd w:id="215"/>
    <w:p>
      <w:pPr>
        <w:ind w:left="-4" w:right="140" w:firstLine="996"/>
        <w:spacing w:after="0" w:line="277" w:lineRule="auto"/>
        <w:tabs>
          <w:tab w:leader="none" w:pos="1375" w:val="left"/>
        </w:tabs>
        <w:numPr>
          <w:ilvl w:val="2"/>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of this Agreement will commence on the Commencement Date and will continue through December 31, 2022 or until this Agreement is otherwise terminated in accordance with its provisions (“Term”).</w:t>
      </w:r>
    </w:p>
    <w:p>
      <w:pPr>
        <w:spacing w:after="0" w:line="315" w:lineRule="exact"/>
        <w:rPr>
          <w:rFonts w:ascii="Arial" w:cs="Arial" w:eastAsia="Arial" w:hAnsi="Arial"/>
          <w:sz w:val="18"/>
          <w:szCs w:val="18"/>
          <w:color w:val="auto"/>
        </w:rPr>
      </w:pPr>
    </w:p>
    <w:p>
      <w:pPr>
        <w:ind w:left="976" w:hanging="544"/>
        <w:spacing w:after="0"/>
        <w:tabs>
          <w:tab w:leader="none" w:pos="976"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OF PRODUCT</w:t>
      </w:r>
    </w:p>
    <w:p>
      <w:pPr>
        <w:spacing w:after="0" w:line="121" w:lineRule="exact"/>
        <w:rPr>
          <w:rFonts w:ascii="Arial" w:cs="Arial" w:eastAsia="Arial" w:hAnsi="Arial"/>
          <w:sz w:val="18"/>
          <w:szCs w:val="18"/>
          <w:b w:val="1"/>
          <w:bCs w:val="1"/>
          <w:color w:val="auto"/>
        </w:rPr>
      </w:pPr>
    </w:p>
    <w:p>
      <w:pPr>
        <w:ind w:left="-4" w:right="20" w:firstLine="996"/>
        <w:spacing w:after="0" w:line="272" w:lineRule="auto"/>
        <w:tabs>
          <w:tab w:leader="none" w:pos="1368" w:val="left"/>
        </w:tabs>
        <w:numPr>
          <w:ilvl w:val="2"/>
          <w:numId w:val="125"/>
        </w:numPr>
        <w:rPr>
          <w:rFonts w:ascii="Arial" w:cs="Arial" w:eastAsia="Arial" w:hAnsi="Arial"/>
          <w:sz w:val="17"/>
          <w:szCs w:val="17"/>
          <w:color w:val="auto"/>
        </w:rPr>
      </w:pPr>
      <w:r>
        <w:rPr>
          <w:rFonts w:ascii="Arial" w:cs="Arial" w:eastAsia="Arial" w:hAnsi="Arial"/>
          <w:sz w:val="17"/>
          <w:szCs w:val="17"/>
          <w:color w:val="auto"/>
        </w:rPr>
        <w:t>Heritage shall produce the products described on Schedule A attached hereto, as may be amended by the Parties hereafter from time to time (the “Products”), for Premier at [***] Heritage’s or Heritage’s wholly owned subsidiary, Jasper’s, [***] (the “Facilities”). [***] For the purposes of this paragraph, [***] facilities located at [***] are considered one Facility. Any facility that Heritage wishes to use, other than [***] to manufacture the Products must be approved by Premier in writing, in advance. For the avoidance of doubt, Heritage’s [***] facility must be approved by Premier before it may be used to manufacture the Products. Such facility approvals shall not be unreasonably withheld or delayed. Premier’s facility approval will be based, in part, on the successful completion of a trial production run that is sufficient in meeting finished product specifications, and an evaluation of the stability and specifications of trial production product within [***] of the trial production run.</w:t>
      </w:r>
    </w:p>
    <w:p>
      <w:pPr>
        <w:spacing w:after="0" w:line="177" w:lineRule="exact"/>
        <w:rPr>
          <w:rFonts w:ascii="Arial" w:cs="Arial" w:eastAsia="Arial" w:hAnsi="Arial"/>
          <w:sz w:val="17"/>
          <w:szCs w:val="17"/>
          <w:color w:val="auto"/>
        </w:rPr>
      </w:pPr>
    </w:p>
    <w:p>
      <w:pPr>
        <w:ind w:left="-4" w:right="500" w:firstLine="996"/>
        <w:spacing w:after="0" w:line="308" w:lineRule="auto"/>
        <w:tabs>
          <w:tab w:leader="none" w:pos="1378" w:val="left"/>
        </w:tabs>
        <w:numPr>
          <w:ilvl w:val="2"/>
          <w:numId w:val="125"/>
        </w:numPr>
        <w:rPr>
          <w:rFonts w:ascii="Arial" w:cs="Arial" w:eastAsia="Arial" w:hAnsi="Arial"/>
          <w:sz w:val="17"/>
          <w:szCs w:val="17"/>
          <w:color w:val="auto"/>
        </w:rPr>
      </w:pPr>
      <w:r>
        <w:rPr>
          <w:rFonts w:ascii="Arial" w:cs="Arial" w:eastAsia="Arial" w:hAnsi="Arial"/>
          <w:sz w:val="17"/>
          <w:szCs w:val="17"/>
          <w:color w:val="auto"/>
        </w:rPr>
        <w:t>Heritage and Premier agree that all Products subject to this Agreement, and their current and subsequently modified respective formulas are confidential and proprietary, and the sole property of Premier unless otherwise agreed in writing by both Parties.</w:t>
      </w:r>
    </w:p>
    <w:p>
      <w:pPr>
        <w:spacing w:after="0" w:line="146" w:lineRule="exact"/>
        <w:rPr>
          <w:rFonts w:ascii="Arial" w:cs="Arial" w:eastAsia="Arial" w:hAnsi="Arial"/>
          <w:sz w:val="17"/>
          <w:szCs w:val="17"/>
          <w:color w:val="auto"/>
        </w:rPr>
      </w:pPr>
    </w:p>
    <w:p>
      <w:pPr>
        <w:ind w:left="-4" w:right="20" w:firstLine="996"/>
        <w:spacing w:after="0" w:line="259" w:lineRule="auto"/>
        <w:tabs>
          <w:tab w:leader="none" w:pos="136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Minimum Annual Order Volume. During the Term of this Agreement, Premier shall be required to purchase a Minimum Annual Order Volume (“MAOV”) of [***] (“Units”) for each twelve-month period commencing July 1, 2017, and for the six-month period commencing July 1, 2022 and ending December 31, 2022, Premier will be required to purchase [***] Units (the twelve-month periods and the six month period are each a “Contract Period”).</w:t>
      </w:r>
    </w:p>
    <w:p>
      <w:pPr>
        <w:spacing w:after="0" w:line="186" w:lineRule="exact"/>
        <w:rPr>
          <w:rFonts w:ascii="Arial" w:cs="Arial" w:eastAsia="Arial" w:hAnsi="Arial"/>
          <w:sz w:val="18"/>
          <w:szCs w:val="18"/>
          <w:color w:val="auto"/>
        </w:rPr>
      </w:pPr>
    </w:p>
    <w:p>
      <w:pPr>
        <w:ind w:left="-4" w:right="20" w:firstLine="996"/>
        <w:spacing w:after="0" w:line="264" w:lineRule="auto"/>
        <w:tabs>
          <w:tab w:leader="none" w:pos="1378" w:val="left"/>
        </w:tabs>
        <w:numPr>
          <w:ilvl w:val="2"/>
          <w:numId w:val="125"/>
        </w:numPr>
        <w:rPr>
          <w:rFonts w:ascii="Arial" w:cs="Arial" w:eastAsia="Arial" w:hAnsi="Arial"/>
          <w:sz w:val="18"/>
          <w:szCs w:val="18"/>
          <w:color w:val="auto"/>
        </w:rPr>
      </w:pPr>
      <w:r>
        <w:rPr>
          <w:rFonts w:ascii="Arial" w:cs="Arial" w:eastAsia="Arial" w:hAnsi="Arial"/>
          <w:sz w:val="18"/>
          <w:szCs w:val="18"/>
          <w:color w:val="auto"/>
        </w:rPr>
        <w:t>During the Term, Premier shall have the right (but not the obligation) to order from Heritage quantities of Products in excess of [***] and provided Heritage has the capacity and the ability to produce such additional quantities of Products, Heritage agrees to produce such additional quantities per the pricing and terms on Schedule C.</w:t>
      </w:r>
    </w:p>
    <w:p>
      <w:pPr>
        <w:spacing w:after="0" w:line="181" w:lineRule="exact"/>
        <w:rPr>
          <w:rFonts w:ascii="Arial" w:cs="Arial" w:eastAsia="Arial" w:hAnsi="Arial"/>
          <w:sz w:val="18"/>
          <w:szCs w:val="18"/>
          <w:color w:val="auto"/>
        </w:rPr>
      </w:pPr>
    </w:p>
    <w:p>
      <w:pPr>
        <w:ind w:left="1376" w:hanging="384"/>
        <w:spacing w:after="0"/>
        <w:tabs>
          <w:tab w:leader="none" w:pos="137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56" w:hanging="364"/>
        <w:spacing w:after="0"/>
        <w:tabs>
          <w:tab w:leader="none" w:pos="135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996"/>
        <w:spacing w:after="0" w:line="288" w:lineRule="auto"/>
        <w:tabs>
          <w:tab w:leader="none" w:pos="1375" w:val="left"/>
        </w:tabs>
        <w:numPr>
          <w:ilvl w:val="2"/>
          <w:numId w:val="125"/>
        </w:numPr>
        <w:rPr>
          <w:rFonts w:ascii="Arial" w:cs="Arial" w:eastAsia="Arial" w:hAnsi="Arial"/>
          <w:sz w:val="16"/>
          <w:szCs w:val="16"/>
          <w:color w:val="auto"/>
        </w:rPr>
      </w:pPr>
      <w:r>
        <w:rPr>
          <w:rFonts w:ascii="Arial" w:cs="Arial" w:eastAsia="Arial" w:hAnsi="Arial"/>
          <w:sz w:val="16"/>
          <w:szCs w:val="16"/>
          <w:color w:val="auto"/>
        </w:rPr>
        <w:t>Within [***] of each calendar month during the Term, Premier shall provide to Heritage a [***] rolling production forecast which shall set forth Premier’s non-binding good faith estimated purchases (each, a “Forecast”) for the [***] period commencing on the date thereof (the “Forecast Delivery Date”). Each Forecast shall also designate which Facility shall manufacture the Products set forth in such Forecast (i.e. Heritage’s</w:t>
      </w:r>
    </w:p>
    <w:p>
      <w:pPr>
        <w:ind w:left="-4" w:firstLine="4"/>
        <w:spacing w:after="0" w:line="255" w:lineRule="auto"/>
        <w:tabs>
          <w:tab w:leader="none" w:pos="4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Facility, Jasper’s [***] Facility, or some other facility agreed to by the Parties). Heritage shall notify Premier, in writing (or email), within [***] of each Forecast Delivery Date, if Heritage’s or Jasper’s Facilities will not be able to fulfill Premier’s estimated purchases as set out in the [***] of such Forecast. For the avoidance of doubt, the [***] are</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4" w:right="459" w:bottom="1440" w:gutter="0" w:footer="0" w:header="0"/>
        </w:sectPr>
      </w:pPr>
    </w:p>
    <w:bookmarkStart w:id="216" w:name="page217"/>
    <w:bookmarkEnd w:id="216"/>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 immediately following the Forecast Delivery Date. If Heritage notifies Premier that it can fulfill Premier’s Forecast for this [***] period, or if it fails to notify Premier that it cannot fulfill that portion of the Forecast, Heritage shall be obligated to fulfill, or cause Jasper to fulfill as applicable, if ordered through POs, the full amount of Product set forth for purchase during [***] (“Firm Forecast”).</w:t>
      </w:r>
    </w:p>
    <w:p>
      <w:pPr>
        <w:spacing w:after="0" w:line="181" w:lineRule="exact"/>
        <w:rPr>
          <w:sz w:val="20"/>
          <w:szCs w:val="20"/>
          <w:color w:val="auto"/>
        </w:rPr>
      </w:pPr>
    </w:p>
    <w:p>
      <w:pPr>
        <w:ind w:right="20" w:firstLine="996"/>
        <w:spacing w:after="0" w:line="259" w:lineRule="auto"/>
        <w:tabs>
          <w:tab w:leader="none" w:pos="13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Within the [***] of each calendar month during the Term, Heritage shall provide to Premier a [***] rolling production forecast which shall set forth Heritage’s good faith estimated maximum monthly unit volume (“Maximum Volume”) for each Facility during such [***] period. Modifications to the Maximum Volume shall be negotiated in good faith and agreed upon by both Parties in writing or email by the [***] of the calendar month.</w:t>
      </w:r>
    </w:p>
    <w:p>
      <w:pPr>
        <w:spacing w:after="0" w:line="186" w:lineRule="exact"/>
        <w:rPr>
          <w:rFonts w:ascii="Arial" w:cs="Arial" w:eastAsia="Arial" w:hAnsi="Arial"/>
          <w:sz w:val="18"/>
          <w:szCs w:val="18"/>
          <w:color w:val="auto"/>
        </w:rPr>
      </w:pPr>
    </w:p>
    <w:p>
      <w:pPr>
        <w:ind w:right="140" w:firstLine="996"/>
        <w:spacing w:after="0" w:line="264" w:lineRule="auto"/>
        <w:tabs>
          <w:tab w:leader="none" w:pos="134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Premier shall provide Heritage with Purchase Orders (or “POs”) [***] in advance of the date referred to as the “Due Date” in such POs. The POs, at a minimum, will give the Products and quantities ordered, the Due Date requested, and designate which Facility will manufacture the Products. “Due Date” shall mean the production start date requested by Premier.</w:t>
      </w:r>
    </w:p>
    <w:p>
      <w:pPr>
        <w:spacing w:after="0" w:line="181" w:lineRule="exact"/>
        <w:rPr>
          <w:rFonts w:ascii="Arial" w:cs="Arial" w:eastAsia="Arial" w:hAnsi="Arial"/>
          <w:sz w:val="18"/>
          <w:szCs w:val="18"/>
          <w:color w:val="auto"/>
        </w:rPr>
      </w:pPr>
    </w:p>
    <w:p>
      <w:pPr>
        <w:ind w:firstLine="996"/>
        <w:spacing w:after="0" w:line="291" w:lineRule="auto"/>
        <w:tabs>
          <w:tab w:leader="none" w:pos="133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Within [***] of receipt of a PO, Heritage shall (i) provide to Premier email confirmation of acceptance of the PO, a schedule of production and an estimated production completion date (the “Estimated Completion Date”), or (ii) notify Premier if any term of the PO cannot be met. Heritage’s failure to notify Premier, within the time specified herein, of an inability to meet a term of the PO shall constitute acceptance of such PO in its entirety. If Heritage notifies Premier that it or Jasper cannot meet the Due Date, the Parties shall discuss an acceptable alternate date on which production will commence (the “Production Date”). Once a Due Date is accepted or a Production Date is mutually agreed upon, Heritage shall, or shall cause Jasper to, use all commercially reasonable efforts to start production on or before the Due Date (or Production Date, as applicable), but in no case more than [***] earlier or later than the Due Date (or Production Date, as applicable) unless mutually agreed otherwise by Premier.</w:t>
      </w:r>
    </w:p>
    <w:p>
      <w:pPr>
        <w:spacing w:after="0" w:line="167" w:lineRule="exact"/>
        <w:rPr>
          <w:rFonts w:ascii="Arial" w:cs="Arial" w:eastAsia="Arial" w:hAnsi="Arial"/>
          <w:sz w:val="16"/>
          <w:szCs w:val="16"/>
          <w:color w:val="auto"/>
        </w:rPr>
      </w:pPr>
    </w:p>
    <w:p>
      <w:pPr>
        <w:ind w:right="100" w:firstLine="996"/>
        <w:spacing w:after="0" w:line="257" w:lineRule="auto"/>
        <w:tabs>
          <w:tab w:leader="none" w:pos="138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PREMIER requests that Products be produced at the Heritage Facility, Heritage may either produce such Products at the Heritage Facility or cause Jasper to produce such Products at the Jasper Facility, in which case Heritage shall be responsible for all shipping costs of transporting the Products to the Heritage Facility. If Premier requests that Products be produced at the Jasper Facility, Heritage may either cause Jasper to produce such Products at the Jasper Facility or produce such Products at the Heritage Facility, in which case Heritage shall be responsible for all shipping costs of transporting the Products to the Jasper Facility.</w:t>
      </w:r>
    </w:p>
    <w:p>
      <w:pPr>
        <w:spacing w:after="0" w:line="188" w:lineRule="exact"/>
        <w:rPr>
          <w:rFonts w:ascii="Arial" w:cs="Arial" w:eastAsia="Arial" w:hAnsi="Arial"/>
          <w:sz w:val="18"/>
          <w:szCs w:val="18"/>
          <w:color w:val="auto"/>
        </w:rPr>
      </w:pPr>
    </w:p>
    <w:p>
      <w:pPr>
        <w:ind w:right="20" w:firstLine="996"/>
        <w:spacing w:after="0" w:line="259" w:lineRule="auto"/>
        <w:tabs>
          <w:tab w:leader="none" w:pos="134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 PO is accepted by Heritage as described in Section 2(j) above but such PO is not filled in accordance with its terms, or if Heritage or Jasper, as applicable, fails to complete production of the Products [***], Premier shall have the right to use an alternate co-packer for the Products specified in the PO and Heritage shall, or shall cause Jasper to, provide Premier with Premier owned packaging needed to support such production by an alternate co-packer.</w:t>
      </w:r>
    </w:p>
    <w:p>
      <w:pPr>
        <w:spacing w:after="0" w:line="186" w:lineRule="exact"/>
        <w:rPr>
          <w:rFonts w:ascii="Arial" w:cs="Arial" w:eastAsia="Arial" w:hAnsi="Arial"/>
          <w:sz w:val="18"/>
          <w:szCs w:val="18"/>
          <w:color w:val="auto"/>
        </w:rPr>
      </w:pPr>
    </w:p>
    <w:p>
      <w:pPr>
        <w:ind w:right="60" w:firstLine="996"/>
        <w:spacing w:after="0" w:line="271" w:lineRule="auto"/>
        <w:tabs>
          <w:tab w:leader="none" w:pos="143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Purchase Orders will be Premier’s best estimate of its current requirements, but may be amended up or down or canceled in their entirety by Premier to reflect changing demand for Products. The final Unit quantities on Premier’s Purchase Orders will count towards the MAOV. However, if (i) any increase or decrease in Unit volume under a particular PO is greater than [***] of the initial PO quantity and (ii) Premier requests such change or cancellation within the [***] period prior to the Due Date (or Production Date, as applicable) (the “ [***] Period”), Heritage in its sole discretion, may charge Premier [***]. In no event shall Premier pay [***] if (i) it cancels or modifies any PO prior to the commencement of the [***] Period (i.e.; prior to the commencement of the [***] period preceding the Due Date (or Production Date, as applicable), (ii) Heritage or Jasper fails to timely start production in the [***] period before or after the Due Date (or Production Date, as applicable), or (iii) the basis for Premier’s cancellation is a breach by Heritage of its obligations, representations or warranties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17" w:name="page218"/>
    <w:bookmarkEnd w:id="217"/>
    <w:p>
      <w:pPr>
        <w:ind w:firstLine="996"/>
        <w:spacing w:after="0" w:line="276" w:lineRule="auto"/>
        <w:tabs>
          <w:tab w:leader="none" w:pos="1382" w:val="left"/>
        </w:tabs>
        <w:numPr>
          <w:ilvl w:val="1"/>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shall within [***] after the end of the production run, notify Premier via email of the final estimated production quantity and the estimated quantity, including losses, of all Premier-supplied materials used. If the final production quantity for any accepted PO is less than [***] of the PO quantity ordered, or if the quantity of production released for shipment within [***] from the last day of production is less than [***] of the PO quantity, upon request by Premier, Heritage shall take all commercially reasonable steps to produce or replace the shortfall within [***]. The final production quantity by Heritage and Jasper will count towards the MAOV requirements.</w:t>
      </w:r>
    </w:p>
    <w:p>
      <w:pPr>
        <w:spacing w:after="0" w:line="172" w:lineRule="exact"/>
        <w:rPr>
          <w:rFonts w:ascii="Arial" w:cs="Arial" w:eastAsia="Arial" w:hAnsi="Arial"/>
          <w:sz w:val="17"/>
          <w:szCs w:val="17"/>
          <w:color w:val="auto"/>
        </w:rPr>
      </w:pPr>
    </w:p>
    <w:p>
      <w:pPr>
        <w:ind w:left="1380" w:hanging="384"/>
        <w:spacing w:after="0"/>
        <w:tabs>
          <w:tab w:leader="none" w:pos="13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Heritage represents and warrants that:</w:t>
      </w:r>
    </w:p>
    <w:p>
      <w:pPr>
        <w:spacing w:after="0" w:line="225" w:lineRule="exact"/>
        <w:rPr>
          <w:rFonts w:ascii="Arial" w:cs="Arial" w:eastAsia="Arial" w:hAnsi="Arial"/>
          <w:sz w:val="18"/>
          <w:szCs w:val="18"/>
          <w:color w:val="auto"/>
        </w:rPr>
      </w:pPr>
    </w:p>
    <w:p>
      <w:pPr>
        <w:ind w:right="60" w:firstLine="1436"/>
        <w:spacing w:after="0" w:line="273" w:lineRule="auto"/>
        <w:tabs>
          <w:tab w:leader="none" w:pos="1773" w:val="left"/>
        </w:tabs>
        <w:numPr>
          <w:ilvl w:val="2"/>
          <w:numId w:val="127"/>
        </w:numPr>
        <w:rPr>
          <w:rFonts w:ascii="Arial" w:cs="Arial" w:eastAsia="Arial" w:hAnsi="Arial"/>
          <w:sz w:val="17"/>
          <w:szCs w:val="17"/>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 No change in Specifications shall be binding on Heritage until Premier has provided written Specifications for each SKU, and each Specification is signed and dated by the Parties. Any additional net cost increases or decreases associated with any modifications to Premier’s Specifications shall be borne by or credited to Premier.</w:t>
      </w:r>
    </w:p>
    <w:p>
      <w:pPr>
        <w:spacing w:after="0" w:line="178" w:lineRule="exact"/>
        <w:rPr>
          <w:rFonts w:ascii="Arial" w:cs="Arial" w:eastAsia="Arial" w:hAnsi="Arial"/>
          <w:sz w:val="17"/>
          <w:szCs w:val="17"/>
          <w:color w:val="auto"/>
        </w:rPr>
      </w:pPr>
    </w:p>
    <w:p>
      <w:pPr>
        <w:ind w:right="80" w:firstLine="1436"/>
        <w:spacing w:after="0" w:line="276" w:lineRule="auto"/>
        <w:tabs>
          <w:tab w:leader="none" w:pos="1833" w:val="left"/>
        </w:tabs>
        <w:numPr>
          <w:ilvl w:val="2"/>
          <w:numId w:val="127"/>
        </w:numPr>
        <w:rPr>
          <w:rFonts w:ascii="Arial" w:cs="Arial" w:eastAsia="Arial" w:hAnsi="Arial"/>
          <w:sz w:val="17"/>
          <w:szCs w:val="17"/>
          <w:color w:val="auto"/>
        </w:rPr>
      </w:pPr>
      <w:r>
        <w:rPr>
          <w:rFonts w:ascii="Arial" w:cs="Arial" w:eastAsia="Arial" w:hAnsi="Arial"/>
          <w:sz w:val="17"/>
          <w:szCs w:val="17"/>
          <w:color w:val="auto"/>
        </w:rPr>
        <w:t>Heritage and Jasper will comply with all laws and regulations applicable to production of the Products, including without limitation, the laws and regulations of the United States Food and Drug Administration (“FDA”), United States Public Health Service (“PHS”), and any and all other applicable federal, state and local laws and regulations. Heritage warrants that the Products shall be released free from defects in workmanship and shall be manufactured in accordance with this Agreement and 21 C.F.R. Part 110 which is entitled “Current Good Manufacturing Practice in Manufacturing, Packing or Holding Human Food” and as it may be amended from time-to-time.</w:t>
      </w:r>
    </w:p>
    <w:p>
      <w:pPr>
        <w:spacing w:after="0" w:line="172" w:lineRule="exact"/>
        <w:rPr>
          <w:rFonts w:ascii="Arial" w:cs="Arial" w:eastAsia="Arial" w:hAnsi="Arial"/>
          <w:sz w:val="17"/>
          <w:szCs w:val="17"/>
          <w:color w:val="auto"/>
        </w:rPr>
      </w:pPr>
    </w:p>
    <w:p>
      <w:pPr>
        <w:ind w:right="160" w:firstLine="1436"/>
        <w:spacing w:after="0" w:line="277" w:lineRule="auto"/>
        <w:tabs>
          <w:tab w:leader="none" w:pos="1879"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Products, when delivered to Premier in accordance with this Agreement, shall be free of contaminants, merchantable, fit for intended use and shall not be adulterated within the meaning of the Federal Food, Drug and Cosmetic Act.</w:t>
      </w:r>
    </w:p>
    <w:p>
      <w:pPr>
        <w:spacing w:after="0" w:line="170" w:lineRule="exact"/>
        <w:rPr>
          <w:rFonts w:ascii="Arial" w:cs="Arial" w:eastAsia="Arial" w:hAnsi="Arial"/>
          <w:sz w:val="18"/>
          <w:szCs w:val="18"/>
          <w:color w:val="auto"/>
        </w:rPr>
      </w:pPr>
    </w:p>
    <w:p>
      <w:pPr>
        <w:ind w:right="280" w:firstLine="1436"/>
        <w:spacing w:after="0" w:line="264" w:lineRule="auto"/>
        <w:tabs>
          <w:tab w:leader="none" w:pos="187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Heritage and Jasper hold all permits and licenses required for Heritage and/or Jasper to manufacture the Products under the Agreement. Heritage will obtain, and shall ensure that Jasper obtains, all ingredients and packaging materials from suppliers that are approved by Premier in writing.</w:t>
      </w:r>
    </w:p>
    <w:p>
      <w:pPr>
        <w:spacing w:after="0" w:line="181" w:lineRule="exact"/>
        <w:rPr>
          <w:rFonts w:ascii="Arial" w:cs="Arial" w:eastAsia="Arial" w:hAnsi="Arial"/>
          <w:sz w:val="18"/>
          <w:szCs w:val="18"/>
          <w:color w:val="auto"/>
        </w:rPr>
      </w:pPr>
    </w:p>
    <w:p>
      <w:pPr>
        <w:ind w:firstLine="996"/>
        <w:spacing w:after="0" w:line="284" w:lineRule="auto"/>
        <w:tabs>
          <w:tab w:leader="none" w:pos="138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Upon reasonable notice, and during normal operating hours, Heritage shall permit Premier or its representatives reasonable access to portions of the Heritage Facilities, the Jasper Facility or any other Facility used to produce the Products for the purpose of ascertaining Heritage’s and Jasper’s compliance with good manufacturing practices and Premier’s Specifications and Post Holdings’ Quality Expectations. Heritage agrees to disclose to Premier and provide a list, upon request, of any material violations or deficiencies noted during any inspection by the FDA, United States Department of Agriculture, PHS, or any other federal, state or local health or food regulatory agency of the Heritage Facilities, Jasper Facility or any other Facility used to produce the Products, which have a material adverse effect on the manufacture or packaging of the Products. Heritage agrees to provide to Premier each FDA Form 483 and any related Establishment Inspection Report (“EIR”) that is received from the FDA by Heritage or Jasper, along with any response provided to the regulatory authority by Heritage or Jasper, as long as this Agreement is in effect. Heritage agrees to do so within</w:t>
      </w:r>
    </w:p>
    <w:p>
      <w:pPr>
        <w:spacing w:after="0" w:line="1" w:lineRule="exact"/>
        <w:rPr>
          <w:rFonts w:ascii="Arial" w:cs="Arial" w:eastAsia="Arial" w:hAnsi="Arial"/>
          <w:sz w:val="16"/>
          <w:szCs w:val="16"/>
          <w:color w:val="auto"/>
        </w:rPr>
      </w:pPr>
    </w:p>
    <w:p>
      <w:pPr>
        <w:ind w:right="40" w:firstLine="4"/>
        <w:spacing w:after="0" w:line="255" w:lineRule="auto"/>
        <w:tabs>
          <w:tab w:leader="none" w:pos="4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Heritage or Jasper receiving the Report or of sending the response as appropriate. If Heritage wishes to redact any material from any EIR, it shall indicate that deletion by use of the following note where each redaction occurs: “REDACTED MATERIAL”. Heritage agrees that it will not redact any information on an FIR that directly relates to any aspect of its manufacturing of Products for Premier.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18" w:name="page219"/>
    <w:bookmarkEnd w:id="218"/>
    <w:p>
      <w:pPr>
        <w:ind w:left="-20" w:right="40" w:firstLine="996"/>
        <w:spacing w:after="0" w:line="259" w:lineRule="auto"/>
        <w:tabs>
          <w:tab w:leader="none" w:pos="1362" w:val="left"/>
        </w:tabs>
        <w:numPr>
          <w:ilvl w:val="1"/>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will keep, and will ensure that Jasper keeps [***] complete and accurate records in connection with each unique production lot of Products with respect to manufacturing practices, quality assurance measures, analytical procedures and their resultant data. Such records shall include at least those listed on attached Schedule B. Upon reasonable notice, Heritage shall allow, and Heritage shall ensure that Japer allows, Premier access to such records during normal working hours.</w:t>
      </w:r>
    </w:p>
    <w:p>
      <w:pPr>
        <w:spacing w:after="0" w:line="331" w:lineRule="exact"/>
        <w:rPr>
          <w:rFonts w:ascii="Arial" w:cs="Arial" w:eastAsia="Arial" w:hAnsi="Arial"/>
          <w:sz w:val="18"/>
          <w:szCs w:val="18"/>
          <w:color w:val="auto"/>
        </w:rPr>
      </w:pPr>
    </w:p>
    <w:p>
      <w:pPr>
        <w:ind w:left="960" w:hanging="544"/>
        <w:spacing w:after="0"/>
        <w:tabs>
          <w:tab w:leader="none" w:pos="9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DELIVERY, PRICING, BILLING AND PAYMENT</w:t>
      </w:r>
    </w:p>
    <w:p>
      <w:pPr>
        <w:spacing w:after="0" w:line="121" w:lineRule="exact"/>
        <w:rPr>
          <w:rFonts w:ascii="Arial" w:cs="Arial" w:eastAsia="Arial" w:hAnsi="Arial"/>
          <w:sz w:val="18"/>
          <w:szCs w:val="18"/>
          <w:b w:val="1"/>
          <w:bCs w:val="1"/>
          <w:color w:val="auto"/>
        </w:rPr>
      </w:pPr>
    </w:p>
    <w:p>
      <w:pPr>
        <w:ind w:left="-20" w:right="40" w:firstLine="996"/>
        <w:spacing w:after="0" w:line="264" w:lineRule="auto"/>
        <w:tabs>
          <w:tab w:leader="none" w:pos="135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Heritage and Jasper shall coordinate shipments to meet scheduled delivery dates of the Products with Premier designated transportation providers. All shipments of the Products shall be by common carrier, F.O.B. the Heritage [***] Facility or the Jasper Facility, as indicated by Premier in the Purchase Order.</w:t>
      </w:r>
    </w:p>
    <w:p>
      <w:pPr>
        <w:spacing w:after="0" w:line="181" w:lineRule="exact"/>
        <w:rPr>
          <w:rFonts w:ascii="Arial" w:cs="Arial" w:eastAsia="Arial" w:hAnsi="Arial"/>
          <w:sz w:val="18"/>
          <w:szCs w:val="18"/>
          <w:color w:val="auto"/>
        </w:rPr>
      </w:pPr>
    </w:p>
    <w:p>
      <w:pPr>
        <w:ind w:left="-20" w:right="840" w:firstLine="996"/>
        <w:spacing w:after="0" w:line="308" w:lineRule="auto"/>
        <w:tabs>
          <w:tab w:leader="none" w:pos="136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Heritage shall purchase all ingredients and packaging materials identified in Schedule C to be used in connection with the manufacture of the Products. Heritage shall invoice Premier through the [***] billing as identified on Schedule C.</w:t>
      </w:r>
    </w:p>
    <w:p>
      <w:pPr>
        <w:spacing w:after="0" w:line="146" w:lineRule="exact"/>
        <w:rPr>
          <w:rFonts w:ascii="Arial" w:cs="Arial" w:eastAsia="Arial" w:hAnsi="Arial"/>
          <w:sz w:val="17"/>
          <w:szCs w:val="17"/>
          <w:color w:val="auto"/>
        </w:rPr>
      </w:pPr>
    </w:p>
    <w:p>
      <w:pPr>
        <w:ind w:left="1360" w:hanging="384"/>
        <w:spacing w:after="0"/>
        <w:tabs>
          <w:tab w:leader="none" w:pos="13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Heritage shall charge Premier [***] as set forth in Schedule C.</w:t>
      </w:r>
    </w:p>
    <w:p>
      <w:pPr>
        <w:spacing w:after="0" w:line="225" w:lineRule="exact"/>
        <w:rPr>
          <w:rFonts w:ascii="Arial" w:cs="Arial" w:eastAsia="Arial" w:hAnsi="Arial"/>
          <w:sz w:val="18"/>
          <w:szCs w:val="18"/>
          <w:color w:val="auto"/>
        </w:rPr>
      </w:pPr>
    </w:p>
    <w:p>
      <w:pPr>
        <w:ind w:left="-20" w:right="60" w:firstLine="996"/>
        <w:spacing w:after="0" w:line="297" w:lineRule="auto"/>
        <w:tabs>
          <w:tab w:leader="none" w:pos="136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For Product produced at Jasper facilities, Jasper shall invoice Premier on the date Jasper issues a Certificate of Analysis (COA) for those Products. Payment terms for these Product invoices shall be [***]. For Product produced at Heritage facilities, Heritage shall invoice Premier on the date the Products are loaded onto Premier’s carrier. Payment terms for all these Product invoices shall be [***]. Failure by Premier to meet payment terms of any invoice shall result in interest being imposed on any unpaid balance at the rate of [***] per month, pro rata on a daily basis for partial months, accrued from its due date or in the event such rate exceeds that permitted to be charged by law, the maximum rate permitted by law.</w:t>
      </w:r>
    </w:p>
    <w:p>
      <w:pPr>
        <w:spacing w:after="0" w:line="158" w:lineRule="exact"/>
        <w:rPr>
          <w:rFonts w:ascii="Arial" w:cs="Arial" w:eastAsia="Arial" w:hAnsi="Arial"/>
          <w:sz w:val="16"/>
          <w:szCs w:val="16"/>
          <w:color w:val="auto"/>
        </w:rPr>
      </w:pPr>
    </w:p>
    <w:p>
      <w:pPr>
        <w:ind w:left="-20" w:firstLine="996"/>
        <w:spacing w:after="0" w:line="273" w:lineRule="auto"/>
        <w:tabs>
          <w:tab w:leader="none" w:pos="135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Heritage will maintain accurate and complete books of account and records covering all its operations and transactions relating to this Agreement, including detailed purchasing and accounting records, master manufacturing, batching, &amp; quality control records, pertaining to the manufacture of the Products, including records relating to the procurement and cost of all raw materials, packaging materials, equipment, and any other cost associated with the manufacture of the Products until [***]. Premier, shall have the right, directly or through its representative, to inspect, copy, and audit all such records upon reasonable request and during normal business hours, acknowledging that access to accounting and purchasing records will be limited to those supporting pass-through materials costs and purchases of Premier specified equipment if any.</w:t>
      </w:r>
    </w:p>
    <w:p>
      <w:pPr>
        <w:spacing w:after="0" w:line="323" w:lineRule="exact"/>
        <w:rPr>
          <w:rFonts w:ascii="Arial" w:cs="Arial" w:eastAsia="Arial" w:hAnsi="Arial"/>
          <w:sz w:val="17"/>
          <w:szCs w:val="17"/>
          <w:color w:val="auto"/>
        </w:rPr>
      </w:pPr>
    </w:p>
    <w:p>
      <w:pPr>
        <w:ind w:left="960" w:hanging="544"/>
        <w:spacing w:after="0"/>
        <w:tabs>
          <w:tab w:leader="none" w:pos="9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STORAGE, SHIPPING AND INVENTORY</w:t>
      </w:r>
    </w:p>
    <w:p>
      <w:pPr>
        <w:spacing w:after="0" w:line="121" w:lineRule="exact"/>
        <w:rPr>
          <w:rFonts w:ascii="Arial" w:cs="Arial" w:eastAsia="Arial" w:hAnsi="Arial"/>
          <w:sz w:val="18"/>
          <w:szCs w:val="18"/>
          <w:b w:val="1"/>
          <w:bCs w:val="1"/>
          <w:color w:val="auto"/>
        </w:rPr>
      </w:pPr>
    </w:p>
    <w:p>
      <w:pPr>
        <w:ind w:left="-20" w:right="20" w:firstLine="996"/>
        <w:spacing w:after="0" w:line="276" w:lineRule="auto"/>
        <w:tabs>
          <w:tab w:leader="none" w:pos="135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During the term of this Agreement, Heritage agrees to handle and store reasonable amounts of raw materials based upon the level of production expected [***]. With regard to finished Products, Heritage agrees during the Term to store finished Products at no cost to Premier for a period not to exceed [***] from the date of Heritage’s issuance of a Certificate of Analysis (“COA”). Commencing on [***] after the date the COA is delivered to Premier, a warehouse fee will be imposed that will equal $[***], until such Products are delivered to Premier’s carrier. [***] Capability of a corrugated shipping case to withstand double stacking shall be mutually determined and agreed by both Parties.</w:t>
      </w:r>
    </w:p>
    <w:p>
      <w:pPr>
        <w:spacing w:after="0" w:line="172" w:lineRule="exact"/>
        <w:rPr>
          <w:rFonts w:ascii="Arial" w:cs="Arial" w:eastAsia="Arial" w:hAnsi="Arial"/>
          <w:sz w:val="17"/>
          <w:szCs w:val="17"/>
          <w:color w:val="auto"/>
        </w:rPr>
      </w:pPr>
    </w:p>
    <w:p>
      <w:pPr>
        <w:ind w:left="-20" w:right="20" w:firstLine="996"/>
        <w:spacing w:after="0" w:line="264" w:lineRule="auto"/>
        <w:tabs>
          <w:tab w:leader="none" w:pos="136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Premier agrees to issue shipping instructions in full pallet increments of [***] and Heritage agrees to make the Products available for shipping within [***]. Heritage shall ship oldest Products first, unless otherwise directed in writing by Premier. Release of Products shall only be from inventory that has completed any required incubation period and Heritage quality control release protocols.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219" w:name="page220"/>
    <w:bookmarkEnd w:id="219"/>
    <w:p>
      <w:pPr>
        <w:jc w:val="both"/>
        <w:ind w:right="220" w:firstLine="996"/>
        <w:spacing w:after="0" w:line="259" w:lineRule="auto"/>
        <w:tabs>
          <w:tab w:leader="none" w:pos="13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Heritage shall perform, and shall ensure Jasper performs, a documented inspection of all trailers before loading to confirm they are free of any visible contamination or odors and fit for use with food products. When products are properly palletized and loaded by Heritage or Jasper, Premier shall be responsible for physical, in-transit damage loss of finished Products upon Heritage or Jasper completing loading of the designated container or trailer, and sealing the same.</w:t>
      </w:r>
    </w:p>
    <w:p>
      <w:pPr>
        <w:spacing w:after="0" w:line="186" w:lineRule="exact"/>
        <w:rPr>
          <w:rFonts w:ascii="Arial" w:cs="Arial" w:eastAsia="Arial" w:hAnsi="Arial"/>
          <w:sz w:val="18"/>
          <w:szCs w:val="18"/>
          <w:color w:val="auto"/>
        </w:rPr>
      </w:pPr>
    </w:p>
    <w:p>
      <w:pPr>
        <w:ind w:left="1380" w:hanging="384"/>
        <w:spacing w:after="0"/>
        <w:tabs>
          <w:tab w:leader="none" w:pos="1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Heritage shall notify Premier via email within [***] that Products are available for shipment.</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following series of standard, regular, required reports and scorecard shall be provided by Heritage to Premier at the indicated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frequency:</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Weekly Production Report.</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Monthly Inventory Reports at Supplier’s end of fiscal month to include</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Inventory on hand,</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Inventory on hold, and</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Inventory adjusted.</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Monthly Purchase Order receipt report - at the end of Supplier’s fiscal month</w:t>
      </w:r>
    </w:p>
    <w:p>
      <w:pPr>
        <w:spacing w:after="0" w:line="370" w:lineRule="exact"/>
        <w:rPr>
          <w:sz w:val="20"/>
          <w:szCs w:val="20"/>
          <w:color w:val="auto"/>
        </w:rPr>
      </w:pPr>
    </w:p>
    <w:p>
      <w:pPr>
        <w:ind w:left="980" w:hanging="544"/>
        <w:spacing w:after="0"/>
        <w:tabs>
          <w:tab w:leader="none" w:pos="9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Premier represents and warrants that it owns or otherwise has the right to use all trademarks (the “Trademarks”) and copyrighted material (the “Copyrights”) provided by Premier to Heritage, which are provided solely for use in connection with the manufacture or packaging of the Products. Heritage will not, and will ensure that Jasper does not, use any of the Trademarks or any marks that are confusingly similar to, or likely to cause confusion with regard to, the Trademarks or Copyrights owned or licensed by Premier for any other purpose without the prior written consent of Premier in each instance. Provided, however, that the foregoing covenant shall not be construed to restrict or prohibit Heritage from using any trademark, trade name, trade dress, labeling or packaging that Heritage is using in commerce as of the date of this Agreement. Nothing contained in this Section 5 is intended to or does preclude Premier from enforcing any of its intellectual property rights, including without limitation, its trademark rights.</w:t>
      </w:r>
    </w:p>
    <w:p>
      <w:pPr>
        <w:spacing w:after="0" w:line="312" w:lineRule="exact"/>
        <w:rPr>
          <w:sz w:val="20"/>
          <w:szCs w:val="20"/>
          <w:color w:val="auto"/>
        </w:rPr>
      </w:pPr>
    </w:p>
    <w:p>
      <w:pPr>
        <w:ind w:left="980" w:hanging="544"/>
        <w:spacing w:after="0"/>
        <w:tabs>
          <w:tab w:leader="none" w:pos="9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CONTROL</w:t>
      </w:r>
    </w:p>
    <w:p>
      <w:pPr>
        <w:spacing w:after="0" w:line="121" w:lineRule="exact"/>
        <w:rPr>
          <w:rFonts w:ascii="Arial" w:cs="Arial" w:eastAsia="Arial" w:hAnsi="Arial"/>
          <w:sz w:val="18"/>
          <w:szCs w:val="18"/>
          <w:b w:val="1"/>
          <w:bCs w:val="1"/>
          <w:color w:val="auto"/>
        </w:rPr>
      </w:pPr>
    </w:p>
    <w:p>
      <w:pPr>
        <w:ind w:right="20" w:firstLine="996"/>
        <w:spacing w:after="0" w:line="259" w:lineRule="auto"/>
        <w:tabs>
          <w:tab w:leader="none" w:pos="137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Heritage agrees to perform, at its expense, sampling and testing procedures for the Products in accordance with Schedule B, attached hereto, and all applicable governmental regulations. If additional testing, not identified in Schedule B, is required by Premier, a reasonable additional fee will be agreed upon between Heritage and Premier to cover the associated incremental cost. Other quality control items to be performed under this Agreement are as follows:</w:t>
      </w:r>
    </w:p>
    <w:p>
      <w:pPr>
        <w:spacing w:after="0" w:line="186" w:lineRule="exact"/>
        <w:rPr>
          <w:rFonts w:ascii="Arial" w:cs="Arial" w:eastAsia="Arial" w:hAnsi="Arial"/>
          <w:sz w:val="18"/>
          <w:szCs w:val="18"/>
          <w:color w:val="auto"/>
        </w:rPr>
      </w:pPr>
    </w:p>
    <w:p>
      <w:pPr>
        <w:ind w:right="100" w:firstLine="1436"/>
        <w:spacing w:after="0" w:line="264" w:lineRule="auto"/>
        <w:tabs>
          <w:tab w:leader="none" w:pos="1783" w:val="left"/>
        </w:tabs>
        <w:numPr>
          <w:ilvl w:val="2"/>
          <w:numId w:val="132"/>
        </w:numPr>
        <w:rPr>
          <w:rFonts w:ascii="Arial" w:cs="Arial" w:eastAsia="Arial" w:hAnsi="Arial"/>
          <w:sz w:val="18"/>
          <w:szCs w:val="18"/>
          <w:color w:val="auto"/>
        </w:rPr>
      </w:pPr>
      <w:r>
        <w:rPr>
          <w:rFonts w:ascii="Arial" w:cs="Arial" w:eastAsia="Arial" w:hAnsi="Arial"/>
          <w:sz w:val="18"/>
          <w:szCs w:val="18"/>
          <w:color w:val="auto"/>
        </w:rPr>
        <w:t>Normal production runs shall require Premier to provide at least two (2) non-work hour phone numbers for Premier employees who can be contacted in the event a problem occurs during a production run not being conducted during normal business hours. Said contacts and contact information shall be listed in Schedule D.</w:t>
      </w:r>
    </w:p>
    <w:p>
      <w:pPr>
        <w:spacing w:after="0" w:line="181" w:lineRule="exact"/>
        <w:rPr>
          <w:rFonts w:ascii="Arial" w:cs="Arial" w:eastAsia="Arial" w:hAnsi="Arial"/>
          <w:sz w:val="18"/>
          <w:szCs w:val="18"/>
          <w:color w:val="auto"/>
        </w:rPr>
      </w:pPr>
    </w:p>
    <w:p>
      <w:pPr>
        <w:ind w:left="1840" w:hanging="404"/>
        <w:spacing w:after="0"/>
        <w:tabs>
          <w:tab w:leader="none" w:pos="184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Heritage shall keep retention samples in accordance with Schedule B.</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Heritage shall not modify any processing instructions or Specifications without obtaining Premier’s prior written consent.</w:t>
      </w:r>
    </w:p>
    <w:p>
      <w:pPr>
        <w:spacing w:after="0" w:line="236" w:lineRule="exact"/>
        <w:rPr>
          <w:rFonts w:ascii="Arial" w:cs="Arial" w:eastAsia="Arial" w:hAnsi="Arial"/>
          <w:sz w:val="17"/>
          <w:szCs w:val="17"/>
          <w:color w:val="auto"/>
        </w:rPr>
      </w:pPr>
    </w:p>
    <w:p>
      <w:pPr>
        <w:ind w:right="240" w:firstLine="1436"/>
        <w:spacing w:after="0" w:line="264" w:lineRule="auto"/>
        <w:tabs>
          <w:tab w:leader="none" w:pos="1873" w:val="left"/>
        </w:tabs>
        <w:numPr>
          <w:ilvl w:val="2"/>
          <w:numId w:val="132"/>
        </w:numPr>
        <w:rPr>
          <w:rFonts w:ascii="Arial" w:cs="Arial" w:eastAsia="Arial" w:hAnsi="Arial"/>
          <w:sz w:val="18"/>
          <w:szCs w:val="18"/>
          <w:color w:val="auto"/>
        </w:rPr>
      </w:pPr>
      <w:r>
        <w:rPr>
          <w:rFonts w:ascii="Arial" w:cs="Arial" w:eastAsia="Arial" w:hAnsi="Arial"/>
          <w:sz w:val="18"/>
          <w:szCs w:val="18"/>
          <w:color w:val="auto"/>
        </w:rPr>
        <w:t>Heritage shall evaluate Products on a regular schedule at a sufficient frequency to confirm that Products meet the Specifications, including the Post Holdings Quality Expectations Manual. Any Products not conforming to the Specifications shall not be released for shipment.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0" w:name="page221"/>
    <w:bookmarkEnd w:id="220"/>
    <w:p>
      <w:pPr>
        <w:ind w:left="960" w:hanging="544"/>
        <w:spacing w:after="0"/>
        <w:tabs>
          <w:tab w:leader="none" w:pos="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w:t>
      </w:r>
    </w:p>
    <w:p>
      <w:pPr>
        <w:spacing w:after="0" w:line="121" w:lineRule="exact"/>
        <w:rPr>
          <w:rFonts w:ascii="Arial" w:cs="Arial" w:eastAsia="Arial" w:hAnsi="Arial"/>
          <w:sz w:val="18"/>
          <w:szCs w:val="18"/>
          <w:b w:val="1"/>
          <w:bCs w:val="1"/>
          <w:color w:val="auto"/>
        </w:rPr>
      </w:pPr>
    </w:p>
    <w:p>
      <w:pPr>
        <w:ind w:left="-20" w:right="20" w:firstLine="996"/>
        <w:spacing w:after="0" w:line="254" w:lineRule="auto"/>
        <w:tabs>
          <w:tab w:leader="none" w:pos="135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Premier shall indemnify, defend and hold Heritage harmless from and against any and all loss, cost, expense, claim, suit, damage or liability (including reasonable attorneys’ fees and court costs) (collectively “Losses”) arising out of or relating to an infringement or alleged infringement of any Trademarks or Copyrights in connection with the Products to the extent Heritage follows Premier’s instructions with regard to the proper display and use of the Trademarks and Copyrights. In addition, Premier shall indemnify, defend and hold Heritage harmless from and against any and all Losses arising out of or relating to: (i) Heritage’s adherence to the Product Specifications, identified in Schedule A, or written orders or instructions given by Premier to Heritage relating to the manufacture or packaging of Products; (ii) Premier’s breach of any of its obligations contained herein; and (iii) the storage, sale, marketing, distribution and consumption of the Products, other than any Losses which would be covered under Section 7(b) hereof.</w:t>
      </w:r>
    </w:p>
    <w:p>
      <w:pPr>
        <w:spacing w:after="0" w:line="192" w:lineRule="exact"/>
        <w:rPr>
          <w:rFonts w:ascii="Arial" w:cs="Arial" w:eastAsia="Arial" w:hAnsi="Arial"/>
          <w:sz w:val="18"/>
          <w:szCs w:val="18"/>
          <w:color w:val="auto"/>
        </w:rPr>
      </w:pPr>
    </w:p>
    <w:p>
      <w:pPr>
        <w:ind w:left="-20" w:right="20" w:firstLine="996"/>
        <w:spacing w:after="0" w:line="255" w:lineRule="auto"/>
        <w:tabs>
          <w:tab w:leader="none" w:pos="136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Heritage shall indemnify, defend and hold Premier harmless from and against any Losses arising out of or relating to (i) Heritage’s or Jasper’s negligence or willful misconduct, (ii) the manufacturing, packaging, storing and consumption of the Products (except to the extent resulting from Heritage’s compliance with Premier’s Specifications), (iii) any breach of the Agreement by Heritage or (iv) ingredients or packaging materials purchased by Heritage or Jasper. Heritage shall not be responsible for any Losses arising out of or attributable to Heritage’s manufacturing of the Products in adherence with the Product Specifications, this Agreement, or any written orders or instruction(s) from Premier regarding the manufacture or packaging of the Products, as set forth in Section 7(a) above.</w:t>
      </w:r>
    </w:p>
    <w:p>
      <w:pPr>
        <w:spacing w:after="0" w:line="193" w:lineRule="exact"/>
        <w:rPr>
          <w:rFonts w:ascii="Arial" w:cs="Arial" w:eastAsia="Arial" w:hAnsi="Arial"/>
          <w:sz w:val="18"/>
          <w:szCs w:val="18"/>
          <w:color w:val="auto"/>
        </w:rPr>
      </w:pPr>
    </w:p>
    <w:p>
      <w:pPr>
        <w:ind w:left="-20" w:firstLine="996"/>
        <w:spacing w:after="0" w:line="302" w:lineRule="auto"/>
        <w:tabs>
          <w:tab w:leader="none" w:pos="134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Party seeking indemnification shall promptly notify the other Party hereto in writing of any suit, claim, or damage for which such Party has notice and to which these provisions may apply. In the event suit is commenced, the indemnifying Party shall have the right to control the defense of any such suit at its own cost. The appearance of the indemnifying Party in such proceeding shall not be construed as an admission of liability and shall not constitute a waiver of any of its rights, including, but not limited to, the indemnifying Party’s right to hire its own counsel.</w:t>
      </w:r>
    </w:p>
    <w:p>
      <w:pPr>
        <w:spacing w:after="0" w:line="298" w:lineRule="exact"/>
        <w:rPr>
          <w:rFonts w:ascii="Arial" w:cs="Arial" w:eastAsia="Arial" w:hAnsi="Arial"/>
          <w:sz w:val="16"/>
          <w:szCs w:val="16"/>
          <w:color w:val="auto"/>
        </w:rPr>
      </w:pPr>
    </w:p>
    <w:p>
      <w:pPr>
        <w:ind w:left="960" w:hanging="544"/>
        <w:spacing w:after="0"/>
        <w:tabs>
          <w:tab w:leader="none" w:pos="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RISK OF LOSS AND INSURANCE</w:t>
      </w:r>
    </w:p>
    <w:p>
      <w:pPr>
        <w:spacing w:after="0" w:line="121" w:lineRule="exact"/>
        <w:rPr>
          <w:rFonts w:ascii="Arial" w:cs="Arial" w:eastAsia="Arial" w:hAnsi="Arial"/>
          <w:sz w:val="18"/>
          <w:szCs w:val="18"/>
          <w:b w:val="1"/>
          <w:bCs w:val="1"/>
          <w:color w:val="auto"/>
        </w:rPr>
      </w:pPr>
    </w:p>
    <w:p>
      <w:pPr>
        <w:ind w:left="-20" w:right="360" w:firstLine="996"/>
        <w:spacing w:after="0" w:line="259" w:lineRule="auto"/>
        <w:tabs>
          <w:tab w:leader="none" w:pos="134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Title to the Products shall be in and remain with Premier from the date Products are delivered to a carrier pursuant to Premier’s instructions for delivery to Premier. Heritage shall bear the risk of loss to the Products until the Products are delivered to such carrier for delivery to Premier as set forth herein. Risk of loss to the Products shall also be with Heritage during shipment between the Heritage Facilities pursuant to Section 2.</w:t>
      </w:r>
    </w:p>
    <w:p>
      <w:pPr>
        <w:spacing w:after="0" w:line="186" w:lineRule="exact"/>
        <w:rPr>
          <w:rFonts w:ascii="Arial" w:cs="Arial" w:eastAsia="Arial" w:hAnsi="Arial"/>
          <w:sz w:val="18"/>
          <w:szCs w:val="18"/>
          <w:color w:val="auto"/>
        </w:rPr>
      </w:pPr>
    </w:p>
    <w:p>
      <w:pPr>
        <w:ind w:left="1360" w:hanging="384"/>
        <w:spacing w:after="0"/>
        <w:tabs>
          <w:tab w:leader="none" w:pos="13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Heritage and Jasper shall maintain insurance of the following kinds and in the following amounts during the Term of this Agreement:</w:t>
      </w:r>
    </w:p>
    <w:p>
      <w:pPr>
        <w:spacing w:after="0" w:line="153" w:lineRule="exact"/>
        <w:rPr>
          <w:rFonts w:ascii="Arial" w:cs="Arial" w:eastAsia="Arial" w:hAnsi="Arial"/>
          <w:sz w:val="16"/>
          <w:szCs w:val="16"/>
          <w:color w:val="auto"/>
        </w:rPr>
      </w:pPr>
    </w:p>
    <w:p>
      <w:pPr>
        <w:ind w:left="1960" w:right="40" w:hanging="545"/>
        <w:spacing w:after="0" w:line="264" w:lineRule="auto"/>
        <w:tabs>
          <w:tab w:leader="none" w:pos="19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Commercial General Liability Insurance with a limit of $[***] each occurrence and $[***] in the aggregate, including Contractual, Completed-Operations and Product-Liability Coverage with a limit of $[***] or each occurrence, covering both bodily injury and property damage liability.</w:t>
      </w:r>
    </w:p>
    <w:p>
      <w:pPr>
        <w:spacing w:after="0" w:line="86" w:lineRule="exact"/>
        <w:rPr>
          <w:rFonts w:ascii="Arial" w:cs="Arial" w:eastAsia="Arial" w:hAnsi="Arial"/>
          <w:sz w:val="18"/>
          <w:szCs w:val="18"/>
          <w:color w:val="auto"/>
        </w:rPr>
      </w:pPr>
    </w:p>
    <w:p>
      <w:pPr>
        <w:ind w:left="1960" w:hanging="545"/>
        <w:spacing w:after="0"/>
        <w:tabs>
          <w:tab w:leader="none" w:pos="19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Umbrella/Excess Liability with a limit of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221" w:name="page222"/>
    <w:bookmarkEnd w:id="221"/>
    <w:p>
      <w:pPr>
        <w:ind w:left="1980" w:right="100" w:hanging="545"/>
        <w:spacing w:after="0" w:line="264"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Workers’ Compensation Coverage plus Occupational Disease Insurance if Occupational Disease coverage is required by the laws of the state where the Facility is located or work is to be performed. Employers Liability $[***] each accident; $[***] disease, each employee; $[***] disease, policy limit</w:t>
      </w:r>
    </w:p>
    <w:p>
      <w:pPr>
        <w:spacing w:after="0" w:line="86" w:lineRule="exact"/>
        <w:rPr>
          <w:rFonts w:ascii="Arial" w:cs="Arial" w:eastAsia="Arial" w:hAnsi="Arial"/>
          <w:sz w:val="18"/>
          <w:szCs w:val="18"/>
          <w:color w:val="auto"/>
        </w:rPr>
      </w:pPr>
    </w:p>
    <w:p>
      <w:pPr>
        <w:ind w:left="1980" w:hanging="545"/>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Auto Liability $[***] combined single limit</w:t>
      </w:r>
    </w:p>
    <w:p>
      <w:pPr>
        <w:spacing w:after="0" w:line="130" w:lineRule="exact"/>
        <w:rPr>
          <w:rFonts w:ascii="Arial" w:cs="Arial" w:eastAsia="Arial" w:hAnsi="Arial"/>
          <w:sz w:val="18"/>
          <w:szCs w:val="18"/>
          <w:color w:val="auto"/>
        </w:rPr>
      </w:pPr>
    </w:p>
    <w:p>
      <w:pPr>
        <w:ind w:left="1980" w:right="640" w:hanging="545"/>
        <w:spacing w:after="0" w:line="342" w:lineRule="auto"/>
        <w:tabs>
          <w:tab w:leader="none" w:pos="1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Product Recall Insurance coverage for Products determined to be in violation of laws administered by the authorized government entity who classifies the Products as unfit for intended use with limits of $[***] per policy year.</w:t>
      </w:r>
    </w:p>
    <w:p>
      <w:pPr>
        <w:spacing w:after="0" w:line="12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Heritage and Jasper shall have Premier named as an additional insured on its insurance policies in subparts i, ii and iv above. Heritage and Jasper shall furnish Premier with a certificate from its insurer verifying that it has the above insurance in effect during the duration of this Agreement and that insurer acknowledges (a) the contractual liability assumed by Heritage and Jasper in this Agreement and (b) that Premier is an additional insured on such policies and (c) Heritage’s and Jasper’s CGL policies are primary and Premier’s CGL policy is non-contributory and (d) a waiver of subrogation shall be provided in favor of Premier on the CGL, Workers’ Compensation and Auto policies. Said certificate of insurance shall require Heritage’s and Jasper’s insurance carrier to give Premier [***] written notice of any cancellation or change in coverage. Failure to provide such certificate within [***] shall constitute a breach of this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Certificate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Certificate holder language must read: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Premier Nutrition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5905 Christie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Emeryville, CA 94608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send certificates to: [***]</w:t>
      </w:r>
    </w:p>
    <w:p>
      <w:pPr>
        <w:spacing w:after="0" w:line="370" w:lineRule="exact"/>
        <w:rPr>
          <w:sz w:val="20"/>
          <w:szCs w:val="20"/>
          <w:color w:val="auto"/>
        </w:rPr>
      </w:pPr>
    </w:p>
    <w:p>
      <w:pPr>
        <w:ind w:left="980" w:hanging="544"/>
        <w:spacing w:after="0"/>
        <w:tabs>
          <w:tab w:leader="none" w:pos="9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Each Party recognizes that in the performance of this Agreement, it may acquire, directly or indirectly from the other Party, proprietary, confidential, trade secret, or information that is not otherwise available to the general public (“Confidential Information”). Each Party shall maintain control of all Confidential Information it receives and not disclose it or use it for any other purpose other than to perform its obligations under this Agreement. Each Party shall return the Confidential Information, along with all materials derived therefrom, to the disclosing Party upon demand or, destroy them and provide verification of destruction upon the termination of this Agreement at the request of the disclosing Party. Each Party acknowledges that the value of the other Party’s Confidential Information is unique and substantial, and it may be impractical or difficult to assess its value in monetary terms. Accordingly, in the event of an actual or potential violation of this paragraph, the violating Party expressly consents to the enforcement of this Agreement by injunctive relief or specific performance in addition to any and all other remedies available to them. The Parties also agree to treat the terms and conditions of this Agreement as Confidential Information.</w:t>
      </w:r>
    </w:p>
    <w:p>
      <w:pPr>
        <w:spacing w:after="0" w:line="18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term Confidential Information shall not apply to portions of the Confidential Information that Party receiving it can show: (i) are or become generally available to the public other than as a result of a disclosure by the receiving Party; (ii) are in the receiving Party’s possession from a source (other than the furnishing Party) that is not prohibited from disclosing such information, (iii) was known to the receiving Party prior to disclosure thereof by the furnishing Party; or (iv) are independently developed by the receiving Party without the use of any non-public, confidential or proprietary information received from the furnishing Party. A Party shall be entitled to disclose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2" w:name="page223"/>
    <w:bookmarkEnd w:id="2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Party’s Confidential Information as required pursuant to judicial action, governmental regulations or investigation, or other requirements. Such Party shall, to the extent allowed or permitted by the applicable judicial action, governmental regulation or investigation or other requirements, promptly notify the Party that furnished the Confidential Information prior to any such disclosure, and reasonably cooperate (at the request and expense of the furnishing Party) with the furnishing Party to contest or limit such disclosure.</w:t>
      </w:r>
    </w:p>
    <w:p>
      <w:pPr>
        <w:spacing w:after="0" w:line="331" w:lineRule="exact"/>
        <w:rPr>
          <w:sz w:val="20"/>
          <w:szCs w:val="20"/>
          <w:color w:val="auto"/>
        </w:rPr>
      </w:pPr>
    </w:p>
    <w:p>
      <w:pPr>
        <w:ind w:left="980" w:hanging="544"/>
        <w:spacing w:after="0"/>
        <w:tabs>
          <w:tab w:leader="none" w:pos="9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In the event that either Party shall be totally or partially unable to fulfill one or more of its obligations hereunder as a result of acts or occurrences beyond the control of the Party affected, such as, but not limited to, actions, omissions or impositions by local, state or federal governmental authorities, fire, flood, earthquake or other natural disasters, acts of God, revolution, strikes or fuel shortages, the Party so affected shall be totally or partially relieved from fulfilling its obligations under this Agreement during the period of such force majeure; provided, however, that the affected Party shall notify the other Party of the circumstances as soon as reasonably possible; and further provided that if such period of force majeure shall continue for a period of [***] or more, the Party not affected shall be entitled to terminate this Agreement by giving notice to take effect immediately. The foregoing shall not relieve either Party of any obligation to make payments required pursuant to this Agreement in accordance with the terms hereof. Notwithstanding the foregoing, in the event there is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at either Heritage production facility, then the </w:t>
      </w:r>
      <w:r>
        <w:rPr>
          <w:rFonts w:ascii="Arial" w:cs="Arial" w:eastAsia="Arial" w:hAnsi="Arial"/>
          <w:sz w:val="17"/>
          <w:szCs w:val="17"/>
          <w:i w:val="1"/>
          <w:iCs w:val="1"/>
          <w:color w:val="auto"/>
        </w:rPr>
        <w:t>non-force majeure</w:t>
      </w:r>
      <w:r>
        <w:rPr>
          <w:rFonts w:ascii="Arial" w:cs="Arial" w:eastAsia="Arial" w:hAnsi="Arial"/>
          <w:sz w:val="17"/>
          <w:szCs w:val="17"/>
          <w:color w:val="auto"/>
        </w:rPr>
        <w:t xml:space="preserve"> facility shall not be required to produce the total production quantities agreed upon for both facilities. However, the non-force majeure facility shall use commercially reasonable efforts to produce as much Product as possible for Premier during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period. Heritage shall not be responsible for any excess freight expense on Product incurred by Premier due to the </w:t>
      </w:r>
      <w:r>
        <w:rPr>
          <w:rFonts w:ascii="Arial" w:cs="Arial" w:eastAsia="Arial" w:hAnsi="Arial"/>
          <w:sz w:val="17"/>
          <w:szCs w:val="17"/>
          <w:i w:val="1"/>
          <w:iCs w:val="1"/>
          <w:color w:val="auto"/>
        </w:rPr>
        <w:t>force majeure</w:t>
      </w:r>
      <w:r>
        <w:rPr>
          <w:rFonts w:ascii="Arial" w:cs="Arial" w:eastAsia="Arial" w:hAnsi="Arial"/>
          <w:sz w:val="17"/>
          <w:szCs w:val="17"/>
          <w:color w:val="auto"/>
        </w:rPr>
        <w:t>.</w:t>
      </w:r>
    </w:p>
    <w:p>
      <w:pPr>
        <w:spacing w:after="0" w:line="328" w:lineRule="exact"/>
        <w:rPr>
          <w:sz w:val="20"/>
          <w:szCs w:val="20"/>
          <w:color w:val="auto"/>
        </w:rPr>
      </w:pPr>
    </w:p>
    <w:p>
      <w:pPr>
        <w:ind w:left="980" w:hanging="544"/>
        <w:spacing w:after="0"/>
        <w:tabs>
          <w:tab w:leader="none" w:pos="9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right="100" w:firstLine="996"/>
        <w:spacing w:after="0" w:line="255" w:lineRule="auto"/>
        <w:tabs>
          <w:tab w:leader="none" w:pos="136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shall terminate automatically without notice on December 31, 2022, unless the Parties agree in writing to extend the term of the Agreement (the initial term and any renewal terms are referred to collectively herein as the “Term”). Either Party may terminate this Agreement immediately without notice should the other Party fail to cure, within [***] after receipt of written notice thereof, any material breach of its obligations or duties hereunder, provided, however that in the event of a material breach that cannot be cured within [***], a Party shall not be deemed in default if it commences curing such default within the [***] period, notifies the other Party of that commencement by e-mail, and thereafter cures such default within [***] of the original written notice thereof. The following provisions shall survive termination or expiration of this Agreement:</w:t>
      </w:r>
    </w:p>
    <w:p>
      <w:pPr>
        <w:spacing w:after="0" w:line="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2(o) (warranties);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2(p)(q), 3(e) audit rights/access;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Schedule B (records);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 (Indemnification); and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8 (Risk of Loss and Insurance)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9 (Confidentiality).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Premier shall remain as an additional insured on the Heritage’s policies, for [***]. If either Party shall file a voluntary petition in bankruptcy, be declared bankrupt, make an assignment for the benefit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3" w:name="page224"/>
    <w:bookmarkEnd w:id="22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creditors, or suffer the appointment of a receiver or a trustee of its assets, that Party shall be in breach of this Agreement and the other Party shall have the right to terminate this Agreement by giving written notice to take effect immediately.</w:t>
      </w:r>
    </w:p>
    <w:p>
      <w:pPr>
        <w:spacing w:after="0" w:line="170" w:lineRule="exact"/>
        <w:rPr>
          <w:sz w:val="20"/>
          <w:szCs w:val="20"/>
          <w:color w:val="auto"/>
        </w:rPr>
      </w:pPr>
    </w:p>
    <w:p>
      <w:pPr>
        <w:ind w:right="100" w:firstLine="996"/>
        <w:spacing w:after="0" w:line="288" w:lineRule="auto"/>
        <w:tabs>
          <w:tab w:leader="none" w:pos="138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So long as Premier has satisfied its payment obligations to Heritage pursuant to Section 3, upon termination or expiration of this Agreement, any releasable Product in Heritage’s possession shall be promptly delivered to Premier within [***]. In addition, Premier shall purchase all Products and ingredients, packaging and material Heritage has on hand and not previously billed to Premier at the time of the termination that are used solely for the production of the Products, if any exist. The ingredients, packaging, and materials used solely for Premier shall be so identified in Schedule C and shall not exceed a [***] supply as calculated based on the previous [***] usage for the material in question. If the vendor’s minimum order quantity for a particular material exceeds a [***] supply, then Heritage shall obtain permission from Premier to order such quantity. If Premier grants permission to order the quantity greater than a [***] supply, then Heritage shall not be liable for the excess inventory of this particular material. The cost of all ingredients and packaging material to be purchased by Premier shall be [***]. In the event that Premier has defaulted in its payment obligations hereunder, and failed to cure such default following notice as set forth in Section 11(a), Heritage shall have no obligation to deliver such releasable Product to Premier. In no event, however, shall Heritage have the right to resell or otherwise use the releasable Product held in its custody.</w:t>
      </w:r>
    </w:p>
    <w:p>
      <w:pPr>
        <w:spacing w:after="0" w:line="313" w:lineRule="exact"/>
        <w:rPr>
          <w:rFonts w:ascii="Arial" w:cs="Arial" w:eastAsia="Arial" w:hAnsi="Arial"/>
          <w:sz w:val="16"/>
          <w:szCs w:val="16"/>
          <w:color w:val="auto"/>
        </w:rPr>
      </w:pPr>
    </w:p>
    <w:p>
      <w:pPr>
        <w:ind w:left="980" w:hanging="544"/>
        <w:spacing w:after="0"/>
        <w:tabs>
          <w:tab w:leader="none" w:pos="9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Venue for any litigation arising out of this Agreement shall be in any court of competent jurisdiction located in San Francisco, California. The Parties hereby submit to the jurisdiction of that state for such purposes. All matters relating to this Agreement, the rights of the Parties hereunder and the construction of the terms hereof shall be governed by the laws of the State of California, without regard to conflicts of laws principles.</w:t>
      </w:r>
    </w:p>
    <w:p>
      <w:pPr>
        <w:spacing w:after="0" w:line="310" w:lineRule="exact"/>
        <w:rPr>
          <w:sz w:val="20"/>
          <w:szCs w:val="20"/>
          <w:color w:val="auto"/>
        </w:rPr>
      </w:pPr>
    </w:p>
    <w:p>
      <w:pPr>
        <w:ind w:left="980" w:hanging="544"/>
        <w:spacing w:after="0"/>
        <w:tabs>
          <w:tab w:leader="none" w:pos="9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Except as otherwise expressly set forth in this Agreement, all consents, authorizations, agreements, approvals, notices, demands and other communications to be given or delivered under or by reason of the provisions of this Agreement shall be in writing and shall be deemed to have been given when delivered personally or by documented overnight delivery services, or sent by facsimile or other electronic transmission service provided they are sent in a manner that provides confirmation of their receipt. Notices, demands, and communications to the respective Parties shall, unless another address is specified in writing, be sent to the address indicated below:</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Notice to PREMIER:</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VP Operations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Premier Nutrition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188 Spear Street, Suite 600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Francisco, CA 94608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24" w:name="page225"/>
    <w:bookmarkEnd w:id="224"/>
    <w:p>
      <w:pPr>
        <w:ind w:lef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JASPER/HERITAGE: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Stremicks Heritage Foods,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4002 Westminster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Ana, CA 92703-1310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President of Jasper Products,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355" w:lineRule="exact"/>
        <w:rPr>
          <w:sz w:val="20"/>
          <w:szCs w:val="20"/>
          <w:color w:val="auto"/>
        </w:rPr>
      </w:pPr>
    </w:p>
    <w:p>
      <w:pPr>
        <w:ind w:left="980" w:hanging="544"/>
        <w:spacing w:after="0"/>
        <w:tabs>
          <w:tab w:leader="none" w:pos="9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TERMS</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terms of this Agreement shall supersede and take precedent over any conflicting terms found in any purchase order issued by Premier or any invoice issued by Heritage.</w:t>
      </w:r>
    </w:p>
    <w:p>
      <w:pPr>
        <w:spacing w:after="0" w:line="315" w:lineRule="exact"/>
        <w:rPr>
          <w:sz w:val="20"/>
          <w:szCs w:val="20"/>
          <w:color w:val="auto"/>
        </w:rPr>
      </w:pPr>
    </w:p>
    <w:p>
      <w:pPr>
        <w:ind w:left="980" w:hanging="544"/>
        <w:spacing w:after="0"/>
        <w:tabs>
          <w:tab w:leader="none" w:pos="9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121"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The failure of either Party to assert a right hereunder or to insist upon compliance with any terms or condition of this Agreement shall not constitute a waiver of that right or excuse the subsequent performance or non-performance of any such term or condition by the other Party.</w:t>
      </w:r>
    </w:p>
    <w:p>
      <w:pPr>
        <w:spacing w:after="0" w:line="268" w:lineRule="exact"/>
        <w:rPr>
          <w:sz w:val="20"/>
          <w:szCs w:val="20"/>
          <w:color w:val="auto"/>
        </w:rPr>
      </w:pPr>
    </w:p>
    <w:p>
      <w:pPr>
        <w:ind w:left="980" w:hanging="544"/>
        <w:spacing w:after="0"/>
        <w:tabs>
          <w:tab w:leader="none" w:pos="9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HEADINGS</w:t>
      </w:r>
    </w:p>
    <w:p>
      <w:pPr>
        <w:spacing w:after="0" w:line="12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This Agreement, schedules or addenda attached hereto and incorporated herein, as amended from time to time, constitute the entire agreement of the Parties relating to the manufacture, packaging, storage, and shipping of the Products, and any prior or contemporaneous agreements or understandings relating thereto are superseded hereby. This Agreement may not be amended except by an instrument in writing duly executed on behalf of the Party against whom such amendment is sought to be enforced. All headings utilized herein are inserted for reference only and shall have no effect on the meaning or construction of any terms of this Agreement. Notwithstanding the above, Premier shall have the right to supplement, modify or amend, from time to time, the Specifications set forth on Schedule A attached hereto; provided, however, that no such modification or amendment shall become part of this Agreement until the same is delivered in writing to Heritage. All such modified products and their formulations are and shall remain the proprietary and sole property of Premier unless otherwise specified.</w:t>
      </w:r>
    </w:p>
    <w:p>
      <w:pPr>
        <w:spacing w:after="0" w:line="324" w:lineRule="exact"/>
        <w:rPr>
          <w:sz w:val="20"/>
          <w:szCs w:val="20"/>
          <w:color w:val="auto"/>
        </w:rPr>
      </w:pPr>
    </w:p>
    <w:p>
      <w:pPr>
        <w:ind w:left="980" w:hanging="544"/>
        <w:spacing w:after="0"/>
        <w:tabs>
          <w:tab w:leader="none" w:pos="9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Agreement, schedules or addenda attached hereto and incorporated herein, shall be binding upon and shall inure to the benefit of the Parties hereto and their respective assignees and successors in interest. This Agreement is not assignable or transferable by either Party, in whole or in part, without the prior written consent of the other Party; provided, however that Premier may assign this Agreement in the event that Premier is sold, merged into or with another entity, or undergoes a “change in control”. “Change in control” shall include without limitation (i) the cumulative sale, assignment or other transfer of voting or beneficial equity securities of Premier representing more than fifty percent (50%) of its voting or beneficial equity securities; (ii) Premier being a constituent party to a merger, reorganization or similar transaction; or (iii) a sale, assignment or other transfer of substantially all of Premier s assets or business.</w:t>
      </w:r>
    </w:p>
    <w:p>
      <w:pPr>
        <w:spacing w:after="0" w:line="334" w:lineRule="exact"/>
        <w:rPr>
          <w:sz w:val="20"/>
          <w:szCs w:val="20"/>
          <w:color w:val="auto"/>
        </w:rPr>
      </w:pPr>
    </w:p>
    <w:p>
      <w:pPr>
        <w:ind w:left="980" w:hanging="544"/>
        <w:spacing w:after="0"/>
        <w:tabs>
          <w:tab w:leader="none" w:pos="9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AND NON-COMPETITION</w:t>
      </w:r>
    </w:p>
    <w:p>
      <w:pPr>
        <w:spacing w:after="0" w:line="121" w:lineRule="exact"/>
        <w:rPr>
          <w:rFonts w:ascii="Arial" w:cs="Arial" w:eastAsia="Arial" w:hAnsi="Arial"/>
          <w:sz w:val="18"/>
          <w:szCs w:val="18"/>
          <w:b w:val="1"/>
          <w:bCs w:val="1"/>
          <w:color w:val="auto"/>
        </w:rPr>
      </w:pPr>
    </w:p>
    <w:p>
      <w:pPr>
        <w:ind w:right="300" w:firstLine="996"/>
        <w:spacing w:after="0" w:line="264" w:lineRule="auto"/>
        <w:tabs>
          <w:tab w:leader="none" w:pos="137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Nothing herein shall be construed to create a requirements contract or to require Premier to purchase any Products, other than the Minimum Annual Order Volume as specified in 2 (c). Premier reserves the right to buy Products or similar product from other co-packers, manufacturers, or third-parties.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25" w:name="page226"/>
    <w:bookmarkEnd w:id="225"/>
    <w:p>
      <w:pPr>
        <w:ind w:left="1380" w:hanging="384"/>
        <w:spacing w:after="0"/>
        <w:tabs>
          <w:tab w:leader="none" w:pos="13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369" w:lineRule="exact"/>
        <w:rPr>
          <w:rFonts w:ascii="Arial" w:cs="Arial" w:eastAsia="Arial" w:hAnsi="Arial"/>
          <w:sz w:val="18"/>
          <w:szCs w:val="18"/>
          <w:color w:val="auto"/>
        </w:rPr>
      </w:pPr>
    </w:p>
    <w:p>
      <w:pPr>
        <w:ind w:left="980" w:hanging="544"/>
        <w:spacing w:after="0"/>
        <w:tabs>
          <w:tab w:leader="none" w:pos="9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ATTORNEY FEES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Should either Heritage or Premier be required to institute legal action to enforce any of its rights set forth in this Agreement, then the prevailing Party shall be entitled to reimbursement for all reasonable attorneys’ fees and costs incurred as determined by the court in any such action. If Heritage or Premier become engaged in litigation (i) that is in any way connected with this Agreement and (ii) in which either or both of the Parties assert and file one or more claims against the other, the prevailing Party shall be entitled to an award of reasonable attorneys’ fees, court costs and out-of-pocket expenses, as determined by the trial court.</w:t>
      </w:r>
    </w:p>
    <w:p>
      <w:pPr>
        <w:spacing w:after="0" w:line="333" w:lineRule="exact"/>
        <w:rPr>
          <w:sz w:val="20"/>
          <w:szCs w:val="20"/>
          <w:color w:val="auto"/>
        </w:rPr>
      </w:pPr>
    </w:p>
    <w:p>
      <w:pPr>
        <w:ind w:left="980" w:hanging="544"/>
        <w:spacing w:after="0"/>
        <w:tabs>
          <w:tab w:leader="none" w:pos="9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The relationship of Heritage to Premier under this Agreement shall be that of an independent contractor and no agency or employment relationship shall be implied by this Agreement. Accordingly, Heritage shall be responsible for payment of all taxes including federal, state and local taxes arising out of Heritage’s activities under this Agreement, including, but not limited to, federal and state income tax, social security tax, unemployment insurance tax, and any other taxes or business license fees as required.</w:t>
      </w:r>
    </w:p>
    <w:p>
      <w:pPr>
        <w:spacing w:after="0" w:line="331" w:lineRule="exact"/>
        <w:rPr>
          <w:sz w:val="20"/>
          <w:szCs w:val="20"/>
          <w:color w:val="auto"/>
        </w:rPr>
      </w:pPr>
    </w:p>
    <w:p>
      <w:pPr>
        <w:ind w:left="980" w:hanging="544"/>
        <w:spacing w:after="0"/>
        <w:tabs>
          <w:tab w:leader="none" w:pos="9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PRODUCT RECALLS</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Premier shall have the sole right, exercisable in its discretion, to initiate and direct the content and scope of a recall, market withdrawal, stock recovery, product correction and/or advisory safety communication (any one or more referred to as a “Recall Action”) regarding the Products. At Premier’s option, Premier can direct Heritage to, and upon such direction Heritage shall, conduct such Recall Action (and Heritage shall ensure Jasper’s cooperation). Premier shall determine, in its sole discretion, the manner, text and timing of any publicity to be given such matters upon prior consultation with Heritage. In the event a Recall Action is initiated or directed by Premier, Heritage agrees to fully cooperate and take all such steps as are reasonably requested to implement the Recall Action in a timely and complete manner. Any and all action to be taken in connection with a Recall Action shall be in accordance with FDA policies and other applicable laws and regulations. Heritage shall bear all costs, fees and out-of-pocket expenses associated with any Recall Action which results from (i) Heritage’s or Jasper’s negligence or willful misconduct, (ii) Heritage’s or Jasper’s failure to comply with Product Specifications or the Post Holdings Quality Expectations Manual set forth on Schedule A, (iii) any breach of this Agreement by Heritage or (iv) ingredients or packaging materials purchased by Heritage or Jasper. In all other cases, Premier shall bear all costs associated with any Recall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[Signature </w:t>
      </w:r>
      <w:r>
        <w:rPr>
          <w:rFonts w:ascii="Arial" w:cs="Arial" w:eastAsia="Arial" w:hAnsi="Arial"/>
          <w:sz w:val="18"/>
          <w:szCs w:val="18"/>
          <w:i w:val="1"/>
          <w:iCs w:val="1"/>
          <w:color w:val="auto"/>
        </w:rPr>
        <w:t>Page Next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26" w:name="page227"/>
    <w:bookmarkEnd w:id="226"/>
    <w:p>
      <w:pPr>
        <w:ind w:right="3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/s/ 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/s/ Sam Stremick</w:t>
            </w: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NAME (print):</w:t>
            </w: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NAME (print):</w:t>
            </w:r>
          </w:p>
        </w:tc>
        <w:tc>
          <w:tcPr>
            <w:tcW w:w="1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c>
          <w:tcPr>
            <w:tcW w:w="1900" w:type="dxa"/>
            <w:vAlign w:val="bottom"/>
          </w:tcPr>
          <w:p>
            <w:pPr>
              <w:ind w:left="700"/>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spacing w:after="0"/>
              <w:rPr>
                <w:sz w:val="20"/>
                <w:szCs w:val="20"/>
                <w:color w:val="auto"/>
              </w:rPr>
            </w:pPr>
            <w:r>
              <w:rPr>
                <w:rFonts w:ascii="Arial" w:cs="Arial" w:eastAsia="Arial" w:hAnsi="Arial"/>
                <w:sz w:val="18"/>
                <w:szCs w:val="18"/>
                <w:color w:val="auto"/>
              </w:rPr>
              <w:t>1/8/18</w:t>
            </w:r>
          </w:p>
        </w:tc>
        <w:tc>
          <w:tcPr>
            <w:tcW w:w="1900" w:type="dxa"/>
            <w:vAlign w:val="bottom"/>
          </w:tcPr>
          <w:p>
            <w:pPr>
              <w:ind w:left="700"/>
              <w:spacing w:after="0"/>
              <w:rPr>
                <w:sz w:val="20"/>
                <w:szCs w:val="20"/>
                <w:color w:val="auto"/>
              </w:rPr>
            </w:pPr>
            <w:r>
              <w:rPr>
                <w:rFonts w:ascii="Arial" w:cs="Arial" w:eastAsia="Arial" w:hAnsi="Arial"/>
                <w:sz w:val="18"/>
                <w:szCs w:val="18"/>
                <w:color w:val="auto"/>
              </w:rPr>
              <w:t>DATE:</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1/8/18</w:t>
            </w:r>
          </w:p>
        </w:tc>
      </w:tr>
      <w:tr>
        <w:trPr>
          <w:trHeight w:val="365"/>
        </w:trPr>
        <w:tc>
          <w:tcPr>
            <w:tcW w:w="1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schedules described below have been omitted pursuant to Item 601(a)(5) of Registration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135" w:lineRule="exact"/>
        <w:rPr>
          <w:sz w:val="20"/>
          <w:szCs w:val="20"/>
          <w:color w:val="auto"/>
        </w:rPr>
      </w:pPr>
    </w:p>
    <w:p>
      <w:pPr>
        <w:ind w:left="440" w:hanging="436"/>
        <w:spacing w:after="0"/>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Products Processing and Analytical Requirements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HERITAGE Records</w:t>
      </w:r>
    </w:p>
    <w:p>
      <w:pPr>
        <w:spacing w:after="0" w:line="130"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Ingredients &amp; Materials to be supplied by HERITAGE and PREMIER, waste allowance, pricing schedule and all other terms and conditions of sale.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Premier Nutrition Contacts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Post Holdings Quality Expectations Manual</w:t>
      </w:r>
    </w:p>
    <w:p>
      <w:pPr>
        <w:sectPr>
          <w:pgSz w:w="11900" w:h="16838" w:orient="portrait"/>
          <w:cols w:equalWidth="0" w:num="1">
            <w:col w:w="10720"/>
          </w:cols>
          <w:pgMar w:left="440" w:top="270" w:right="739" w:bottom="1440" w:gutter="0" w:footer="0" w:header="0"/>
        </w:sectPr>
      </w:pPr>
    </w:p>
    <w:bookmarkStart w:id="228" w:name="page229"/>
    <w:bookmarkEnd w:id="228"/>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 TO STREMICK’S HERITAGE FOODS, LLC and PREMIER NUTRITION CORPORATION MANUFACTURING AGREEMENT</w:t>
      </w:r>
    </w:p>
    <w:p>
      <w:pPr>
        <w:spacing w:after="0" w:line="166"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 xml:space="preserve">This Amendment No. 1 (the “Amendment”), entered into by and between Stremick’s Heritage Foods, LLC (“Heritage”) Premier Nutrition Corporation (“Premier”) is effective as of </w:t>
      </w:r>
      <w:r>
        <w:rPr>
          <w:rFonts w:ascii="Arial" w:cs="Arial" w:eastAsia="Arial" w:hAnsi="Arial"/>
          <w:sz w:val="16"/>
          <w:szCs w:val="16"/>
          <w:u w:val="single" w:color="auto"/>
          <w:color w:val="auto"/>
        </w:rPr>
        <w:t>June 11, 2018</w:t>
      </w:r>
      <w:r>
        <w:rPr>
          <w:rFonts w:ascii="Arial" w:cs="Arial" w:eastAsia="Arial" w:hAnsi="Arial"/>
          <w:sz w:val="16"/>
          <w:szCs w:val="16"/>
          <w:color w:val="auto"/>
        </w:rPr>
        <w:t xml:space="preserve"> (“Amendment Effective Date”) and amends that certain Manufacturing Agreement between Heritage and Premier dated </w:t>
      </w:r>
      <w:r>
        <w:rPr>
          <w:rFonts w:ascii="Arial" w:cs="Arial" w:eastAsia="Arial" w:hAnsi="Arial"/>
          <w:sz w:val="16"/>
          <w:szCs w:val="16"/>
          <w:u w:val="single" w:color="auto"/>
          <w:color w:val="auto"/>
        </w:rPr>
        <w:t>July 1, 2017</w:t>
      </w:r>
      <w:r>
        <w:rPr>
          <w:rFonts w:ascii="Arial" w:cs="Arial" w:eastAsia="Arial" w:hAnsi="Arial"/>
          <w:sz w:val="16"/>
          <w:szCs w:val="16"/>
          <w:color w:val="auto"/>
        </w:rPr>
        <w:t xml:space="preserve"> (“Agreement”). Heritage and Premier are each referred to herein as a “Party” and collectively as the “Parties.”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6" w:lineRule="exact"/>
        <w:rPr>
          <w:sz w:val="20"/>
          <w:szCs w:val="20"/>
          <w:color w:val="auto"/>
        </w:rPr>
      </w:pPr>
    </w:p>
    <w:p>
      <w:pPr>
        <w:ind w:left="760" w:hanging="316"/>
        <w:spacing w:after="0"/>
        <w:tabs>
          <w:tab w:leader="none" w:pos="7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Parties hereby agree to remove Section 2(c) in its entirety and replace it with the following:</w:t>
      </w:r>
    </w:p>
    <w:p>
      <w:pPr>
        <w:spacing w:after="0" w:line="117" w:lineRule="exact"/>
        <w:rPr>
          <w:rFonts w:ascii="Arial" w:cs="Arial" w:eastAsia="Arial" w:hAnsi="Arial"/>
          <w:sz w:val="18"/>
          <w:szCs w:val="18"/>
          <w:color w:val="auto"/>
        </w:rPr>
      </w:pPr>
    </w:p>
    <w:p>
      <w:pPr>
        <w:ind w:left="780" w:right="200"/>
        <w:spacing w:after="0" w:line="255" w:lineRule="auto"/>
        <w:rPr>
          <w:rFonts w:ascii="Arial" w:cs="Arial" w:eastAsia="Arial" w:hAnsi="Arial"/>
          <w:sz w:val="18"/>
          <w:szCs w:val="18"/>
          <w:color w:val="auto"/>
        </w:rPr>
      </w:pPr>
      <w:r>
        <w:rPr>
          <w:rFonts w:ascii="Arial" w:cs="Arial" w:eastAsia="Arial" w:hAnsi="Arial"/>
          <w:sz w:val="18"/>
          <w:szCs w:val="18"/>
          <w:color w:val="auto"/>
        </w:rPr>
        <w:t>During the Term of this Agreement, Premier shall be required to purchase a Minimum Annual Order Volume (“MAOV”) of [***] (“Units”) for the twelve-month period commencing July 1, 2018 and ending June 30, 2019. The MAOV [***] Units for each twelve-month period commencing July 1, 2019 through the end of the Term, contingent upon commercial aseptic production at Heritage’s [***] facility and approval of that facility by Premier by January 1, 2019. For the avoidance of doubt, the six-month period commencing July 1, 2022 and ending December 31, 2022, Premier will be required to purchase [***] (the twelve-month periods and the six-month period are each a “Contract Period”).</w:t>
      </w:r>
    </w:p>
    <w:p>
      <w:pPr>
        <w:spacing w:after="0" w:line="193" w:lineRule="exact"/>
        <w:rPr>
          <w:rFonts w:ascii="Arial" w:cs="Arial" w:eastAsia="Arial" w:hAnsi="Arial"/>
          <w:sz w:val="18"/>
          <w:szCs w:val="18"/>
          <w:color w:val="auto"/>
        </w:rPr>
      </w:pPr>
    </w:p>
    <w:p>
      <w:pPr>
        <w:ind w:right="80" w:firstLine="444"/>
        <w:spacing w:after="0" w:line="277" w:lineRule="auto"/>
        <w:tabs>
          <w:tab w:leader="none" w:pos="75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040"/>
          </w:cols>
          <w:pgMar w:left="440" w:top="270" w:right="419" w:bottom="1440" w:gutter="0" w:footer="0" w:header="0"/>
        </w:sectPr>
      </w:pPr>
    </w:p>
    <w:bookmarkStart w:id="229" w:name="page230"/>
    <w:bookmarkEnd w:id="22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2 TO STREMICK’S HERITAGE FOODS, LLC and PREMIER</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NUTRITION CORPORATION MANUFACTURING AGREEMENT</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Second Amendment (“Second Amendment”), entered into by and between Stremick’s Heritage Foods, LLC, (“Heritage”), Premier Nutrition Corporation (“Premier”) is effective as of October 1, 2018 (“Second Amendment Effective Date”) and amends that certain Manufacturing Agreement between Heritage and Premier dated July 1, 2017 (“Agreement”). Heritage and Premier are each referred to herein as “Party” and collectively as the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PREMIER and HERITAGE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wish to extend and amend the Agreement in accordance with the terms and conditions set forth herein; and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WHEREAS, HERITAGE [***] desires to produce Products packaged in aseptic plastic bottles (“Bottled Products”) for PREMIER in accordance with the terms and conditions set forth in the Agreement, as well as those set forth herein, [***]; and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NOW, THEREFORE, in consideration of the promises and of the mutual covenants, representations and warranties, contained in the Agreement and set forth herein, the Parties hereby agree that the following changes be made to the Agreement:</w:t>
      </w:r>
    </w:p>
    <w:p>
      <w:pPr>
        <w:spacing w:after="0" w:line="76" w:lineRule="exact"/>
        <w:rPr>
          <w:sz w:val="20"/>
          <w:szCs w:val="20"/>
          <w:color w:val="auto"/>
        </w:rPr>
      </w:pPr>
    </w:p>
    <w:p>
      <w:pPr>
        <w:ind w:left="980" w:right="160" w:hanging="544"/>
        <w:spacing w:after="0" w:line="279" w:lineRule="auto"/>
        <w:tabs>
          <w:tab w:leader="none" w:pos="9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Term. This Second Amendment shall be effective from The Second Amendment Effective Date and shall expire on December 31, 2021. Upon expiration, this Second Amendment shall be of no further force or effect, and the terms and conditions of the Agreement shall as they were before the Second Amendment Effective Date. Notwithstanding anything herein to the contrary, a Party’s right to enforce the terms and conditions of this Second Amendment shall survive the Second Amendment’s expiration.</w:t>
      </w:r>
    </w:p>
    <w:p>
      <w:pPr>
        <w:spacing w:after="0" w:line="76" w:lineRule="exact"/>
        <w:rPr>
          <w:rFonts w:ascii="Arial" w:cs="Arial" w:eastAsia="Arial" w:hAnsi="Arial"/>
          <w:sz w:val="17"/>
          <w:szCs w:val="17"/>
          <w:color w:val="auto"/>
        </w:rPr>
      </w:pPr>
    </w:p>
    <w:p>
      <w:pPr>
        <w:ind w:left="1000" w:right="4840" w:hanging="564"/>
        <w:spacing w:after="0" w:line="483" w:lineRule="auto"/>
        <w:tabs>
          <w:tab w:leader="none" w:pos="98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1 BASIC TERMS. Section 1, of the Agreement is amended as follows: a. Section 1(a)(viii) is removed in its entirety and replaced with: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“(viii) Pricing and Terms for Tetra 325 ml Dreamcaps ........................ Schedule C”</w:t>
      </w:r>
    </w:p>
    <w:p>
      <w:pPr>
        <w:spacing w:after="0" w:line="225" w:lineRule="exact"/>
        <w:rPr>
          <w:sz w:val="20"/>
          <w:szCs w:val="20"/>
          <w:color w:val="auto"/>
        </w:rPr>
      </w:pPr>
    </w:p>
    <w:p>
      <w:pPr>
        <w:ind w:left="100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 new section, Section 1(a)(xi), is inserted to read</w:t>
      </w:r>
    </w:p>
    <w:p>
      <w:pPr>
        <w:sectPr>
          <w:pgSz w:w="11900" w:h="16838" w:orient="portrait"/>
          <w:cols w:equalWidth="0" w:num="1">
            <w:col w:w="10940"/>
          </w:cols>
          <w:pgMar w:left="440" w:top="270" w:right="519" w:bottom="1440" w:gutter="0" w:footer="0" w:header="0"/>
        </w:sectPr>
      </w:pP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Pricing and Terms for Aseptic Plastic Bottles ........................... Schedule C-1”</w:t>
      </w:r>
    </w:p>
    <w:p>
      <w:pPr>
        <w:spacing w:after="0" w:line="222" w:lineRule="exact"/>
        <w:rPr>
          <w:sz w:val="20"/>
          <w:szCs w:val="20"/>
          <w:color w:val="auto"/>
        </w:rPr>
      </w:pPr>
    </w:p>
    <w:p>
      <w:pPr>
        <w:sectPr>
          <w:pgSz w:w="11900" w:h="16838" w:orient="portrait"/>
          <w:cols w:equalWidth="0" w:num="2">
            <w:col w:w="1340" w:space="180"/>
            <w:col w:w="9420"/>
          </w:cols>
          <w:pgMar w:left="440" w:top="270" w:right="519" w:bottom="1440" w:gutter="0" w:footer="0" w:header="0"/>
          <w:type w:val="continuous"/>
        </w:sectPr>
      </w:pPr>
    </w:p>
    <w:p>
      <w:pPr>
        <w:spacing w:after="0" w:line="174" w:lineRule="exact"/>
        <w:rPr>
          <w:sz w:val="20"/>
          <w:szCs w:val="20"/>
          <w:color w:val="auto"/>
        </w:rPr>
      </w:pPr>
    </w:p>
    <w:p>
      <w:pPr>
        <w:ind w:left="980" w:hanging="544"/>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PRODUCTION OF PRODUCT.</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  Section 2(a) of the Agreement is amended so that the first sentence that previously read:</w:t>
      </w:r>
    </w:p>
    <w:p>
      <w:pPr>
        <w:spacing w:after="0" w:line="117" w:lineRule="exact"/>
        <w:rPr>
          <w:sz w:val="20"/>
          <w:szCs w:val="20"/>
          <w:color w:val="auto"/>
        </w:rPr>
      </w:pPr>
    </w:p>
    <w:p>
      <w:pPr>
        <w:ind w:right="280" w:firstLine="1433"/>
        <w:spacing w:after="0" w:line="342" w:lineRule="auto"/>
        <w:rPr>
          <w:sz w:val="20"/>
          <w:szCs w:val="20"/>
          <w:color w:val="auto"/>
        </w:rPr>
      </w:pPr>
      <w:r>
        <w:rPr>
          <w:rFonts w:ascii="Arial" w:cs="Arial" w:eastAsia="Arial" w:hAnsi="Arial"/>
          <w:sz w:val="16"/>
          <w:szCs w:val="16"/>
          <w:color w:val="auto"/>
        </w:rPr>
        <w:t>“Heritage shall produce the products described on Schedule A attached hereto, as may be amended by the Parties hereafter from time to time (the “Products”), for Premier at [***] Heritage’s or Heritage’s wholly owned subsidiary, Jasper’s facilities (the “Facilities”). [***]”</w:t>
      </w:r>
    </w:p>
    <w:p>
      <w:pPr>
        <w:sectPr>
          <w:pgSz w:w="11900" w:h="16838" w:orient="portrait"/>
          <w:cols w:equalWidth="0" w:num="1">
            <w:col w:w="10940"/>
          </w:cols>
          <w:pgMar w:left="440" w:top="270" w:right="51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reads:</w:t>
      </w:r>
    </w:p>
    <w:p>
      <w:pPr>
        <w:spacing w:after="0" w:line="117" w:lineRule="exact"/>
        <w:rPr>
          <w:sz w:val="20"/>
          <w:szCs w:val="20"/>
          <w:color w:val="auto"/>
        </w:rPr>
      </w:pPr>
    </w:p>
    <w:p>
      <w:pPr>
        <w:ind w:left="1000" w:right="60" w:firstLine="401"/>
        <w:spacing w:after="0" w:line="312" w:lineRule="auto"/>
        <w:rPr>
          <w:sz w:val="20"/>
          <w:szCs w:val="20"/>
          <w:color w:val="auto"/>
        </w:rPr>
      </w:pPr>
      <w:r>
        <w:rPr>
          <w:rFonts w:ascii="Arial" w:cs="Arial" w:eastAsia="Arial" w:hAnsi="Arial"/>
          <w:sz w:val="16"/>
          <w:szCs w:val="16"/>
          <w:color w:val="auto"/>
        </w:rPr>
        <w:t>“Heritage shall produce the products described in Schedule A and Schedule A-1 attached hereto, as may be amended by the Parties hereafter from time to the time (the “Products,” each individual unit of Product “Unit”), for Premier at [***] Heritage’s or Heritage’s wholly owned subsidiary, Jasper’s facilities (the “Facilities”). [***], except that, notwithstanding anything herein to the contrary, [***].”</w:t>
      </w:r>
    </w:p>
    <w:p>
      <w:pPr>
        <w:spacing w:after="0" w:line="147" w:lineRule="exact"/>
        <w:rPr>
          <w:sz w:val="20"/>
          <w:szCs w:val="20"/>
          <w:color w:val="auto"/>
        </w:rPr>
      </w:pPr>
    </w:p>
    <w:p>
      <w:pPr>
        <w:ind w:left="1320" w:hanging="32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Section 2(c) of the Agreement is amended so that the term “Units” as defined therein is now referred to as “Tetra Units”.</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Section 2(d) of the Agreement is amended so that whereas it previously read:</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excess of</w:t>
      </w:r>
    </w:p>
    <w:p>
      <w:pPr>
        <w:spacing w:after="0" w:line="46" w:lineRule="exact"/>
        <w:rPr>
          <w:sz w:val="20"/>
          <w:szCs w:val="20"/>
          <w:color w:val="auto"/>
        </w:rPr>
      </w:pPr>
    </w:p>
    <w:p>
      <w:pPr>
        <w:ind w:left="1000" w:hanging="4"/>
        <w:spacing w:after="0" w:line="261" w:lineRule="auto"/>
        <w:tabs>
          <w:tab w:leader="none" w:pos="143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in excess of</w:t>
      </w:r>
    </w:p>
    <w:p>
      <w:pPr>
        <w:spacing w:after="0" w:line="46" w:lineRule="exact"/>
        <w:rPr>
          <w:sz w:val="20"/>
          <w:szCs w:val="20"/>
          <w:color w:val="auto"/>
        </w:rPr>
      </w:pPr>
    </w:p>
    <w:p>
      <w:pPr>
        <w:ind w:left="1000" w:hanging="4"/>
        <w:spacing w:after="0" w:line="261" w:lineRule="auto"/>
        <w:tabs>
          <w:tab w:leader="none" w:pos="143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184" w:lineRule="exact"/>
        <w:rPr>
          <w:sz w:val="20"/>
          <w:szCs w:val="20"/>
          <w:color w:val="auto"/>
        </w:rPr>
      </w:pPr>
    </w:p>
    <w:p>
      <w:pPr>
        <w:ind w:left="1440" w:right="4060" w:hanging="444"/>
        <w:spacing w:after="0" w:line="402" w:lineRule="auto"/>
        <w:tabs>
          <w:tab w:leader="none" w:pos="131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Section 2(e) of the Agreement is amended so that whereas it previously read: [***]</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40" w:right="4080" w:hanging="444"/>
        <w:spacing w:after="0" w:line="402" w:lineRule="auto"/>
        <w:tabs>
          <w:tab w:leader="none" w:pos="13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2(f) of the Agreement is amended so that whereas it previously read: [***]</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firstLine="996"/>
        <w:spacing w:after="0" w:line="277" w:lineRule="auto"/>
        <w:tabs>
          <w:tab w:leader="none" w:pos="12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Section 2(m) of the Agreement is amended so that the term “Units” appearing in the second complete sentence is replaced with the term “Tetra Units”.</w:t>
      </w:r>
    </w:p>
    <w:p>
      <w:pPr>
        <w:spacing w:after="0" w:line="170" w:lineRule="exact"/>
        <w:rPr>
          <w:rFonts w:ascii="Arial" w:cs="Arial" w:eastAsia="Arial" w:hAnsi="Arial"/>
          <w:sz w:val="18"/>
          <w:szCs w:val="18"/>
          <w:color w:val="auto"/>
        </w:rPr>
      </w:pPr>
    </w:p>
    <w:p>
      <w:pPr>
        <w:ind w:left="1320" w:hanging="324"/>
        <w:spacing w:after="0"/>
        <w:tabs>
          <w:tab w:leader="none" w:pos="13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Section 2(n) of the Agreement is amended so that the last sentence that previously read: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final production quantity by Heritage and Jasper will count towards the MAOV requirements”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231" w:name="page232"/>
    <w:bookmarkEnd w:id="2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reads: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final production quantity of Tetra Units by Heritage and Jasper will count toward the MAOV requirements for Tetra Units.”</w:t>
      </w:r>
    </w:p>
    <w:p>
      <w:pPr>
        <w:spacing w:after="0" w:line="22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Section 2(o)(i) of the Agreement is amended so that the first sentence that previously read:</w:t>
      </w:r>
    </w:p>
    <w:p>
      <w:pPr>
        <w:spacing w:after="0" w:line="117" w:lineRule="exact"/>
        <w:rPr>
          <w:sz w:val="20"/>
          <w:szCs w:val="20"/>
          <w:color w:val="auto"/>
        </w:rPr>
      </w:pPr>
    </w:p>
    <w:p>
      <w:pPr>
        <w:ind w:left="1000" w:firstLine="401"/>
        <w:spacing w:after="0" w:line="279" w:lineRule="auto"/>
        <w:rPr>
          <w:sz w:val="20"/>
          <w:szCs w:val="20"/>
          <w:color w:val="auto"/>
        </w:rPr>
      </w:pPr>
      <w:r>
        <w:rPr>
          <w:rFonts w:ascii="Arial" w:cs="Arial" w:eastAsia="Arial" w:hAnsi="Arial"/>
          <w:sz w:val="17"/>
          <w:szCs w:val="17"/>
          <w:color w:val="auto"/>
        </w:rPr>
        <w:t>“All Products manufactured, packaged and delivered to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jc w:val="both"/>
        <w:ind w:left="1000" w:right="120" w:firstLine="401"/>
        <w:spacing w:after="0" w:line="279" w:lineRule="auto"/>
        <w:rPr>
          <w:sz w:val="20"/>
          <w:szCs w:val="20"/>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and/or Schedule A-1, which Schedules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320" w:lineRule="exact"/>
        <w:rPr>
          <w:sz w:val="20"/>
          <w:szCs w:val="20"/>
          <w:color w:val="auto"/>
        </w:rPr>
      </w:pPr>
    </w:p>
    <w:p>
      <w:pPr>
        <w:ind w:left="440" w:hanging="436"/>
        <w:spacing w:after="0"/>
        <w:tabs>
          <w:tab w:leader="none" w:pos="4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Section 3 DELIVER, PRICING, BILLING AND PAYMENT</w:t>
      </w:r>
    </w:p>
    <w:p>
      <w:pPr>
        <w:spacing w:after="0" w:line="117"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Section 3(b) of the Agreement is amended so that whereas it previously read:</w:t>
      </w:r>
    </w:p>
    <w:p>
      <w:pPr>
        <w:spacing w:after="0" w:line="117" w:lineRule="exact"/>
        <w:rPr>
          <w:sz w:val="20"/>
          <w:szCs w:val="20"/>
          <w:color w:val="auto"/>
        </w:rPr>
      </w:pPr>
    </w:p>
    <w:p>
      <w:pPr>
        <w:ind w:left="1000" w:right="660" w:firstLine="401"/>
        <w:spacing w:after="0" w:line="308" w:lineRule="auto"/>
        <w:rPr>
          <w:sz w:val="20"/>
          <w:szCs w:val="20"/>
          <w:color w:val="auto"/>
        </w:rPr>
      </w:pPr>
      <w:r>
        <w:rPr>
          <w:rFonts w:ascii="Arial" w:cs="Arial" w:eastAsia="Arial" w:hAnsi="Arial"/>
          <w:sz w:val="17"/>
          <w:szCs w:val="17"/>
          <w:color w:val="auto"/>
        </w:rPr>
        <w:t>“Heritage shall purchase all ingredients and packaging materials identified in Schedule C to be used in connection with the manufacturer of the Products. Heritage shall invoice Premier through the [***] billing as identified on Schedule 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ind w:left="1000" w:right="40" w:firstLine="401"/>
        <w:spacing w:after="0" w:line="312" w:lineRule="auto"/>
        <w:rPr>
          <w:sz w:val="20"/>
          <w:szCs w:val="20"/>
          <w:color w:val="auto"/>
        </w:rPr>
      </w:pPr>
      <w:r>
        <w:rPr>
          <w:rFonts w:ascii="Arial" w:cs="Arial" w:eastAsia="Arial" w:hAnsi="Arial"/>
          <w:sz w:val="16"/>
          <w:szCs w:val="16"/>
          <w:color w:val="auto"/>
        </w:rPr>
        <w:t>“Heritage shall purchase all ingredients and packaging materials identified in the relevant Schedule C or Schedule C-l to be used in connection with the manufacturer of the Products. Heritage shall invoice Premier through the [***] billing as identified on the relevant Schedule C or Schedule C-l. Heritage shall not, however, purchase ingredients or packaging materials in excess of those required [***].”</w:t>
      </w:r>
    </w:p>
    <w:p>
      <w:pPr>
        <w:spacing w:after="0" w:line="255" w:lineRule="exact"/>
        <w:rPr>
          <w:sz w:val="20"/>
          <w:szCs w:val="20"/>
          <w:color w:val="auto"/>
        </w:rPr>
      </w:pPr>
    </w:p>
    <w:p>
      <w:pPr>
        <w:ind w:left="1440" w:right="4040" w:hanging="444"/>
        <w:spacing w:after="0" w:line="397" w:lineRule="auto"/>
        <w:tabs>
          <w:tab w:leader="none" w:pos="131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Section 3(c) of the Agreement is amended so that whereas it previously read: “Heritage shall charge Premier [***] as set forth in Schedule C.”</w:t>
      </w:r>
    </w:p>
    <w:p>
      <w:pPr>
        <w:spacing w:after="0" w:line="1"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it now reads:</w:t>
      </w:r>
    </w:p>
    <w:p>
      <w:pPr>
        <w:spacing w:after="0" w:line="117"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“Heritage shall charge Premier [***] as set forth in the relevant Schedule C or Schedule C-1.”</w:t>
      </w:r>
    </w:p>
    <w:p>
      <w:pPr>
        <w:spacing w:after="0" w:line="252" w:lineRule="exact"/>
        <w:rPr>
          <w:rFonts w:ascii="Arial" w:cs="Arial" w:eastAsia="Arial" w:hAnsi="Arial"/>
          <w:sz w:val="17"/>
          <w:szCs w:val="17"/>
          <w:color w:val="auto"/>
        </w:rPr>
      </w:pPr>
    </w:p>
    <w:p>
      <w:pPr>
        <w:ind w:left="4740" w:right="2960" w:hanging="4304"/>
        <w:spacing w:after="0" w:line="501" w:lineRule="auto"/>
        <w:tabs>
          <w:tab w:leader="none" w:pos="97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Schedule A-l. The following is attached to and incorporated into the Agreement as Schedule A-l: Schedule A-1 ([***])</w:t>
      </w:r>
    </w:p>
    <w:p>
      <w:pPr>
        <w:ind w:left="53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232" w:name="page233"/>
    <w:bookmarkEnd w:id="232"/>
    <w:p>
      <w:pPr>
        <w:ind w:left="980" w:hanging="544"/>
        <w:spacing w:after="0"/>
        <w:tabs>
          <w:tab w:leader="none" w:pos="9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 NOTICES is amended such that whereas Notice to PREMIER was required to:</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“VP Operations</w:t>
      </w:r>
    </w:p>
    <w:p>
      <w:pPr>
        <w:spacing w:after="0" w:line="23" w:lineRule="exact"/>
        <w:rPr>
          <w:rFonts w:ascii="Arial" w:cs="Arial" w:eastAsia="Arial" w:hAnsi="Arial"/>
          <w:sz w:val="18"/>
          <w:szCs w:val="18"/>
          <w:color w:val="auto"/>
        </w:rPr>
      </w:pPr>
    </w:p>
    <w:p>
      <w:pPr>
        <w:ind w:left="1000" w:right="7860"/>
        <w:spacing w:after="0" w:line="295" w:lineRule="auto"/>
        <w:rPr>
          <w:rFonts w:ascii="Arial" w:cs="Arial" w:eastAsia="Arial" w:hAnsi="Arial"/>
          <w:sz w:val="18"/>
          <w:szCs w:val="18"/>
          <w:color w:val="auto"/>
        </w:rPr>
      </w:pPr>
      <w:r>
        <w:rPr>
          <w:rFonts w:ascii="Arial" w:cs="Arial" w:eastAsia="Arial" w:hAnsi="Arial"/>
          <w:sz w:val="16"/>
          <w:szCs w:val="16"/>
          <w:color w:val="auto"/>
        </w:rPr>
        <w:t>Premier Nutrition Corporation 188 Spear Street, Suite 600 San Francisco, CA 94608 Email:[***]</w:t>
      </w:r>
    </w:p>
    <w:p>
      <w:pPr>
        <w:spacing w:after="0" w:line="53" w:lineRule="exact"/>
        <w:rPr>
          <w:rFonts w:ascii="Arial" w:cs="Arial" w:eastAsia="Arial" w:hAnsi="Arial"/>
          <w:sz w:val="18"/>
          <w:szCs w:val="18"/>
          <w:color w:val="auto"/>
        </w:rPr>
      </w:pPr>
    </w:p>
    <w:p>
      <w:pPr>
        <w:ind w:left="1000" w:right="8780"/>
        <w:spacing w:after="0" w:line="312"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38"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it is now required to:</w:t>
      </w:r>
    </w:p>
    <w:p>
      <w:pPr>
        <w:spacing w:after="0" w:line="117" w:lineRule="exact"/>
        <w:rPr>
          <w:rFonts w:ascii="Arial" w:cs="Arial" w:eastAsia="Arial" w:hAnsi="Arial"/>
          <w:sz w:val="18"/>
          <w:szCs w:val="18"/>
          <w:color w:val="auto"/>
        </w:rPr>
      </w:pPr>
    </w:p>
    <w:p>
      <w:pPr>
        <w:ind w:left="1000" w:right="7780"/>
        <w:spacing w:after="0" w:line="258" w:lineRule="auto"/>
        <w:rPr>
          <w:rFonts w:ascii="Arial" w:cs="Arial" w:eastAsia="Arial" w:hAnsi="Arial"/>
          <w:sz w:val="18"/>
          <w:szCs w:val="18"/>
          <w:color w:val="auto"/>
        </w:rPr>
      </w:pPr>
      <w:r>
        <w:rPr>
          <w:rFonts w:ascii="Arial" w:cs="Arial" w:eastAsia="Arial" w:hAnsi="Arial"/>
          <w:sz w:val="18"/>
          <w:szCs w:val="18"/>
          <w:color w:val="auto"/>
        </w:rPr>
        <w:t>“Premier Nutrition Corporation VP Operations</w:t>
      </w:r>
    </w:p>
    <w:p>
      <w:pPr>
        <w:spacing w:after="0" w:line="1" w:lineRule="exact"/>
        <w:rPr>
          <w:rFonts w:ascii="Arial" w:cs="Arial" w:eastAsia="Arial" w:hAnsi="Arial"/>
          <w:sz w:val="18"/>
          <w:szCs w:val="18"/>
          <w:color w:val="auto"/>
        </w:rPr>
      </w:pPr>
    </w:p>
    <w:p>
      <w:pPr>
        <w:ind w:left="1000" w:right="8080"/>
        <w:spacing w:after="0" w:line="255" w:lineRule="auto"/>
        <w:rPr>
          <w:rFonts w:ascii="Arial" w:cs="Arial" w:eastAsia="Arial" w:hAnsi="Arial"/>
          <w:sz w:val="18"/>
          <w:szCs w:val="18"/>
          <w:color w:val="auto"/>
        </w:rPr>
      </w:pPr>
      <w:r>
        <w:rPr>
          <w:rFonts w:ascii="Arial" w:cs="Arial" w:eastAsia="Arial" w:hAnsi="Arial"/>
          <w:sz w:val="18"/>
          <w:szCs w:val="18"/>
          <w:color w:val="auto"/>
        </w:rPr>
        <w:t>1222 67th Street, Suite 210 Emeryville, CA 94608 Email: [***]</w:t>
      </w:r>
    </w:p>
    <w:p>
      <w:pPr>
        <w:spacing w:after="0" w:line="82" w:lineRule="exact"/>
        <w:rPr>
          <w:rFonts w:ascii="Arial" w:cs="Arial" w:eastAsia="Arial" w:hAnsi="Arial"/>
          <w:sz w:val="18"/>
          <w:szCs w:val="18"/>
          <w:color w:val="auto"/>
        </w:rPr>
      </w:pPr>
    </w:p>
    <w:p>
      <w:pPr>
        <w:ind w:left="1000" w:right="8780"/>
        <w:spacing w:after="0" w:line="312"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173" w:lineRule="exact"/>
        <w:rPr>
          <w:rFonts w:ascii="Arial" w:cs="Arial" w:eastAsia="Arial" w:hAnsi="Arial"/>
          <w:sz w:val="18"/>
          <w:szCs w:val="18"/>
          <w:color w:val="auto"/>
        </w:rPr>
      </w:pPr>
    </w:p>
    <w:p>
      <w:pPr>
        <w:ind w:left="4740" w:right="3120" w:hanging="4304"/>
        <w:spacing w:after="0" w:line="501" w:lineRule="auto"/>
        <w:tabs>
          <w:tab w:leader="none" w:pos="96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Schedule C-l. The following is attached to and incorporated into the Agreement as Schedule C-l: Schedule C-1 ([***])</w:t>
      </w:r>
    </w:p>
    <w:p>
      <w:pPr>
        <w:ind w:left="10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444"/>
        <w:spacing w:after="0" w:line="277" w:lineRule="auto"/>
        <w:tabs>
          <w:tab w:leader="none" w:pos="75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230"/>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And as and for Jasper Products, LLC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Darcy Davenport</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BY:  /s/ Sam Stremick</w:t>
            </w: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ind w:left="700"/>
              <w:spacing w:after="0"/>
              <w:rPr>
                <w:sz w:val="20"/>
                <w:szCs w:val="20"/>
                <w:color w:val="auto"/>
              </w:rPr>
            </w:pPr>
            <w:r>
              <w:rPr>
                <w:rFonts w:ascii="Arial" w:cs="Arial" w:eastAsia="Arial" w:hAnsi="Arial"/>
                <w:sz w:val="18"/>
                <w:szCs w:val="18"/>
                <w:color w:val="auto"/>
              </w:rPr>
              <w:t>ITS:</w:t>
            </w:r>
          </w:p>
        </w:tc>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372"/>
        </w:trPr>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4</w:t>
            </w:r>
          </w:p>
        </w:tc>
        <w:tc>
          <w:tcPr>
            <w:tcW w:w="47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33" w:name="page234"/>
    <w:bookmarkEnd w:id="233"/>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 TO STREMICK’S HERITAGE FOODS, LLC and PREMIER NUTRITION CORPORATION MANUFACTURING AGREEMENT</w:t>
      </w:r>
    </w:p>
    <w:p>
      <w:pPr>
        <w:spacing w:after="0" w:line="16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Amendment No. 3 (the “Third Amendment”), entered into by and between Stremicks Heritage Foods, LLC (“Heritage”) Premier Nutrition Corporation (“Premier”) is effective as of July 3, 2019 (“Third Amendment Effective Date”) and amends that certain Manufacturing Agreement between Heritage and Premier dated July 1, 2017 as amended (“Agreement”). Heritage and Premier are each referred to herein as a “Party” and collectively as the “Parties.”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Parties hereby agree to remove Schedule C-1 in its entirety and replace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Schedule C-1. The following is attached to an incorporated into the Agreement as Schedule C-1: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444"/>
        <w:spacing w:after="0" w:line="277" w:lineRule="auto"/>
        <w:tabs>
          <w:tab w:leader="none" w:pos="75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1)"/>
      <w:numFmt w:val="decimal"/>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lvl w:ilvl="1">
      <w:lvlJc w:val="left"/>
      <w:lvlText w:val="•"/>
      <w:numFmt w:val="bullet"/>
      <w:start w:val="1"/>
    </w:lvl>
  </w:abstractNum>
  <w:abstractNum w:abstractNumId="11">
    <w:nsid w:val="14E17E33"/>
    <w:multiLevelType w:val="hybridMultilevel"/>
    <w:lvl w:ilvl="0">
      <w:lvlJc w:val="left"/>
      <w:lvlText w:val="•"/>
      <w:numFmt w:val="bullet"/>
      <w:start w:val="1"/>
    </w:lvl>
    <w:lvl w:ilvl="1">
      <w:lvlJc w:val="left"/>
      <w:lvlText w:val="•"/>
      <w:numFmt w:val="bullet"/>
      <w:start w:val="1"/>
    </w:lvl>
  </w:abstractNum>
  <w:abstractNum w:abstractNumId="12">
    <w:nsid w:val="3222E7CD"/>
    <w:multiLevelType w:val="hybridMultilevel"/>
    <w:lvl w:ilvl="0">
      <w:lvlJc w:val="left"/>
      <w:lvlText w:val="•"/>
      <w:numFmt w:val="bullet"/>
      <w:start w:val="1"/>
    </w:lvl>
    <w:lvl w:ilvl="1">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1)"/>
      <w:numFmt w:val="lowerRoman"/>
      <w:start w:val="5"/>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1)"/>
      <w:numFmt w:val="lowerRoman"/>
      <w:start w:val="4"/>
    </w:lvl>
  </w:abstractNum>
  <w:abstractNum w:abstractNumId="23">
    <w:nsid w:val="26F324BA"/>
    <w:multiLevelType w:val="hybridMultilevel"/>
    <w:lvl w:ilvl="0">
      <w:lvlJc w:val="left"/>
      <w:lvlText w:val="(%1)"/>
      <w:numFmt w:val="decimal"/>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1)"/>
      <w:numFmt w:val="lowerLetter"/>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1)"/>
      <w:numFmt w:val="lowerLetter"/>
      <w:start w:val="2"/>
    </w:lvl>
  </w:abstractNum>
  <w:abstractNum w:abstractNumId="39">
    <w:nsid w:val="555C55B5"/>
    <w:multiLevelType w:val="hybridMultilevel"/>
    <w:lvl w:ilvl="0">
      <w:lvlJc w:val="left"/>
      <w:lvlText w:val="(%1)"/>
      <w:numFmt w:val="decimal"/>
      <w:start w:val="1"/>
    </w:lvl>
  </w:abstractNum>
  <w:abstractNum w:abstractNumId="40">
    <w:nsid w:val="3FA62ACA"/>
    <w:multiLevelType w:val="hybridMultilevel"/>
    <w:lvl w:ilvl="0">
      <w:lvlJc w:val="left"/>
      <w:lvlText w:val="(%1)"/>
      <w:numFmt w:val="decimal"/>
      <w:start w:val="1"/>
    </w:lvl>
  </w:abstractNum>
  <w:abstractNum w:abstractNumId="41">
    <w:nsid w:val="14FCE74E"/>
    <w:multiLevelType w:val="hybridMultilevel"/>
    <w:lvl w:ilvl="0">
      <w:lvlJc w:val="left"/>
      <w:lvlText w:val="%1."/>
      <w:numFmt w:val="lowerLetter"/>
      <w:start w:val="1"/>
    </w:lvl>
  </w:abstractNum>
  <w:abstractNum w:abstractNumId="42">
    <w:nsid w:val="6A3DD3E8"/>
    <w:multiLevelType w:val="hybridMultilevel"/>
    <w:lvl w:ilvl="0">
      <w:lvlJc w:val="left"/>
      <w:lvlText w:val="(%1)"/>
      <w:numFmt w:val="lowerRoman"/>
      <w:start w:val="2"/>
    </w:lvl>
  </w:abstractNum>
  <w:abstractNum w:abstractNumId="43">
    <w:nsid w:val="71C91298"/>
    <w:multiLevelType w:val="hybridMultilevel"/>
    <w:lvl w:ilvl="0">
      <w:lvlJc w:val="left"/>
      <w:lvlText w:val="%1."/>
      <w:numFmt w:val="lowerLetter"/>
      <w:start w:val="8"/>
    </w:lvl>
  </w:abstractNum>
  <w:abstractNum w:abstractNumId="44">
    <w:nsid w:val="9DAF632"/>
    <w:multiLevelType w:val="hybridMultilevel"/>
    <w:lvl w:ilvl="0">
      <w:lvlJc w:val="left"/>
      <w:lvlText w:val="(%1)"/>
      <w:numFmt w:val="decimal"/>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1)"/>
      <w:numFmt w:val="lowerLetter"/>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lvl w:ilvl="1">
      <w:lvlJc w:val="left"/>
      <w:lvlText w:val="(%2)"/>
      <w:numFmt w:val="lowerLetter"/>
      <w:start w:val="2"/>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1)"/>
      <w:numFmt w:val="lowerLetter"/>
      <w:start w:val="1"/>
    </w:lvl>
  </w:abstractNum>
  <w:abstractNum w:abstractNumId="60">
    <w:nsid w:val="45E6D486"/>
    <w:multiLevelType w:val="hybridMultilevel"/>
    <w:lvl w:ilvl="0">
      <w:lvlJc w:val="left"/>
      <w:lvlText w:val="(%1)"/>
      <w:numFmt w:val="lowerLetter"/>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
      <w:numFmt w:val="bullet"/>
      <w:start w:val="1"/>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lowerRoman"/>
      <w:start w:val="8"/>
    </w:lvl>
  </w:abstractNum>
  <w:abstractNum w:abstractNumId="72">
    <w:nsid w:val="4C9B0904"/>
    <w:multiLevelType w:val="hybridMultilevel"/>
    <w:lvl w:ilvl="0">
      <w:lvlJc w:val="left"/>
      <w:lvlText w:val="(%1)"/>
      <w:numFmt w:val="decimal"/>
      <w:start w:val="1"/>
    </w:lvl>
  </w:abstractNum>
  <w:abstractNum w:abstractNumId="73">
    <w:nsid w:val="6AA7B75C"/>
    <w:multiLevelType w:val="hybridMultilevel"/>
    <w:lvl w:ilvl="0">
      <w:lvlJc w:val="left"/>
      <w:lvlText w:val="(%1)"/>
      <w:numFmt w:val="decimal"/>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1)"/>
      <w:numFmt w:val="lowerRoman"/>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1)"/>
      <w:numFmt w:val="decimal"/>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lvl w:ilvl="1">
      <w:lvlJc w:val="left"/>
      <w:lvlText w:val="•"/>
      <w:numFmt w:val="bullet"/>
      <w:start w:val="1"/>
    </w:lvl>
  </w:abstractNum>
  <w:abstractNum w:abstractNumId="85">
    <w:nsid w:val="56438D15"/>
    <w:multiLevelType w:val="hybridMultilevel"/>
    <w:lvl w:ilvl="0">
      <w:lvlJc w:val="left"/>
      <w:lvlText w:val="•"/>
      <w:numFmt w:val="bullet"/>
      <w:start w:val="1"/>
    </w:lvl>
    <w:lvl w:ilvl="1">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1)"/>
      <w:numFmt w:val="decimal"/>
      <w:start w:val="1"/>
    </w:lvl>
  </w:abstractNum>
  <w:abstractNum w:abstractNumId="94">
    <w:nsid w:val="19E21BB2"/>
    <w:multiLevelType w:val="hybridMultilevel"/>
    <w:lvl w:ilvl="0">
      <w:lvlJc w:val="left"/>
      <w:lvlText w:val="(%1)"/>
      <w:numFmt w:val="lowerLetter"/>
      <w:start w:val="25"/>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
      <w:numFmt w:val="bullet"/>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1)"/>
      <w:numFmt w:val="lowerRoman"/>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
      <w:numFmt w:val="bullet"/>
      <w:start w:val="1"/>
    </w:lvl>
    <w:lvl w:ilvl="1">
      <w:lvlJc w:val="left"/>
      <w:lvlText w:val="(%2)"/>
      <w:numFmt w:val="decimal"/>
      <w:start w:val="2"/>
    </w:lvl>
  </w:abstractNum>
  <w:abstractNum w:abstractNumId="106">
    <w:nsid w:val="2E48F044"/>
    <w:multiLevelType w:val="hybridMultilevel"/>
    <w:lvl w:ilvl="0">
      <w:lvlJc w:val="left"/>
      <w:lvlText w:val="(%1)"/>
      <w:numFmt w:val="lowerLetter"/>
      <w:start w:val="2"/>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1)"/>
      <w:numFmt w:val="upperLetter"/>
      <w:start w:val="1"/>
    </w:lvl>
    <w:lvl w:ilvl="1">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1)"/>
      <w:numFmt w:val="lowerLetter"/>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1)"/>
      <w:numFmt w:val="lowerRoman"/>
      <w:start w:val="2"/>
    </w:lvl>
  </w:abstractNum>
  <w:abstractNum w:abstractNumId="118">
    <w:nsid w:val="2A6DE806"/>
    <w:multiLevelType w:val="hybridMultilevel"/>
    <w:lvl w:ilvl="0">
      <w:lvlJc w:val="left"/>
      <w:lvlText w:val="(%1)"/>
      <w:numFmt w:val="lowerLetter"/>
      <w:start w:val="1"/>
    </w:lvl>
  </w:abstractNum>
  <w:abstractNum w:abstractNumId="119">
    <w:nsid w:val="1816F8C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5"/>
    </w:lvl>
  </w:abstractNum>
  <w:abstractNum w:abstractNumId="120">
    <w:nsid w:val="37DF2233"/>
    <w:multiLevelType w:val="hybridMultilevel"/>
    <w:lvl w:ilvl="0">
      <w:lvlJc w:val="left"/>
      <w:lvlText w:val="†"/>
      <w:numFmt w:val="bullet"/>
      <w:start w:val="1"/>
    </w:lvl>
    <w:lvl w:ilvl="1">
      <w:lvlJc w:val="left"/>
      <w:lvlText w:val="%2"/>
      <w:numFmt w:val="upperLetter"/>
      <w:start w:val="1"/>
    </w:lvl>
  </w:abstractNum>
  <w:abstractNum w:abstractNumId="121">
    <w:nsid w:val="7AB49DAF"/>
    <w:multiLevelType w:val="hybridMultilevel"/>
    <w:lvl w:ilvl="0">
      <w:lvlJc w:val="left"/>
      <w:lvlText w:val="%1."/>
      <w:numFmt w:val="decimal"/>
      <w:start w:val="1"/>
    </w:lvl>
    <w:lvl w:ilvl="1">
      <w:lvlJc w:val="left"/>
      <w:lvlText w:val="(%2)"/>
      <w:numFmt w:val="lowerLetter"/>
      <w:start w:val="1"/>
    </w:lvl>
  </w:abstractNum>
  <w:abstractNum w:abstractNumId="122">
    <w:nsid w:val="759F82CD"/>
    <w:multiLevelType w:val="hybridMultilevel"/>
    <w:lvl w:ilvl="0">
      <w:lvlJc w:val="left"/>
      <w:lvlText w:val="(%1)"/>
      <w:numFmt w:val="lowerRoman"/>
      <w:start w:val="6"/>
    </w:lvl>
  </w:abstractNum>
  <w:abstractNum w:abstractNumId="123">
    <w:nsid w:val="61E74EA3"/>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124">
    <w:nsid w:val="597B4D8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5">
    <w:nsid w:val="F819E7F"/>
    <w:multiLevelType w:val="hybridMultilevel"/>
    <w:lvl w:ilvl="0">
      <w:lvlJc w:val="left"/>
      <w:lvlText w:val="(%1)"/>
      <w:numFmt w:val="lowerLetter"/>
      <w:start w:val="8"/>
    </w:lvl>
  </w:abstractNum>
  <w:abstractNum w:abstractNumId="126">
    <w:nsid w:val="57C7D42D"/>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abstractNum>
  <w:abstractNum w:abstractNumId="127">
    <w:nsid w:val="312167AD"/>
    <w:multiLevelType w:val="hybridMultilevel"/>
    <w:lvl w:ilvl="0">
      <w:lvlJc w:val="left"/>
      <w:lvlText w:val="%1"/>
      <w:numFmt w:val="decimal"/>
      <w:start w:val="1"/>
    </w:lvl>
    <w:lvl w:ilvl="1">
      <w:lvlJc w:val="left"/>
      <w:lvlText w:val="(%2)"/>
      <w:numFmt w:val="lowerLetter"/>
      <w:start w:val="17"/>
    </w:lvl>
  </w:abstractNum>
  <w:abstractNum w:abstractNumId="128">
    <w:nsid w:val="631B64D4"/>
    <w:multiLevelType w:val="hybridMultilevel"/>
    <w:lvl w:ilvl="0">
      <w:lvlJc w:val="left"/>
      <w:lvlText w:val="%1."/>
      <w:numFmt w:val="decimal"/>
      <w:start w:val="3"/>
    </w:lvl>
    <w:lvl w:ilvl="1">
      <w:lvlJc w:val="left"/>
      <w:lvlText w:val="(%2)"/>
      <w:numFmt w:val="lowerLetter"/>
      <w:start w:val="1"/>
    </w:lvl>
  </w:abstractNum>
  <w:abstractNum w:abstractNumId="129">
    <w:nsid w:val="78B5E77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30">
    <w:nsid w:val="75486E47"/>
    <w:multiLevelType w:val="hybridMultilevel"/>
    <w:lvl w:ilvl="0">
      <w:lvlJc w:val="left"/>
      <w:lvlText w:val="%1."/>
      <w:numFmt w:val="decimal"/>
      <w:start w:val="5"/>
    </w:lvl>
  </w:abstractNum>
  <w:abstractNum w:abstractNumId="131">
    <w:nsid w:val="6E534CD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2">
    <w:nsid w:val="1A0DDE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3">
    <w:nsid w:val="65968C1C"/>
    <w:multiLevelType w:val="hybridMultilevel"/>
    <w:lvl w:ilvl="0">
      <w:lvlJc w:val="left"/>
      <w:lvlText w:val="%1."/>
      <w:numFmt w:val="lowerRoman"/>
      <w:start w:val="3"/>
    </w:lvl>
  </w:abstractNum>
  <w:abstractNum w:abstractNumId="134">
    <w:nsid w:val="46263DEC"/>
    <w:multiLevelType w:val="hybridMultilevel"/>
    <w:lvl w:ilvl="0">
      <w:lvlJc w:val="left"/>
      <w:lvlText w:val="%1."/>
      <w:numFmt w:val="decimal"/>
      <w:start w:val="9"/>
    </w:lvl>
  </w:abstractNum>
  <w:abstractNum w:abstractNumId="135">
    <w:nsid w:val="260D8C4A"/>
    <w:multiLevelType w:val="hybridMultilevel"/>
    <w:lvl w:ilvl="0">
      <w:lvlJc w:val="left"/>
      <w:lvlText w:val="%1."/>
      <w:numFmt w:val="decimal"/>
      <w:start w:val="10"/>
    </w:lvl>
  </w:abstractNum>
  <w:abstractNum w:abstractNumId="136">
    <w:nsid w:val="73D4D3C4"/>
    <w:multiLevelType w:val="hybridMultilevel"/>
    <w:lvl w:ilvl="0">
      <w:lvlJc w:val="left"/>
      <w:lvlText w:val="%1."/>
      <w:numFmt w:val="decimal"/>
      <w:start w:val="11"/>
    </w:lvl>
    <w:lvl w:ilvl="1">
      <w:lvlJc w:val="left"/>
      <w:lvlText w:val="(%2)"/>
      <w:numFmt w:val="lowerLetter"/>
      <w:start w:val="1"/>
    </w:lvl>
  </w:abstractNum>
  <w:abstractNum w:abstractNumId="137">
    <w:nsid w:val="746F2E30"/>
    <w:multiLevelType w:val="hybridMultilevel"/>
    <w:lvl w:ilvl="0">
      <w:lvlJc w:val="left"/>
      <w:lvlText w:val="%1"/>
      <w:numFmt w:val="decimal"/>
      <w:start w:val="1"/>
    </w:lvl>
    <w:lvl w:ilvl="1">
      <w:lvlJc w:val="left"/>
      <w:lvlText w:val="(%2)"/>
      <w:numFmt w:val="lowerLetter"/>
      <w:start w:val="2"/>
    </w:lvl>
  </w:abstractNum>
  <w:abstractNum w:abstractNumId="138">
    <w:nsid w:val="6FDE8AF6"/>
    <w:multiLevelType w:val="hybridMultilevel"/>
    <w:lvl w:ilvl="0">
      <w:lvlJc w:val="left"/>
      <w:lvlText w:val="%1."/>
      <w:numFmt w:val="decimal"/>
      <w:start w:val="12"/>
    </w:lvl>
    <w:lvl w:ilvl="1">
      <w:lvlJc w:val="left"/>
      <w:lvlText w:val="%2"/>
      <w:numFmt w:val="lowerLetter"/>
      <w:start w:val="1"/>
    </w:lvl>
  </w:abstractNum>
  <w:abstractNum w:abstractNumId="139">
    <w:nsid w:val="3FC32E20"/>
    <w:multiLevelType w:val="hybridMultilevel"/>
    <w:lvl w:ilvl="0">
      <w:lvlJc w:val="left"/>
      <w:lvlText w:val="%1."/>
      <w:numFmt w:val="decimal"/>
      <w:start w:val="13"/>
    </w:lvl>
  </w:abstractNum>
  <w:abstractNum w:abstractNumId="140">
    <w:nsid w:val="49C0E823"/>
    <w:multiLevelType w:val="hybridMultilevel"/>
    <w:lvl w:ilvl="0">
      <w:lvlJc w:val="left"/>
      <w:lvlText w:val="%1."/>
      <w:numFmt w:val="decimal"/>
      <w:start w:val="14"/>
    </w:lvl>
  </w:abstractNum>
  <w:abstractNum w:abstractNumId="141">
    <w:nsid w:val="14D53685"/>
    <w:multiLevelType w:val="hybridMultilevel"/>
    <w:lvl w:ilvl="0">
      <w:lvlJc w:val="left"/>
      <w:lvlText w:val="%1."/>
      <w:numFmt w:val="decimal"/>
      <w:start w:val="15"/>
    </w:lvl>
  </w:abstractNum>
  <w:abstractNum w:abstractNumId="142">
    <w:nsid w:val="230F856C"/>
    <w:multiLevelType w:val="hybridMultilevel"/>
    <w:lvl w:ilvl="0">
      <w:lvlJc w:val="left"/>
      <w:lvlText w:val="%1."/>
      <w:numFmt w:val="decimal"/>
      <w:start w:val="16"/>
    </w:lvl>
  </w:abstractNum>
  <w:abstractNum w:abstractNumId="143">
    <w:nsid w:val="6EAA85FB"/>
    <w:multiLevelType w:val="hybridMultilevel"/>
    <w:lvl w:ilvl="0">
      <w:lvlJc w:val="left"/>
      <w:lvlText w:val="%1."/>
      <w:numFmt w:val="decimal"/>
      <w:start w:val="17"/>
    </w:lvl>
  </w:abstractNum>
  <w:abstractNum w:abstractNumId="144">
    <w:nsid w:val="3F06ECB2"/>
    <w:multiLevelType w:val="hybridMultilevel"/>
    <w:lvl w:ilvl="0">
      <w:lvlJc w:val="left"/>
      <w:lvlText w:val="%1."/>
      <w:numFmt w:val="decimal"/>
      <w:start w:val="18"/>
    </w:lvl>
    <w:lvl w:ilvl="1">
      <w:lvlJc w:val="left"/>
      <w:lvlText w:val="(%2)"/>
      <w:numFmt w:val="lowerLetter"/>
      <w:start w:val="1"/>
    </w:lvl>
  </w:abstractNum>
  <w:abstractNum w:abstractNumId="145">
    <w:nsid w:val="3B594807"/>
    <w:multiLevelType w:val="hybridMultilevel"/>
    <w:lvl w:ilvl="0">
      <w:lvlJc w:val="left"/>
      <w:lvlText w:val="%1"/>
      <w:numFmt w:val="decimal"/>
      <w:start w:val="1"/>
    </w:lvl>
    <w:lvl w:ilvl="1">
      <w:lvlJc w:val="left"/>
      <w:lvlText w:val="(%2)"/>
      <w:numFmt w:val="lowerLetter"/>
      <w:start w:val="2"/>
    </w:lvl>
  </w:abstractNum>
  <w:abstractNum w:abstractNumId="146">
    <w:nsid w:val="6CAA2304"/>
    <w:multiLevelType w:val="hybridMultilevel"/>
    <w:lvl w:ilvl="0">
      <w:lvlJc w:val="left"/>
      <w:lvlText w:val="%1."/>
      <w:numFmt w:val="decimal"/>
      <w:start w:val="19"/>
    </w:lvl>
    <w:lvl w:ilvl="1">
      <w:lvlJc w:val="left"/>
      <w:lvlText w:val="%2"/>
      <w:numFmt w:val="lowerLetter"/>
      <w:start w:val="1"/>
    </w:lvl>
  </w:abstractNum>
  <w:abstractNum w:abstractNumId="147">
    <w:nsid w:val="3F7C2FF4"/>
    <w:multiLevelType w:val="hybridMultilevel"/>
    <w:lvl w:ilvl="0">
      <w:lvlJc w:val="left"/>
      <w:lvlText w:val="%1."/>
      <w:numFmt w:val="decimal"/>
      <w:start w:val="20"/>
    </w:lvl>
  </w:abstractNum>
  <w:abstractNum w:abstractNumId="148">
    <w:nsid w:val="25413BEC"/>
    <w:multiLevelType w:val="hybridMultilevel"/>
    <w:lvl w:ilvl="0">
      <w:lvlJc w:val="left"/>
      <w:lvlText w:val="%1."/>
      <w:numFmt w:val="decimal"/>
      <w:start w:val="21"/>
    </w:lvl>
  </w:abstractNum>
  <w:abstractNum w:abstractNumId="149">
    <w:nsid w:val="17180B0B"/>
    <w:multiLevelType w:val="hybridMultilevel"/>
    <w:lvl w:ilvl="0">
      <w:lvlJc w:val="left"/>
      <w:lvlText w:val="%1."/>
      <w:numFmt w:val="upperLetter"/>
      <w:start w:val="1"/>
    </w:lvl>
  </w:abstractNum>
  <w:abstractNum w:abstractNumId="150">
    <w:nsid w:val="579328B9"/>
    <w:multiLevelType w:val="hybridMultilevel"/>
    <w:lvl w:ilvl="0">
      <w:lvlJc w:val="left"/>
      <w:lvlText w:val="%1."/>
      <w:numFmt w:val="decimal"/>
      <w:start w:val="1"/>
    </w:lvl>
  </w:abstractNum>
  <w:abstractNum w:abstractNumId="151">
    <w:nsid w:val="5D205E20"/>
    <w:multiLevelType w:val="hybridMultilevel"/>
    <w:lvl w:ilvl="0">
      <w:lvlJc w:val="left"/>
      <w:lvlText w:val="%1."/>
      <w:numFmt w:val="decimal"/>
      <w:start w:val="1"/>
    </w:lvl>
    <w:lvl w:ilvl="1">
      <w:lvlJc w:val="left"/>
      <w:lvlText w:val="%2"/>
      <w:numFmt w:val="lowerLetter"/>
      <w:start w:val="1"/>
    </w:lvl>
  </w:abstractNum>
  <w:abstractNum w:abstractNumId="152">
    <w:nsid w:val="11CCA8BA"/>
    <w:multiLevelType w:val="hybridMultilevel"/>
    <w:lvl w:ilvl="0">
      <w:lvlJc w:val="left"/>
      <w:lvlText w:val="%1."/>
      <w:numFmt w:val="decimal"/>
      <w:start w:val="3"/>
    </w:lvl>
    <w:lvl w:ilvl="1">
      <w:lvlJc w:val="left"/>
      <w:lvlText w:val="%2"/>
      <w:numFmt w:val="lowerLetter"/>
      <w:start w:val="1"/>
    </w:lvl>
  </w:abstractNum>
  <w:abstractNum w:abstractNumId="153">
    <w:nsid w:val="4D32AB86"/>
    <w:multiLevelType w:val="hybridMultilevel"/>
    <w:lvl w:ilvl="0">
      <w:lvlJc w:val="left"/>
      <w:lvlText w:val="%1."/>
      <w:numFmt w:val="lowerLetter"/>
      <w:start w:val="2"/>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1."/>
      <w:numFmt w:val="lowerLetter"/>
      <w:start w:val="4"/>
    </w:lvl>
  </w:abstractNum>
  <w:abstractNum w:abstractNumId="157">
    <w:nsid w:val="16CF80F1"/>
    <w:multiLevelType w:val="hybridMultilevel"/>
    <w:lvl w:ilvl="0">
      <w:lvlJc w:val="left"/>
      <w:lvlText w:val="%1."/>
      <w:numFmt w:val="lowerLetter"/>
      <w:start w:val="5"/>
    </w:lvl>
  </w:abstractNum>
  <w:abstractNum w:abstractNumId="158">
    <w:nsid w:val="1C695DEC"/>
    <w:multiLevelType w:val="hybridMultilevel"/>
    <w:lvl w:ilvl="0">
      <w:lvlJc w:val="left"/>
      <w:lvlText w:val="%1."/>
      <w:numFmt w:val="lowerLetter"/>
      <w:start w:val="6"/>
    </w:lvl>
  </w:abstractNum>
  <w:abstractNum w:abstractNumId="159">
    <w:nsid w:val="3FCFAED9"/>
    <w:multiLevelType w:val="hybridMultilevel"/>
    <w:lvl w:ilvl="0">
      <w:lvlJc w:val="left"/>
      <w:lvlText w:val="%1."/>
      <w:numFmt w:val="decimal"/>
      <w:start w:val="4"/>
    </w:lvl>
  </w:abstractNum>
  <w:abstractNum w:abstractNumId="160">
    <w:nsid w:val="F856867"/>
    <w:multiLevelType w:val="hybridMultilevel"/>
    <w:lvl w:ilvl="0">
      <w:lvlJc w:val="left"/>
      <w:lvlText w:val="%1"/>
      <w:numFmt w:val="decimal"/>
      <w:start w:val="1"/>
    </w:lvl>
    <w:lvl w:ilvl="1">
      <w:lvlJc w:val="left"/>
      <w:lvlText w:val="%2."/>
      <w:numFmt w:val="lowerLetter"/>
      <w:start w:val="2"/>
    </w:lvl>
  </w:abstractNum>
  <w:abstractNum w:abstractNumId="161">
    <w:nsid w:val="11B1CC33"/>
    <w:multiLevelType w:val="hybridMultilevel"/>
    <w:lvl w:ilvl="0">
      <w:lvlJc w:val="left"/>
      <w:lvlText w:val="%1."/>
      <w:numFmt w:val="decimal"/>
      <w:start w:val="5"/>
    </w:lvl>
    <w:lvl w:ilvl="1">
      <w:lvlJc w:val="left"/>
      <w:lvlText w:val="%2"/>
      <w:numFmt w:val="lowerLetter"/>
      <w:start w:val="1"/>
    </w:lvl>
  </w:abstractNum>
  <w:abstractNum w:abstractNumId="162">
    <w:nsid w:val="2E22FBB7"/>
    <w:multiLevelType w:val="hybridMultilevel"/>
    <w:lvl w:ilvl="0">
      <w:lvlJc w:val="left"/>
      <w:lvlText w:val="%1."/>
      <w:numFmt w:val="decimal"/>
      <w:start w:val="6"/>
    </w:lvl>
  </w:abstractNum>
  <w:abstractNum w:abstractNumId="163">
    <w:nsid w:val="29934699"/>
    <w:multiLevelType w:val="hybridMultilevel"/>
    <w:lvl w:ilvl="0">
      <w:lvlJc w:val="left"/>
      <w:lvlText w:val="%1."/>
      <w:numFmt w:val="decimal"/>
      <w:start w:val="8"/>
    </w:lvl>
  </w:abstractNum>
  <w:abstractNum w:abstractNumId="164">
    <w:nsid w:val="7748585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2019-12-20T03:15:19Z</dcterms:created>
  <dcterms:modified xsi:type="dcterms:W3CDTF">2019-12-20T03:15:19Z</dcterms:modified>
</cp:coreProperties>
</file>