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CORNILLE DOUGLAS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BELLRING BRANDS,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BELLRING BRANDS,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09/03/2025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365"/>
        <w:spacing w:after="0"/>
        <w:rPr>
          <w:sz w:val="20"/>
          <w:szCs w:val="20"/>
          <w:color w:val="auto"/>
        </w:rPr>
      </w:pPr>
      <w:r>
        <w:rPr>
          <w:rFonts w:ascii="Times New Roman" w:cs="Times New Roman" w:eastAsia="Times New Roman" w:hAnsi="Times New Roman"/>
          <w:sz w:val="17"/>
          <w:szCs w:val="17"/>
          <w:color w:val="0000FF"/>
        </w:rPr>
        <w:t>CHIEF GROWTH OFFICER PNC</w:t>
      </w:r>
    </w:p>
    <w:p>
      <w:pPr>
        <w:spacing w:after="0" w:line="422" w:lineRule="exact"/>
        <w:rPr>
          <w:sz w:val="24"/>
          <w:szCs w:val="24"/>
          <w:color w:val="auto"/>
        </w:rPr>
      </w:pPr>
    </w:p>
    <w:p>
      <w:pPr>
        <w:sectPr>
          <w:pgSz w:w="11900" w:h="16838" w:orient="portrait"/>
          <w:cols w:equalWidth="0" w:num="3">
            <w:col w:w="3200" w:space="720"/>
            <w:col w:w="3260" w:space="5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ST. LOUIS</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MO</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63144</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09/03/2025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3,970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42.03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53,866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was effected pursuant to a Rule 10b5-1 trading plan adopted by the reporting person on June 4,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$41.83 to $42.22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09/04/2025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0179" TargetMode="External"/><Relationship Id="rId14"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2025-09-30T09:32:58Z</dcterms:created>
  <dcterms:modified xsi:type="dcterms:W3CDTF">2025-09-30T09:32:58Z</dcterms:modified>
</cp:coreProperties>
</file>