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322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DAVENPORT DARCY HORN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BELLRING BRANDS,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2503 S. HANLEY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BELLRING BRANDS,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BRBR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11/11/2022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945"/>
        <w:spacing w:after="0"/>
        <w:rPr>
          <w:sz w:val="20"/>
          <w:szCs w:val="20"/>
          <w:color w:val="auto"/>
        </w:rPr>
      </w:pPr>
      <w:r>
        <w:rPr>
          <w:rFonts w:ascii="Times New Roman" w:cs="Times New Roman" w:eastAsia="Times New Roman" w:hAnsi="Times New Roman"/>
          <w:sz w:val="17"/>
          <w:szCs w:val="17"/>
          <w:color w:val="0000FF"/>
        </w:rPr>
        <w:t>PRES. AND CEO</w:t>
      </w:r>
    </w:p>
    <w:p>
      <w:pPr>
        <w:spacing w:after="0" w:line="419" w:lineRule="exact"/>
        <w:rPr>
          <w:sz w:val="24"/>
          <w:szCs w:val="24"/>
          <w:color w:val="auto"/>
        </w:rPr>
      </w:pPr>
    </w:p>
    <w:p>
      <w:pPr>
        <w:sectPr>
          <w:pgSz w:w="11900" w:h="16838" w:orient="portrait"/>
          <w:cols w:equalWidth="0" w:num="3">
            <w:col w:w="3200" w:space="720"/>
            <w:col w:w="3260" w:space="555"/>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ST. LOUIS</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MO</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63144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11/11/2022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7,618</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25.31</w:t>
            </w:r>
          </w:p>
        </w:tc>
        <w:tc>
          <w:tcPr>
            <w:tcW w:w="120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122,449</w:t>
            </w:r>
          </w:p>
        </w:tc>
        <w:tc>
          <w:tcPr>
            <w:tcW w:w="92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11/12/2022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7,341</w:t>
            </w:r>
            <w:r>
              <w:rPr>
                <w:rFonts w:ascii="Times New Roman" w:cs="Times New Roman" w:eastAsia="Times New Roman" w:hAnsi="Times New Roman"/>
                <w:sz w:val="22"/>
                <w:szCs w:val="22"/>
                <w:color w:val="008000"/>
                <w:vertAlign w:val="superscript"/>
              </w:rPr>
              <w:t>(2)</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25.31</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125,305</w:t>
            </w:r>
            <w:r>
              <w:rPr>
                <w:rFonts w:ascii="Times New Roman" w:cs="Times New Roman" w:eastAsia="Times New Roman" w:hAnsi="Times New Roman"/>
                <w:sz w:val="22"/>
                <w:szCs w:val="22"/>
                <w:color w:val="008000"/>
                <w:w w:val="96"/>
                <w:vertAlign w:val="superscript"/>
              </w:rPr>
              <w:t>(3)</w:t>
            </w:r>
          </w:p>
        </w:tc>
        <w:tc>
          <w:tcPr>
            <w:tcW w:w="92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20,235</w:t>
            </w:r>
          </w:p>
        </w:tc>
        <w:tc>
          <w:tcPr>
            <w:tcW w:w="920" w:type="dxa"/>
            <w:vAlign w:val="bottom"/>
            <w:vMerge w:val="restart"/>
          </w:tcPr>
          <w:p>
            <w:pPr>
              <w:jc w:val="center"/>
              <w:ind w:right="54"/>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Surrender of shares in payment of tax withholding due as a result of the vesting of 15,365 restricted stock units ("RSUs") in accordance with Rule 16b-3.</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Surrender of shares in payment of tax withholding due as a result of the vesting of 14,805 RSUs in accordance with Rule 16b-3.</w:t>
      </w:r>
    </w:p>
    <w:p>
      <w:pPr>
        <w:spacing w:after="0" w:line="50" w:lineRule="exact"/>
        <w:rPr>
          <w:rFonts w:ascii="Times New Roman" w:cs="Times New Roman" w:eastAsia="Times New Roman" w:hAnsi="Times New Roman"/>
          <w:sz w:val="13"/>
          <w:szCs w:val="13"/>
          <w:color w:val="008000"/>
        </w:rPr>
      </w:pPr>
    </w:p>
    <w:p>
      <w:pPr>
        <w:ind w:left="40" w:right="26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transactions under the transaction agreement and plan of merger entered into on October 26, 2021, as amended on February 28, 2022, whereby BellRing Intermediate Holdings, Inc. (formerly known as BellRing Brands, Inc.) ("Old BellRing") merged with a subsidiary of Issuer and each outstanding share of Old BellRing Class A common stock was converted into one share of Issuer common stock and $2.97 in cash (the "Cash Consideration" and such transactions the "Transactions"), awards under the Old BellRing 2019 Long-Term Incentive Plan were adjusted to account for the Cash Consideration paid to holders of Old Bell Ring common stock in the Transactions. The amount of securities beneficially owned following the reported transaction includes 10,197 additional RSUs received in connection with such adjustment, which RSUs are subject to the same vesting terms as the underlying awards.</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Craig L. Rosenthal,</w:t>
            </w:r>
          </w:p>
        </w:tc>
        <w:tc>
          <w:tcPr>
            <w:tcW w:w="5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11/15/2022</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90322" TargetMode="External"/><Relationship Id="rId13" Type="http://schemas.openxmlformats.org/officeDocument/2006/relationships/hyperlink" Target="http://www.sec.gov/cgi-bin/browse-edgar?action=getcompany&amp;CIK=00017720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2022-11-15T15:57:33Z</dcterms:created>
  <dcterms:modified xsi:type="dcterms:W3CDTF">2022-11-15T15:57:33Z</dcterms:modified>
</cp:coreProperties>
</file>