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5"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2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65747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6574790"/>
                    </a:xfrm>
                    <a:prstGeom prst="rect">
                      <a:avLst/>
                    </a:prstGeom>
                    <a:noFill/>
                  </pic:spPr>
                </pic:pic>
              </a:graphicData>
            </a:graphic>
          </wp:anchor>
        </w:drawing>
      </w:r>
    </w:p>
    <w:p>
      <w:pPr>
        <w:spacing w:after="0" w:line="1222" w:lineRule="exact"/>
        <w:rPr>
          <w:sz w:val="24"/>
          <w:szCs w:val="24"/>
          <w:color w:val="auto"/>
        </w:rPr>
      </w:pPr>
    </w:p>
    <w:p>
      <w:pPr>
        <w:sectPr>
          <w:pgSz w:w="11900" w:h="16894" w:orient="portrait"/>
          <w:cols w:equalWidth="0" w:num="2">
            <w:col w:w="2320" w:space="160"/>
            <w:col w:w="8520"/>
          </w:cols>
          <w:pgMar w:left="460" w:top="219" w:right="43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4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VITALE ROBERT V</w:t>
              </w:r>
            </w:hyperlink>
          </w:p>
        </w:tc>
        <w:tc>
          <w:tcPr>
            <w:tcW w:w="12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BELLRING BRANDS,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BRBR</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400" w:type="dxa"/>
            <w:vAlign w:val="bottom"/>
            <w:gridSpan w:val="3"/>
            <w:vMerge w:val="continue"/>
          </w:tcPr>
          <w:p>
            <w:pPr>
              <w:spacing w:after="0"/>
              <w:rPr>
                <w:sz w:val="6"/>
                <w:szCs w:val="6"/>
                <w:color w:val="auto"/>
              </w:rPr>
            </w:pPr>
          </w:p>
        </w:tc>
        <w:tc>
          <w:tcPr>
            <w:tcW w:w="12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500" w:type="dxa"/>
            <w:vAlign w:val="bottom"/>
            <w:tcBorders>
              <w:bottom w:val="single" w:sz="8" w:color="0000EE"/>
            </w:tcBorders>
          </w:tcPr>
          <w:p>
            <w:pPr>
              <w:spacing w:after="0"/>
              <w:rPr>
                <w:sz w:val="6"/>
                <w:szCs w:val="6"/>
                <w:color w:val="auto"/>
              </w:rPr>
            </w:pPr>
          </w:p>
        </w:tc>
        <w:tc>
          <w:tcPr>
            <w:tcW w:w="12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400" w:type="dxa"/>
            <w:vAlign w:val="bottom"/>
            <w:gridSpan w:val="3"/>
            <w:vMerge w:val="continue"/>
          </w:tcPr>
          <w:p>
            <w:pPr>
              <w:spacing w:after="0"/>
              <w:rPr>
                <w:sz w:val="5"/>
                <w:szCs w:val="5"/>
                <w:color w:val="auto"/>
              </w:rPr>
            </w:pPr>
          </w:p>
        </w:tc>
        <w:tc>
          <w:tcPr>
            <w:tcW w:w="12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060" w:type="dxa"/>
            <w:vAlign w:val="bottom"/>
            <w:tcBorders>
              <w:top w:val="single" w:sz="8" w:color="0000EE"/>
            </w:tcBorders>
          </w:tcPr>
          <w:p>
            <w:pPr>
              <w:spacing w:after="0"/>
              <w:rPr>
                <w:sz w:val="6"/>
                <w:szCs w:val="6"/>
                <w:color w:val="auto"/>
              </w:rPr>
            </w:pPr>
          </w:p>
        </w:tc>
        <w:tc>
          <w:tcPr>
            <w:tcW w:w="560" w:type="dxa"/>
            <w:vAlign w:val="bottom"/>
          </w:tcPr>
          <w:p>
            <w:pPr>
              <w:spacing w:after="0"/>
              <w:rPr>
                <w:sz w:val="6"/>
                <w:szCs w:val="6"/>
                <w:color w:val="auto"/>
              </w:rPr>
            </w:pPr>
          </w:p>
        </w:tc>
        <w:tc>
          <w:tcPr>
            <w:tcW w:w="12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060" w:type="dxa"/>
            <w:vAlign w:val="bottom"/>
            <w:tcBorders>
              <w:top w:val="single" w:sz="8" w:color="EEEEEE"/>
            </w:tcBorders>
          </w:tcPr>
          <w:p>
            <w:pPr>
              <w:spacing w:after="0"/>
              <w:rPr>
                <w:sz w:val="2"/>
                <w:szCs w:val="2"/>
                <w:color w:val="auto"/>
              </w:rPr>
            </w:pPr>
          </w:p>
        </w:tc>
        <w:tc>
          <w:tcPr>
            <w:tcW w:w="560" w:type="dxa"/>
            <w:vAlign w:val="bottom"/>
            <w:tcBorders>
              <w:top w:val="single" w:sz="8" w:color="EEEEEE"/>
            </w:tcBorders>
          </w:tcPr>
          <w:p>
            <w:pPr>
              <w:spacing w:after="0"/>
              <w:rPr>
                <w:sz w:val="2"/>
                <w:szCs w:val="2"/>
                <w:color w:val="auto"/>
              </w:rPr>
            </w:pPr>
          </w:p>
        </w:tc>
        <w:tc>
          <w:tcPr>
            <w:tcW w:w="12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40" w:type="dxa"/>
            <w:vAlign w:val="bottom"/>
            <w:vMerge w:val="restart"/>
          </w:tcPr>
          <w:p>
            <w:pPr>
              <w:ind w:left="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620" w:type="dxa"/>
            <w:vAlign w:val="bottom"/>
            <w:gridSpan w:val="2"/>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26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02/24/2025</w:t>
            </w:r>
          </w:p>
        </w:tc>
        <w:tc>
          <w:tcPr>
            <w:tcW w:w="12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4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BELLRING BRANDS, INC.</w:t>
            </w:r>
          </w:p>
        </w:tc>
        <w:tc>
          <w:tcPr>
            <w:tcW w:w="1240" w:type="dxa"/>
            <w:vAlign w:val="bottom"/>
          </w:tcPr>
          <w:p>
            <w:pPr>
              <w:spacing w:after="0"/>
              <w:rPr>
                <w:sz w:val="11"/>
                <w:szCs w:val="11"/>
                <w:color w:val="auto"/>
              </w:rPr>
            </w:pPr>
          </w:p>
        </w:tc>
        <w:tc>
          <w:tcPr>
            <w:tcW w:w="2660" w:type="dxa"/>
            <w:vAlign w:val="bottom"/>
            <w:gridSpan w:val="3"/>
            <w:vMerge w:val="continue"/>
          </w:tcPr>
          <w:p>
            <w:pPr>
              <w:spacing w:after="0"/>
              <w:rPr>
                <w:sz w:val="11"/>
                <w:szCs w:val="11"/>
                <w:color w:val="auto"/>
              </w:rPr>
            </w:pPr>
          </w:p>
        </w:tc>
        <w:tc>
          <w:tcPr>
            <w:tcW w:w="12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400" w:type="dxa"/>
            <w:vAlign w:val="bottom"/>
            <w:gridSpan w:val="3"/>
            <w:vMerge w:val="continue"/>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4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2503 S. HANLEY ROAD</w:t>
            </w: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500" w:type="dxa"/>
            <w:vAlign w:val="bottom"/>
            <w:tcBorders>
              <w:bottom w:val="single" w:sz="8" w:color="2C2C2C"/>
            </w:tcBorders>
          </w:tcPr>
          <w:p>
            <w:pPr>
              <w:spacing w:after="0"/>
              <w:rPr>
                <w:sz w:val="12"/>
                <w:szCs w:val="12"/>
                <w:color w:val="auto"/>
              </w:rPr>
            </w:pPr>
          </w:p>
        </w:tc>
        <w:tc>
          <w:tcPr>
            <w:tcW w:w="12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400" w:type="dxa"/>
            <w:vAlign w:val="bottom"/>
            <w:gridSpan w:val="3"/>
            <w:vMerge w:val="continue"/>
          </w:tcPr>
          <w:p>
            <w:pPr>
              <w:spacing w:after="0"/>
              <w:rPr>
                <w:sz w:val="9"/>
                <w:szCs w:val="9"/>
                <w:color w:val="auto"/>
              </w:rPr>
            </w:pPr>
          </w:p>
        </w:tc>
        <w:tc>
          <w:tcPr>
            <w:tcW w:w="12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94" w:orient="portrait"/>
          <w:cols w:equalWidth="0" w:num="1">
            <w:col w:w="11000"/>
          </w:cols>
          <w:pgMar w:left="460" w:top="219" w:right="439" w:bottom="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ST. LOUIS</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MO</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63144</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94" w:orient="portrait"/>
          <w:cols w:equalWidth="0" w:num="2">
            <w:col w:w="7540" w:space="720"/>
            <w:col w:w="2740"/>
          </w:cols>
          <w:pgMar w:left="460" w:top="219" w:right="439" w:bottom="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44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tcPr>
          <w:p>
            <w:pPr>
              <w:ind w:left="6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440" w:type="dxa"/>
            <w:vAlign w:val="bottom"/>
          </w:tcPr>
          <w:p>
            <w:pPr>
              <w:spacing w:after="0"/>
              <w:rPr>
                <w:sz w:val="11"/>
                <w:szCs w:val="11"/>
                <w:color w:val="auto"/>
              </w:rPr>
            </w:pPr>
          </w:p>
        </w:tc>
        <w:tc>
          <w:tcPr>
            <w:tcW w:w="172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440" w:type="dxa"/>
            <w:vAlign w:val="bottom"/>
          </w:tcPr>
          <w:p>
            <w:pPr>
              <w:spacing w:after="0"/>
              <w:rPr>
                <w:sz w:val="11"/>
                <w:szCs w:val="11"/>
                <w:color w:val="auto"/>
              </w:rPr>
            </w:pPr>
          </w:p>
        </w:tc>
        <w:tc>
          <w:tcPr>
            <w:tcW w:w="1720" w:type="dxa"/>
            <w:vAlign w:val="bottom"/>
          </w:tcPr>
          <w:p>
            <w:pPr>
              <w:jc w:val="center"/>
              <w:ind w:left="54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4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440" w:type="dxa"/>
            <w:vAlign w:val="bottom"/>
          </w:tcPr>
          <w:p>
            <w:pPr>
              <w:spacing w:after="0"/>
              <w:rPr>
                <w:sz w:val="6"/>
                <w:szCs w:val="6"/>
                <w:color w:val="auto"/>
              </w:rPr>
            </w:pPr>
          </w:p>
        </w:tc>
        <w:tc>
          <w:tcPr>
            <w:tcW w:w="17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44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4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44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76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44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44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4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tcBorders>
              <w:bottom w:val="single" w:sz="8" w:color="2C2C2C"/>
            </w:tcBorders>
          </w:tcPr>
          <w:p>
            <w:pPr>
              <w:jc w:val="center"/>
              <w:ind w:left="547"/>
              <w:spacing w:after="0"/>
              <w:rPr>
                <w:sz w:val="20"/>
                <w:szCs w:val="20"/>
                <w:color w:val="auto"/>
              </w:rPr>
            </w:pPr>
            <w:r>
              <w:rPr>
                <w:rFonts w:ascii="Times New Roman" w:cs="Times New Roman" w:eastAsia="Times New Roman" w:hAnsi="Times New Roman"/>
                <w:sz w:val="17"/>
                <w:szCs w:val="17"/>
                <w:color w:val="0000FF"/>
              </w:rPr>
              <w:t>02/24/2025</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14,230</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73.03</w:t>
            </w:r>
            <w:r>
              <w:rPr>
                <w:rFonts w:ascii="Times New Roman" w:cs="Times New Roman" w:eastAsia="Times New Roman" w:hAnsi="Times New Roman"/>
                <w:sz w:val="22"/>
                <w:szCs w:val="22"/>
                <w:color w:val="008000"/>
                <w:vertAlign w:val="superscript"/>
              </w:rPr>
              <w:t>(2)</w:t>
            </w:r>
          </w:p>
        </w:tc>
        <w:tc>
          <w:tcPr>
            <w:tcW w:w="11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818,950</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4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tcBorders>
              <w:bottom w:val="single" w:sz="8" w:color="2C2C2C"/>
            </w:tcBorders>
          </w:tcPr>
          <w:p>
            <w:pPr>
              <w:jc w:val="center"/>
              <w:ind w:left="547"/>
              <w:spacing w:after="0"/>
              <w:rPr>
                <w:sz w:val="20"/>
                <w:szCs w:val="20"/>
                <w:color w:val="auto"/>
              </w:rPr>
            </w:pPr>
            <w:r>
              <w:rPr>
                <w:rFonts w:ascii="Times New Roman" w:cs="Times New Roman" w:eastAsia="Times New Roman" w:hAnsi="Times New Roman"/>
                <w:sz w:val="17"/>
                <w:szCs w:val="17"/>
                <w:color w:val="0000FF"/>
              </w:rPr>
              <w:t>02/24/2025</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770</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73.64</w:t>
            </w:r>
            <w:r>
              <w:rPr>
                <w:rFonts w:ascii="Times New Roman" w:cs="Times New Roman" w:eastAsia="Times New Roman" w:hAnsi="Times New Roman"/>
                <w:sz w:val="22"/>
                <w:szCs w:val="22"/>
                <w:color w:val="008000"/>
                <w:vertAlign w:val="superscript"/>
              </w:rPr>
              <w:t>(3)</w:t>
            </w:r>
          </w:p>
        </w:tc>
        <w:tc>
          <w:tcPr>
            <w:tcW w:w="11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818,180</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4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tcBorders>
              <w:bottom w:val="single" w:sz="8" w:color="2C2C2C"/>
            </w:tcBorders>
          </w:tcPr>
          <w:p>
            <w:pPr>
              <w:jc w:val="center"/>
              <w:ind w:left="547"/>
              <w:spacing w:after="0"/>
              <w:rPr>
                <w:sz w:val="20"/>
                <w:szCs w:val="20"/>
                <w:color w:val="auto"/>
              </w:rPr>
            </w:pPr>
            <w:r>
              <w:rPr>
                <w:rFonts w:ascii="Times New Roman" w:cs="Times New Roman" w:eastAsia="Times New Roman" w:hAnsi="Times New Roman"/>
                <w:sz w:val="17"/>
                <w:szCs w:val="17"/>
                <w:color w:val="0000FF"/>
              </w:rPr>
              <w:t>02/25/2025</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14,723</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72.23</w:t>
            </w:r>
            <w:r>
              <w:rPr>
                <w:rFonts w:ascii="Times New Roman" w:cs="Times New Roman" w:eastAsia="Times New Roman" w:hAnsi="Times New Roman"/>
                <w:sz w:val="22"/>
                <w:szCs w:val="22"/>
                <w:color w:val="008000"/>
                <w:vertAlign w:val="superscript"/>
              </w:rPr>
              <w:t>(4)</w:t>
            </w:r>
          </w:p>
        </w:tc>
        <w:tc>
          <w:tcPr>
            <w:tcW w:w="11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803,457</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4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 2020</w:t>
            </w:r>
          </w:p>
        </w:tc>
        <w:tc>
          <w:tcPr>
            <w:tcW w:w="0" w:type="dxa"/>
            <w:vAlign w:val="bottom"/>
          </w:tcPr>
          <w:p>
            <w:pPr>
              <w:spacing w:after="0"/>
              <w:rPr>
                <w:sz w:val="1"/>
                <w:szCs w:val="1"/>
                <w:color w:val="auto"/>
              </w:rPr>
            </w:pPr>
          </w:p>
        </w:tc>
      </w:tr>
      <w:tr>
        <w:trPr>
          <w:trHeight w:val="213"/>
        </w:trPr>
        <w:tc>
          <w:tcPr>
            <w:tcW w:w="24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213"/>
        </w:trPr>
        <w:tc>
          <w:tcPr>
            <w:tcW w:w="24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132,483</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213"/>
        </w:trPr>
        <w:tc>
          <w:tcPr>
            <w:tcW w:w="24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(Robert</w:t>
            </w:r>
          </w:p>
        </w:tc>
        <w:tc>
          <w:tcPr>
            <w:tcW w:w="0" w:type="dxa"/>
            <w:vAlign w:val="bottom"/>
          </w:tcPr>
          <w:p>
            <w:pPr>
              <w:spacing w:after="0"/>
              <w:rPr>
                <w:sz w:val="1"/>
                <w:szCs w:val="1"/>
                <w:color w:val="auto"/>
              </w:rPr>
            </w:pPr>
          </w:p>
        </w:tc>
      </w:tr>
      <w:tr>
        <w:trPr>
          <w:trHeight w:val="226"/>
        </w:trPr>
        <w:tc>
          <w:tcPr>
            <w:tcW w:w="24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Vitale)</w:t>
            </w:r>
          </w:p>
        </w:tc>
        <w:tc>
          <w:tcPr>
            <w:tcW w:w="0" w:type="dxa"/>
            <w:vAlign w:val="bottom"/>
          </w:tcPr>
          <w:p>
            <w:pPr>
              <w:spacing w:after="0"/>
              <w:rPr>
                <w:sz w:val="1"/>
                <w:szCs w:val="1"/>
                <w:color w:val="auto"/>
              </w:rPr>
            </w:pPr>
          </w:p>
        </w:tc>
      </w:tr>
      <w:tr>
        <w:trPr>
          <w:trHeight w:val="61"/>
        </w:trPr>
        <w:tc>
          <w:tcPr>
            <w:tcW w:w="2440" w:type="dxa"/>
            <w:vAlign w:val="bottom"/>
            <w:tcBorders>
              <w:bottom w:val="single" w:sz="8" w:color="2C2C2C"/>
            </w:tcBorders>
          </w:tcPr>
          <w:p>
            <w:pPr>
              <w:spacing w:after="0"/>
              <w:rPr>
                <w:sz w:val="5"/>
                <w:szCs w:val="5"/>
                <w:color w:val="auto"/>
              </w:rPr>
            </w:pPr>
          </w:p>
        </w:tc>
        <w:tc>
          <w:tcPr>
            <w:tcW w:w="17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4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 2020</w:t>
            </w:r>
          </w:p>
        </w:tc>
        <w:tc>
          <w:tcPr>
            <w:tcW w:w="0" w:type="dxa"/>
            <w:vAlign w:val="bottom"/>
          </w:tcPr>
          <w:p>
            <w:pPr>
              <w:spacing w:after="0"/>
              <w:rPr>
                <w:sz w:val="1"/>
                <w:szCs w:val="1"/>
                <w:color w:val="auto"/>
              </w:rPr>
            </w:pPr>
          </w:p>
        </w:tc>
      </w:tr>
      <w:tr>
        <w:trPr>
          <w:trHeight w:val="213"/>
        </w:trPr>
        <w:tc>
          <w:tcPr>
            <w:tcW w:w="24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rPr>
              <w:t>166,021</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120"/>
        </w:trPr>
        <w:tc>
          <w:tcPr>
            <w:tcW w:w="2440" w:type="dxa"/>
            <w:vAlign w:val="bottom"/>
            <w:vMerge w:val="continue"/>
          </w:tcPr>
          <w:p>
            <w:pPr>
              <w:spacing w:after="0"/>
              <w:rPr>
                <w:sz w:val="10"/>
                <w:szCs w:val="10"/>
                <w:color w:val="auto"/>
              </w:rPr>
            </w:pPr>
          </w:p>
        </w:tc>
        <w:tc>
          <w:tcPr>
            <w:tcW w:w="17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107"/>
        </w:trPr>
        <w:tc>
          <w:tcPr>
            <w:tcW w:w="244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ind w:left="10260"/>
        <w:spacing w:after="0"/>
        <w:rPr>
          <w:sz w:val="20"/>
          <w:szCs w:val="20"/>
          <w:color w:val="auto"/>
        </w:rPr>
      </w:pPr>
      <w:r>
        <w:rPr>
          <w:rFonts w:ascii="Times New Roman" w:cs="Times New Roman" w:eastAsia="Times New Roman" w:hAnsi="Times New Roman"/>
          <w:sz w:val="17"/>
          <w:szCs w:val="17"/>
          <w:color w:val="0000FF"/>
        </w:rPr>
        <w:t>(Spouse)</w:t>
      </w:r>
    </w:p>
    <w:p>
      <w:pPr>
        <w:spacing w:after="0" w:line="164"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sold by the Reporting Person to cover tax obligations in connection with the vesting of performance-based and time-based restricted stock units previously granted to the Reporting Person.</w:t>
      </w:r>
    </w:p>
    <w:p>
      <w:pPr>
        <w:spacing w:after="0" w:line="7" w:lineRule="exact"/>
        <w:rPr>
          <w:rFonts w:ascii="Times New Roman" w:cs="Times New Roman" w:eastAsia="Times New Roman" w:hAnsi="Times New Roman"/>
          <w:sz w:val="13"/>
          <w:szCs w:val="13"/>
          <w:color w:val="008000"/>
        </w:rPr>
      </w:pPr>
    </w:p>
    <w:p>
      <w:pPr>
        <w:ind w:left="40" w:right="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$72.51 to $73.50 per share. The holder undertakes to provide to the issuer, any security holder of the issuer, or the staff of the Securities and Exchange Commission, upon written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$73.52 to $73.75 per share. The holder undertakes to provide to the issuer, any security holder of the issuer, or the staff of the Securities and Exchange Commission, upon written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$71.93 to $72.55 per share. The holder undertakes to provide to the issuer, any security holder of the issuer, or the staff of the Securities and Exchange Commission, upon written request, full information regarding the number of shares sold at each separate price within the range set forth in this footnote.</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Craig L. Rosenthal,</w:t>
            </w:r>
          </w:p>
        </w:tc>
        <w:tc>
          <w:tcPr>
            <w:tcW w:w="50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02/26/2025</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 in 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ectPr>
          <w:pgSz w:w="11900" w:h="16894" w:orient="portrait"/>
          <w:cols w:equalWidth="0" w:num="1">
            <w:col w:w="11000"/>
          </w:cols>
          <w:pgMar w:left="460" w:top="219" w:right="43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67"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540021" TargetMode="External"/><Relationship Id="rId14" Type="http://schemas.openxmlformats.org/officeDocument/2006/relationships/hyperlink" Target="http://www.sec.gov/cgi-bin/browse-edgar?action=getcompany&amp;CIK=00017720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2025-02-26T20:10:49Z</dcterms:created>
  <dcterms:modified xsi:type="dcterms:W3CDTF">2025-02-26T20:10:49Z</dcterms:modified>
</cp:coreProperties>
</file>