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12, 2024</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BELLRING BRANDS,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rPr>
              <w:t>87-3296749</w:t>
            </w:r>
          </w:p>
        </w:tc>
      </w:tr>
      <w:tr>
        <w:trPr>
          <w:trHeight w:val="148"/>
        </w:trPr>
        <w:tc>
          <w:tcPr>
            <w:tcW w:w="390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229235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2503 S. Hanley Road</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 Louis, Missouri 63144</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BellRing Brands, Inc. 2019 Long-Term Incentive Plan</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Craig L. Rosenthal</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Legal Officer and Secretary</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2503 S. Hanley Road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 Louis, Missouri 63144</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(314) 644-7600</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This Registration Statement on Form S-8 (“Registration Statement”) is being filed for the purpose of registering an additional 6,000,000 shares of common stock, par value $0.01 per share (“Common Stock”), of BellRing Brands, Inc. (the “Company”) reserved for issuance under BellRing Brands, Inc. 2019 Long-Term Incentive Plan (the “Plan”). These additional shares of Common Stock were reserved for issuance in connection with the amendment and restatement of the Plan, which was approved by shareholders on February 6, 2023 at the Company’s 2023 Annual Meeting of Stockholders.</w:t>
      </w:r>
    </w:p>
    <w:p>
      <w:pPr>
        <w:spacing w:after="0" w:line="183" w:lineRule="exact"/>
        <w:rPr>
          <w:sz w:val="20"/>
          <w:szCs w:val="20"/>
          <w:color w:val="auto"/>
        </w:rPr>
      </w:pPr>
    </w:p>
    <w:p>
      <w:pPr>
        <w:ind w:firstLine="4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additional shares of Common Stock are additional securities of the same class as other securities for which an original registration statement (File No. </w:t>
      </w:r>
      <w:hyperlink r:id="rId20">
        <w:r>
          <w:rPr>
            <w:rFonts w:ascii="Times New Roman" w:cs="Times New Roman" w:eastAsia="Times New Roman" w:hAnsi="Times New Roman"/>
            <w:sz w:val="18"/>
            <w:szCs w:val="18"/>
            <w:color w:val="0000EE"/>
          </w:rPr>
          <w:t>333-234290</w:t>
        </w:r>
      </w:hyperlink>
      <w:r>
        <w:rPr>
          <w:rFonts w:ascii="Times New Roman" w:cs="Times New Roman" w:eastAsia="Times New Roman" w:hAnsi="Times New Roman"/>
          <w:sz w:val="18"/>
          <w:szCs w:val="18"/>
          <w:color w:val="auto"/>
        </w:rPr>
        <w:t xml:space="preserve">) on Form S-8 was filed with the U.S. Securities and Exchange Commission (the “Commission”) on October 22, 2019 (the “Original Registration Statement”). On March 11, 2022, in connection with the spin-off of BellRing Intermediate Holdings, Inc. (formerly known as BellRing Brands, Inc.), a Delaware corporation (“Old BellRing”) from Post Holdings, Inc. and related transactions, including the merger of the Company with and into Old BellRing, the Company (as the successor registrant to Old BellRing) filed </w:t>
      </w:r>
      <w:hyperlink r:id="rId21">
        <w:r>
          <w:rPr>
            <w:rFonts w:ascii="Times New Roman" w:cs="Times New Roman" w:eastAsia="Times New Roman" w:hAnsi="Times New Roman"/>
            <w:sz w:val="18"/>
            <w:szCs w:val="18"/>
            <w:u w:val="single" w:color="auto"/>
            <w:color w:val="0000EE"/>
          </w:rPr>
          <w:t>Post-Effective Amendment No. 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Original Registration Statement (the “Post-Effective Amendment”) to reflect the adoption by the Company of the Original Registration Statement as its own registration statement for all purposes of the Securities Act of 1933, as amended (the “Securities Act”), and the Securities Exchange Act of 1934, as amended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-852170</wp:posOffset>
            </wp:positionV>
            <wp:extent cx="5803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580390" cy="8255"/>
                    </a:xfrm>
                    <a:prstGeom prst="rect">
                      <a:avLst/>
                    </a:prstGeom>
                    <a:noFill/>
                  </pic:spPr>
                </pic:pic>
              </a:graphicData>
            </a:graphic>
          </wp:anchor>
        </w:drawing>
      </w:r>
    </w:p>
    <w:p>
      <w:pPr>
        <w:spacing w:after="0" w:line="17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General Instruction E to Form S-8, the contents of the Original Registration Statement, as amended by the Post-Effective Amendment, are incorporated by reference into this Registration Statement, except that the provisions contained in Part II of such earlier registration statements are modified as set forth below.</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documents filed with the Securities and Exchange Commission (the “SEC”) by the Company are incorporated herein by reference:</w:t>
      </w:r>
    </w:p>
    <w:p>
      <w:pPr>
        <w:spacing w:after="0" w:line="131"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Form 10-K for the fiscal year ended September 30, 2023, filed on </w:t>
      </w:r>
      <w:hyperlink r:id="rId23">
        <w:r>
          <w:rPr>
            <w:rFonts w:ascii="Times New Roman" w:cs="Times New Roman" w:eastAsia="Times New Roman" w:hAnsi="Times New Roman"/>
            <w:sz w:val="18"/>
            <w:szCs w:val="18"/>
            <w:u w:val="single" w:color="auto"/>
            <w:color w:val="0000EE"/>
          </w:rPr>
          <w:t>November 21, 2023</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 on Form 10-Q for the fiscal quarter ended December 31, 2023, filed on </w:t>
      </w:r>
      <w:hyperlink r:id="rId24">
        <w:r>
          <w:rPr>
            <w:rFonts w:ascii="Times New Roman" w:cs="Times New Roman" w:eastAsia="Times New Roman" w:hAnsi="Times New Roman"/>
            <w:sz w:val="18"/>
            <w:szCs w:val="18"/>
            <w:u w:val="single" w:color="auto"/>
            <w:color w:val="0000EE"/>
          </w:rPr>
          <w:t>February 6, 2024</w:t>
        </w:r>
      </w:hyperlink>
      <w:r>
        <w:rPr>
          <w:rFonts w:ascii="Times New Roman" w:cs="Times New Roman" w:eastAsia="Times New Roman" w:hAnsi="Times New Roman"/>
          <w:sz w:val="18"/>
          <w:szCs w:val="18"/>
          <w:color w:val="auto"/>
        </w:rPr>
        <w:t xml:space="preserve">, the Company’s Quarterly Report on Form 10-Q for the fiscal quarter ended March 31, 2024, filed on </w:t>
      </w:r>
      <w:hyperlink r:id="rId25">
        <w:r>
          <w:rPr>
            <w:rFonts w:ascii="Times New Roman" w:cs="Times New Roman" w:eastAsia="Times New Roman" w:hAnsi="Times New Roman"/>
            <w:sz w:val="18"/>
            <w:szCs w:val="18"/>
            <w:u w:val="single" w:color="auto"/>
            <w:color w:val="0000EE"/>
          </w:rPr>
          <w:t>May 7,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the Company’s Quarterly Report on Form 10-Q for the fiscal quarter ended June 30, 2024, filed on </w:t>
      </w:r>
      <w:hyperlink r:id="rId26">
        <w:r>
          <w:rPr>
            <w:rFonts w:ascii="Times New Roman" w:cs="Times New Roman" w:eastAsia="Times New Roman" w:hAnsi="Times New Roman"/>
            <w:sz w:val="18"/>
            <w:szCs w:val="18"/>
            <w:u w:val="single" w:color="auto"/>
            <w:color w:val="0000EE"/>
          </w:rPr>
          <w:t>August 6, 2024</w:t>
        </w:r>
      </w:hyperlink>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Reports on Form 8-K filed with the SEC on </w:t>
      </w:r>
      <w:hyperlink r:id="rId27">
        <w:r>
          <w:rPr>
            <w:rFonts w:ascii="Times New Roman" w:cs="Times New Roman" w:eastAsia="Times New Roman" w:hAnsi="Times New Roman"/>
            <w:sz w:val="18"/>
            <w:szCs w:val="18"/>
            <w:u w:val="single" w:color="auto"/>
            <w:color w:val="0000EE"/>
          </w:rPr>
          <w:t>November 6, 2023</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February 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9">
        <w:r>
          <w:rPr>
            <w:rFonts w:ascii="Times New Roman" w:cs="Times New Roman" w:eastAsia="Times New Roman" w:hAnsi="Times New Roman"/>
            <w:sz w:val="18"/>
            <w:szCs w:val="18"/>
            <w:u w:val="single" w:color="auto"/>
            <w:color w:val="0000EE"/>
          </w:rPr>
          <w:t>February 29,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the documents, or portions thereof, not deemed to be filed); and</w:t>
      </w:r>
    </w:p>
    <w:p>
      <w:pPr>
        <w:spacing w:after="0" w:line="67" w:lineRule="exact"/>
        <w:rPr>
          <w:rFonts w:ascii="Times New Roman" w:cs="Times New Roman" w:eastAsia="Times New Roman" w:hAnsi="Times New Roman"/>
          <w:sz w:val="18"/>
          <w:szCs w:val="18"/>
          <w:color w:val="auto"/>
        </w:rPr>
      </w:pPr>
    </w:p>
    <w:p>
      <w:pPr>
        <w:ind w:left="960" w:right="32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securities contained in </w:t>
      </w:r>
      <w:hyperlink r:id="rId30">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Company’s Annual Report on Form 10-K for the fiscal year ended September 30, 2023, filed on November 21, 2023, including any amendment or report filed for the purpose of updating such description.</w:t>
      </w:r>
    </w:p>
    <w:p>
      <w:pPr>
        <w:spacing w:after="0" w:line="176"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All documents that the Company subsequently files pursuant to Sections 13(a), 13(c), 14, and 15(d) of the Exchange Act after the date of this Registration Statement and prior to the filing of a post-effective amendment to this Registration Statement indicating that all securities offered have been sold or which deregisters all securities then remaining unsold, shall be deemed to be incorporated by reference into this Registration Statement and to be a part hereof from the date of filing of such documents (other than information furnished pursuant to Item 2.02 or Item 7.01 of any Current Report on Form 8-K, unless expressly stated otherwise therein).</w:t>
      </w:r>
    </w:p>
    <w:p>
      <w:pPr>
        <w:sectPr>
          <w:pgSz w:w="11900" w:h="16838" w:orient="portrait"/>
          <w:cols w:equalWidth="0" w:num="1">
            <w:col w:w="11000"/>
          </w:cols>
          <w:pgMar w:left="440" w:top="266" w:right="459" w:bottom="1440" w:gutter="0" w:footer="0" w:header="0"/>
        </w:sectPr>
      </w:pPr>
    </w:p>
    <w:bookmarkStart w:id="2" w:name="page3"/>
    <w:bookmarkEnd w:id="2"/>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shares of Class A Common Stock offered hereby has been passed upon by Craig L. Rosenthal, the Company’s Chief Legal Officer and Secretary. Mr. Rosenthal is paid a salary by the Company and participates in various employee benefit plans offered to employees generally as well as in plans offered to a limited number of key employees. Mr. Rosenthal is eligible to participate in the Plan.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39" w:lineRule="exact"/>
        <w:rPr>
          <w:sz w:val="20"/>
          <w:szCs w:val="20"/>
          <w:color w:val="auto"/>
        </w:rPr>
      </w:pPr>
    </w:p>
    <w:tbl>
      <w:tblPr>
        <w:tblLayout w:type="fixed"/>
        <w:tblInd w:w="44" w:type="dxa"/>
        <w:tblCellMar>
          <w:top w:w="0" w:type="dxa"/>
          <w:left w:w="0" w:type="dxa"/>
          <w:bottom w:w="0" w:type="dxa"/>
          <w:right w:w="0" w:type="dxa"/>
        </w:tblCellMar>
      </w:tblPr>
      <w:tr>
        <w:trPr>
          <w:trHeight w:val="161"/>
        </w:trPr>
        <w:tc>
          <w:tcPr>
            <w:tcW w:w="2980" w:type="dxa"/>
            <w:vAlign w:val="bottom"/>
          </w:tcPr>
          <w:p>
            <w:pPr>
              <w:jc w:val="center"/>
              <w:ind w:right="2488"/>
              <w:spacing w:after="0"/>
              <w:rPr>
                <w:sz w:val="20"/>
                <w:szCs w:val="20"/>
                <w:color w:val="auto"/>
              </w:rPr>
            </w:pPr>
            <w:r>
              <w:rPr>
                <w:rFonts w:ascii="Times New Roman" w:cs="Times New Roman" w:eastAsia="Times New Roman" w:hAnsi="Times New Roman"/>
                <w:sz w:val="14"/>
                <w:szCs w:val="14"/>
                <w:color w:val="auto"/>
              </w:rPr>
              <w:t>Exhibit</w:t>
            </w:r>
          </w:p>
        </w:tc>
        <w:tc>
          <w:tcPr>
            <w:tcW w:w="322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u w:val="single" w:color="auto"/>
                <w:color w:val="auto"/>
                <w:w w:val="97"/>
              </w:rPr>
              <w:t>Description</w:t>
            </w:r>
          </w:p>
        </w:tc>
        <w:tc>
          <w:tcPr>
            <w:tcW w:w="0" w:type="dxa"/>
            <w:vAlign w:val="bottom"/>
          </w:tcPr>
          <w:p>
            <w:pPr>
              <w:spacing w:after="0"/>
              <w:rPr>
                <w:sz w:val="1"/>
                <w:szCs w:val="1"/>
                <w:color w:val="auto"/>
              </w:rPr>
            </w:pPr>
          </w:p>
        </w:tc>
      </w:tr>
      <w:tr>
        <w:trPr>
          <w:trHeight w:val="188"/>
        </w:trPr>
        <w:tc>
          <w:tcPr>
            <w:tcW w:w="2980" w:type="dxa"/>
            <w:vAlign w:val="bottom"/>
          </w:tcPr>
          <w:p>
            <w:pPr>
              <w:jc w:val="center"/>
              <w:ind w:right="2488"/>
              <w:spacing w:after="0"/>
              <w:rPr>
                <w:sz w:val="20"/>
                <w:szCs w:val="20"/>
                <w:color w:val="auto"/>
              </w:rPr>
            </w:pPr>
            <w:r>
              <w:rPr>
                <w:rFonts w:ascii="Times New Roman" w:cs="Times New Roman" w:eastAsia="Times New Roman" w:hAnsi="Times New Roman"/>
                <w:sz w:val="14"/>
                <w:szCs w:val="14"/>
                <w:color w:val="auto"/>
              </w:rPr>
              <w:t>No.</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-10160</wp:posOffset>
            </wp:positionV>
            <wp:extent cx="274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66" w:lineRule="exact"/>
        <w:rPr>
          <w:sz w:val="20"/>
          <w:szCs w:val="20"/>
          <w:color w:val="auto"/>
        </w:rPr>
      </w:pPr>
    </w:p>
    <w:p>
      <w:pPr>
        <w:ind w:left="804" w:right="320" w:hanging="804"/>
        <w:spacing w:after="0" w:line="282" w:lineRule="auto"/>
        <w:tabs>
          <w:tab w:leader="none" w:pos="8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w:t>
      </w:r>
      <w:hyperlink r:id="rId33">
        <w:r>
          <w:rPr>
            <w:rFonts w:ascii="Times New Roman" w:cs="Times New Roman" w:eastAsia="Times New Roman" w:hAnsi="Times New Roman"/>
            <w:sz w:val="18"/>
            <w:szCs w:val="18"/>
            <w:u w:val="single" w:color="auto"/>
            <w:color w:val="0000EE"/>
          </w:rPr>
          <w:t>BellRing Brands, Inc. Certificate of Incorporation (Incorporated by reference to Exhibit 3.1 to the Company’s Second Form 8-K filed on</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March 10, 2022).</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  4.2</w:t>
      </w:r>
      <w:hyperlink r:id="rId34">
        <w:r>
          <w:rPr>
            <w:rFonts w:ascii="Times New Roman" w:cs="Times New Roman" w:eastAsia="Times New Roman" w:hAnsi="Times New Roman"/>
            <w:sz w:val="17"/>
            <w:szCs w:val="17"/>
            <w:u w:val="single" w:color="auto"/>
            <w:color w:val="0000EE"/>
          </w:rPr>
          <w:t>BellRing Brands, Inc. Bylaws (Incorporated by reference to Exhibit 3.2 to the Company’s Second Form 8-K filed on March 10, 2022).</w:t>
        </w:r>
      </w:hyperlink>
    </w:p>
    <w:p>
      <w:pPr>
        <w:spacing w:after="0" w:line="128" w:lineRule="exact"/>
        <w:rPr>
          <w:rFonts w:ascii="Times New Roman" w:cs="Times New Roman" w:eastAsia="Times New Roman" w:hAnsi="Times New Roman"/>
          <w:sz w:val="17"/>
          <w:szCs w:val="17"/>
          <w:u w:val="single" w:color="auto"/>
          <w:color w:val="0000EE"/>
        </w:rPr>
      </w:pPr>
    </w:p>
    <w:p>
      <w:pPr>
        <w:ind w:left="804" w:right="240" w:hanging="804"/>
        <w:spacing w:after="0" w:line="282" w:lineRule="auto"/>
        <w:tabs>
          <w:tab w:leader="none" w:pos="84"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4.3</w:t>
      </w:r>
      <w:hyperlink r:id="rId35">
        <w:r>
          <w:rPr>
            <w:rFonts w:ascii="Times New Roman" w:cs="Times New Roman" w:eastAsia="Times New Roman" w:hAnsi="Times New Roman"/>
            <w:sz w:val="18"/>
            <w:szCs w:val="18"/>
            <w:u w:val="single" w:color="auto"/>
            <w:color w:val="0000EE"/>
          </w:rPr>
          <w:t>BellRing Brands, Inc. 2019 Long-Term Incentive Plan (Incorporated by reference to Exhibit 4.3 of the Form S-8 of BellRing Brands, Inc.</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filed with the SEC on October 22, 2019).</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5.1*    </w:t>
      </w:r>
      <w:r>
        <w:rPr>
          <w:rFonts w:ascii="Times New Roman" w:cs="Times New Roman" w:eastAsia="Times New Roman" w:hAnsi="Times New Roman"/>
          <w:sz w:val="16"/>
          <w:szCs w:val="16"/>
          <w:u w:val="single" w:color="auto"/>
          <w:color w:val="0000EE"/>
        </w:rPr>
        <w:t>Opinion of Craig L. Rosenthal, Esq., Chief Legal Officer and Chief Compliance Officer of BellRing Brands, Inc.</w:t>
      </w:r>
    </w:p>
    <w:p>
      <w:pPr>
        <w:spacing w:after="0" w:line="140"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23.1*    </w:t>
      </w:r>
      <w:r>
        <w:rPr>
          <w:rFonts w:ascii="Times New Roman" w:cs="Times New Roman" w:eastAsia="Times New Roman" w:hAnsi="Times New Roman"/>
          <w:sz w:val="16"/>
          <w:szCs w:val="16"/>
          <w:u w:val="single" w:color="auto"/>
          <w:color w:val="0000EE"/>
        </w:rPr>
        <w:t>Consent of PricewaterhouseCoopers LLP</w:t>
      </w:r>
    </w:p>
    <w:p>
      <w:pPr>
        <w:spacing w:after="0" w:line="140" w:lineRule="exact"/>
        <w:rPr>
          <w:rFonts w:ascii="Times New Roman" w:cs="Times New Roman" w:eastAsia="Times New Roman" w:hAnsi="Times New Roman"/>
          <w:sz w:val="16"/>
          <w:szCs w:val="16"/>
          <w:color w:val="auto"/>
        </w:rPr>
      </w:pPr>
    </w:p>
    <w:p>
      <w:pPr>
        <w:ind w:left="4" w:right="200" w:hanging="4"/>
        <w:spacing w:after="0" w:line="407" w:lineRule="auto"/>
        <w:tabs>
          <w:tab w:leader="none" w:pos="9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0000EE"/>
        </w:rPr>
        <w:t>Consent of Craig L. Rosenthal. Esq., Chief Legal Officer and Chief Compliance Officer of BellRing Brands, Inc. (included in Exhibit 5.1)</w:t>
      </w:r>
      <w:r>
        <w:rPr>
          <w:rFonts w:ascii="Times New Roman" w:cs="Times New Roman" w:eastAsia="Times New Roman" w:hAnsi="Times New Roman"/>
          <w:sz w:val="18"/>
          <w:szCs w:val="18"/>
          <w:color w:val="auto"/>
        </w:rPr>
        <w:t xml:space="preserve"> 107.1* </w:t>
      </w:r>
      <w:r>
        <w:rPr>
          <w:rFonts w:ascii="Times New Roman" w:cs="Times New Roman" w:eastAsia="Times New Roman" w:hAnsi="Times New Roman"/>
          <w:sz w:val="18"/>
          <w:szCs w:val="18"/>
          <w:u w:val="single" w:color="auto"/>
          <w:color w:val="0000EE"/>
        </w:rPr>
        <w:t>Filing Fees.</w:t>
      </w:r>
    </w:p>
    <w:p>
      <w:pPr>
        <w:spacing w:after="0" w:line="81"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0964"/>
          </w:cols>
          <w:pgMar w:left="436" w:top="270" w:right="4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County of St. Louis, State of Missouri on this September 12,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Craig L. Rosenthal</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Craig L. Rosenthal</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Legal Officer and Chief Compliance Officer</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the undersigned directors and officers of the Registrant, which is filing a Registration Statement on Form S-8 with the Securities and Exchange Commission under the provisions of the Securities Act of 1933 hereby constitute and appoint Robert V. Vitale, Darcy H. Davenport, Paul A. Rode and Craig L. Rosenthal, and each of them, the individual’s true and lawful attorneys-in-fact and agents, with full power of substitution and resubstitution, for the person and in his or her name, place and stead, in any and all capacities, to sign such Registration Statement and any or all amendments, including post-effective amendments to the Registration Statement,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as agents or any of them, or their substitute or substitutes, may lawfully do or cause to be done by virtue hereof.</w:t>
      </w:r>
    </w:p>
    <w:p>
      <w:pPr>
        <w:spacing w:after="0" w:line="188"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12th day of September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00" w:type="dxa"/>
            <w:vAlign w:val="bottom"/>
          </w:tcPr>
          <w:p>
            <w:pPr>
              <w:spacing w:after="0"/>
              <w:rPr>
                <w:sz w:val="16"/>
                <w:szCs w:val="16"/>
                <w:color w:val="auto"/>
              </w:rPr>
            </w:pPr>
          </w:p>
        </w:tc>
        <w:tc>
          <w:tcPr>
            <w:tcW w:w="6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Darcy H. Davenport</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Darcy H. Davenport</w:t>
            </w:r>
          </w:p>
        </w:tc>
        <w:tc>
          <w:tcPr>
            <w:tcW w:w="100" w:type="dxa"/>
            <w:vAlign w:val="bottom"/>
          </w:tcPr>
          <w:p>
            <w:pPr>
              <w:spacing w:after="0"/>
              <w:rPr>
                <w:sz w:val="19"/>
                <w:szCs w:val="19"/>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A. Rode</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Paul A. Rode</w:t>
            </w:r>
          </w:p>
        </w:tc>
        <w:tc>
          <w:tcPr>
            <w:tcW w:w="100" w:type="dxa"/>
            <w:vAlign w:val="bottom"/>
          </w:tcPr>
          <w:p>
            <w:pPr>
              <w:spacing w:after="0"/>
              <w:rPr>
                <w:sz w:val="19"/>
                <w:szCs w:val="19"/>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Robert V. Vitale</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Robert V. Vitale</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Shawn W. Conway</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Shawn W. Conway</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P. Erickson</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Thomas P. Erickson</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Jennifer Kuperman Johnson</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Jennifer Kuperman Johnson</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Chonda J. Nwamu</w:t>
            </w:r>
          </w:p>
        </w:tc>
        <w:tc>
          <w:tcPr>
            <w:tcW w:w="3740" w:type="dxa"/>
            <w:vAlign w:val="bottom"/>
          </w:tcPr>
          <w:p>
            <w:pPr>
              <w:ind w:left="314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Chonda J. Nwamu</w:t>
            </w:r>
          </w:p>
        </w:tc>
        <w:tc>
          <w:tcPr>
            <w:tcW w:w="37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Elliot H. Stein, Jr.</w:t>
            </w:r>
          </w:p>
        </w:tc>
        <w:tc>
          <w:tcPr>
            <w:tcW w:w="3740" w:type="dxa"/>
            <w:vAlign w:val="bottom"/>
          </w:tcPr>
          <w:p>
            <w:pPr>
              <w:ind w:left="314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Elliot H. Stein, Jr.</w:t>
            </w:r>
          </w:p>
        </w:tc>
        <w:tc>
          <w:tcPr>
            <w:tcW w:w="3740" w:type="dxa"/>
            <w:vAlign w:val="bottom"/>
          </w:tcPr>
          <w:p>
            <w:pPr>
              <w:spacing w:after="0"/>
              <w:rPr>
                <w:sz w:val="19"/>
                <w:szCs w:val="19"/>
                <w:color w:val="auto"/>
              </w:rPr>
            </w:pPr>
          </w:p>
        </w:tc>
      </w:tr>
    </w:tbl>
    <w:p>
      <w:pPr>
        <w:sectPr>
          <w:pgSz w:w="11900" w:h="16838" w:orient="portrait"/>
          <w:cols w:equalWidth="0" w:num="1">
            <w:col w:w="10019"/>
          </w:cols>
          <w:pgMar w:left="440" w:top="270"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u w:val="single" w:color="auto"/>
          <w:color w:val="auto"/>
        </w:rPr>
        <w:t>Exhibit 5.1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2503 S. Hanley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 63144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BellRing Brands, Inc. 2019 Long-Term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 am an attorney duly licensed to practice law in the State of Missouri. With reference to the registration statement on Form S-8 (the “Registration Statement”) being filed with the Securities and Exchange Commission pursuant to the Securities Act of 1933, as amended (the “Securities Act”), on September 12, 2024, by BellRing Brands, Inc., a Delaware corporation (the “Company”), pertaining to the proposed issuance by the Company of up to 6,000,000 shares of the Company’s common stock, $0.01 par value per share (the “Shares”), pursuant to the BellRing Brands, Inc. 2019 Long-Term Incentive Plan (the “Plan”), I have examined such corporate records of the Company, such laws and such other information as I have deemed relevant, including the Company’s Amended and Restated Certificate of Incorporation and Amended and Restated Bylaws and resolutions adopted by the Board of Directors relating to such issuance, the written document constituting the Plan, certificates received from state officials and statements I have received from officers and representatives of the Company. In delivering this opinion, I have assumed the genuineness of all signatures, the authenticity of all documents submitted to me as originals, the conformity to the originals of all documents submitted to me as certified, photostatic or conformed copies, the authenticity of originals of all such latter documents and the correctness of statements submitted to me by officers and representatives of the Company.</w:t>
      </w:r>
    </w:p>
    <w:p>
      <w:pPr>
        <w:spacing w:after="0" w:line="1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Based solely on the foregoing, I am of the opinion that the Shares to be issued by the Company pursuant to the Plan have been duly authorized and, when issued by the Company in accordance with the Plan, will be validly issued, fully paid and nonassessable.</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 consent to the filing of this opinion as Exhibit 5.1 to the Registration Statement. In giving this consent, I do not hereby admit that I am in the category of persons whose consent is required under Section 7 of the Securities Act or the rules and regulations thereunder.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L. Rosenthal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Legal Officer and Chief Compliance Officer</w:t>
      </w:r>
    </w:p>
    <w:p>
      <w:pPr>
        <w:sectPr>
          <w:pgSz w:w="11900" w:h="16838" w:orient="portrait"/>
          <w:cols w:equalWidth="0" w:num="1">
            <w:col w:w="11020"/>
          </w:cols>
          <w:pgMar w:left="440" w:top="121"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BellRing Brands, Inc. of our report dated November 21, 2023 relating to the financial statements and the effectiveness of internal control over financial reporting, which appears in BellRing Brands, Inc.’s Annual Report on Form 10-K for the year ended September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12, 2024</w:t>
      </w:r>
    </w:p>
    <w:p>
      <w:pPr>
        <w:sectPr>
          <w:pgSz w:w="11900" w:h="16838" w:orient="portrait"/>
          <w:cols w:equalWidth="0" w:num="1">
            <w:col w:w="11020"/>
          </w:cols>
          <w:pgMar w:left="440" w:top="117"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54" w:lineRule="exact"/>
        <w:rPr>
          <w:sz w:val="20"/>
          <w:szCs w:val="20"/>
          <w:color w:val="auto"/>
        </w:rPr>
      </w:pPr>
    </w:p>
    <w:tbl>
      <w:tblPr>
        <w:tblLayout w:type="fixed"/>
        <w:tblInd w:w="1334" w:type="dxa"/>
        <w:tblCellMar>
          <w:top w:w="0" w:type="dxa"/>
          <w:left w:w="0" w:type="dxa"/>
          <w:bottom w:w="0" w:type="dxa"/>
          <w:right w:w="0" w:type="dxa"/>
        </w:tblCellMar>
      </w:tblPr>
      <w:tr>
        <w:trPr>
          <w:trHeight w:val="142"/>
        </w:trPr>
        <w:tc>
          <w:tcPr>
            <w:tcW w:w="1460" w:type="dxa"/>
            <w:vAlign w:val="bottom"/>
            <w:tcBorders>
              <w:top w:val="single" w:sz="8" w:color="auto"/>
              <w:left w:val="single" w:sz="8" w:color="auto"/>
            </w:tcBorders>
          </w:tcPr>
          <w:p>
            <w:pPr>
              <w:spacing w:after="0"/>
              <w:rPr>
                <w:sz w:val="12"/>
                <w:szCs w:val="12"/>
                <w:color w:val="auto"/>
              </w:rPr>
            </w:pPr>
          </w:p>
        </w:tc>
        <w:tc>
          <w:tcPr>
            <w:tcW w:w="380" w:type="dxa"/>
            <w:vAlign w:val="bottom"/>
            <w:tcBorders>
              <w:top w:val="single" w:sz="8" w:color="auto"/>
              <w:right w:val="single" w:sz="8" w:color="auto"/>
            </w:tcBorders>
          </w:tcPr>
          <w:p>
            <w:pPr>
              <w:spacing w:after="0"/>
              <w:rPr>
                <w:sz w:val="12"/>
                <w:szCs w:val="12"/>
                <w:color w:val="auto"/>
              </w:rPr>
            </w:pPr>
          </w:p>
        </w:tc>
        <w:tc>
          <w:tcPr>
            <w:tcW w:w="128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1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r>
      <w:tr>
        <w:trPr>
          <w:trHeight w:val="142"/>
        </w:trPr>
        <w:tc>
          <w:tcPr>
            <w:tcW w:w="1460" w:type="dxa"/>
            <w:vAlign w:val="bottom"/>
            <w:tcBorders>
              <w:lef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1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35"/>
        </w:trPr>
        <w:tc>
          <w:tcPr>
            <w:tcW w:w="1460" w:type="dxa"/>
            <w:vAlign w:val="bottom"/>
            <w:tcBorders>
              <w:lef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9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Amount of</w:t>
            </w:r>
          </w:p>
        </w:tc>
      </w:tr>
      <w:tr>
        <w:trPr>
          <w:trHeight w:val="135"/>
        </w:trPr>
        <w:tc>
          <w:tcPr>
            <w:tcW w:w="1460" w:type="dxa"/>
            <w:vAlign w:val="bottom"/>
            <w:tcBorders>
              <w:lef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Registration</w:t>
            </w:r>
          </w:p>
        </w:tc>
      </w:tr>
      <w:tr>
        <w:trPr>
          <w:trHeight w:val="175"/>
        </w:trPr>
        <w:tc>
          <w:tcPr>
            <w:tcW w:w="1460" w:type="dxa"/>
            <w:vAlign w:val="bottom"/>
            <w:tcBorders>
              <w:left w:val="single" w:sz="8" w:color="auto"/>
              <w:bottom w:val="single" w:sz="8" w:color="auto"/>
            </w:tcBorders>
          </w:tcPr>
          <w:p>
            <w:pPr>
              <w:jc w:val="center"/>
              <w:ind w:left="444"/>
              <w:spacing w:after="0"/>
              <w:rPr>
                <w:sz w:val="20"/>
                <w:szCs w:val="20"/>
                <w:color w:val="auto"/>
              </w:rPr>
            </w:pPr>
            <w:r>
              <w:rPr>
                <w:rFonts w:ascii="Times New Roman" w:cs="Times New Roman" w:eastAsia="Times New Roman" w:hAnsi="Times New Roman"/>
                <w:sz w:val="13"/>
                <w:szCs w:val="13"/>
                <w:b w:val="1"/>
                <w:bCs w:val="1"/>
                <w:color w:val="auto"/>
                <w:w w:val="95"/>
              </w:rPr>
              <w:t>Security Type</w:t>
            </w:r>
          </w:p>
        </w:tc>
        <w:tc>
          <w:tcPr>
            <w:tcW w:w="38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Registered</w:t>
            </w:r>
            <w:r>
              <w:rPr>
                <w:rFonts w:ascii="Times New Roman" w:cs="Times New Roman" w:eastAsia="Times New Roman" w:hAnsi="Times New Roman"/>
                <w:sz w:val="15"/>
                <w:szCs w:val="15"/>
                <w:b w:val="1"/>
                <w:bCs w:val="1"/>
                <w:color w:val="auto"/>
                <w:w w:val="95"/>
                <w:vertAlign w:val="superscript"/>
              </w:rPr>
              <w:t>(1)</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8"/>
              </w:rPr>
              <w:t>Unit</w:t>
            </w:r>
            <w:r>
              <w:rPr>
                <w:rFonts w:ascii="Times New Roman" w:cs="Times New Roman" w:eastAsia="Times New Roman" w:hAnsi="Times New Roman"/>
                <w:sz w:val="15"/>
                <w:szCs w:val="15"/>
                <w:b w:val="1"/>
                <w:bCs w:val="1"/>
                <w:color w:val="auto"/>
                <w:w w:val="88"/>
                <w:vertAlign w:val="superscript"/>
              </w:rPr>
              <w:t>(2)</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Fee</w:t>
            </w:r>
          </w:p>
        </w:tc>
      </w:tr>
      <w:tr>
        <w:trPr>
          <w:trHeight w:val="232"/>
        </w:trPr>
        <w:tc>
          <w:tcPr>
            <w:tcW w:w="1460" w:type="dxa"/>
            <w:vAlign w:val="bottom"/>
            <w:tcBorders>
              <w:left w:val="single" w:sz="8" w:color="auto"/>
              <w:bottom w:val="single" w:sz="8" w:color="auto"/>
            </w:tcBorders>
          </w:tcPr>
          <w:p>
            <w:pPr>
              <w:jc w:val="center"/>
              <w:ind w:left="424"/>
              <w:spacing w:after="0"/>
              <w:rPr>
                <w:sz w:val="20"/>
                <w:szCs w:val="20"/>
                <w:color w:val="auto"/>
              </w:rPr>
            </w:pPr>
            <w:r>
              <w:rPr>
                <w:rFonts w:ascii="Times New Roman" w:cs="Times New Roman" w:eastAsia="Times New Roman" w:hAnsi="Times New Roman"/>
                <w:sz w:val="18"/>
                <w:szCs w:val="18"/>
                <w:color w:val="auto"/>
                <w:w w:val="99"/>
              </w:rPr>
              <w:t>Equity</w:t>
            </w:r>
          </w:p>
        </w:tc>
        <w:tc>
          <w:tcPr>
            <w:tcW w:w="3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Common Stock </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6,000,000</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$56.29</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$337,740,000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0.0001476</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$49,851</w:t>
            </w:r>
          </w:p>
        </w:tc>
      </w:tr>
      <w:tr>
        <w:trPr>
          <w:trHeight w:val="237"/>
        </w:trPr>
        <w:tc>
          <w:tcPr>
            <w:tcW w:w="1460" w:type="dxa"/>
            <w:vAlign w:val="bottom"/>
            <w:tcBorders>
              <w:left w:val="single" w:sz="8" w:color="auto"/>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center"/>
              <w:ind w:right="350"/>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9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$337,740,000</w:t>
            </w:r>
          </w:p>
        </w:tc>
        <w:tc>
          <w:tcPr>
            <w:tcW w:w="9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$49,851</w:t>
            </w:r>
          </w:p>
        </w:tc>
      </w:tr>
      <w:tr>
        <w:trPr>
          <w:trHeight w:val="236"/>
        </w:trPr>
        <w:tc>
          <w:tcPr>
            <w:tcW w:w="1460" w:type="dxa"/>
            <w:vAlign w:val="bottom"/>
            <w:tcBorders>
              <w:left w:val="single" w:sz="8" w:color="auto"/>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Total Fee Offsets:</w:t>
            </w:r>
          </w:p>
        </w:tc>
        <w:tc>
          <w:tcPr>
            <w:tcW w:w="74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1460" w:type="dxa"/>
            <w:vAlign w:val="bottom"/>
            <w:tcBorders>
              <w:left w:val="single" w:sz="8" w:color="auto"/>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Net Fee Due:</w:t>
            </w:r>
          </w:p>
        </w:tc>
        <w:tc>
          <w:tcPr>
            <w:tcW w:w="74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$49,851</w:t>
            </w:r>
          </w:p>
        </w:tc>
      </w:tr>
    </w:tbl>
    <w:p>
      <w:pPr>
        <w:spacing w:after="0" w:line="225" w:lineRule="exact"/>
        <w:rPr>
          <w:sz w:val="20"/>
          <w:szCs w:val="20"/>
          <w:color w:val="auto"/>
        </w:rPr>
      </w:pPr>
    </w:p>
    <w:p>
      <w:pPr>
        <w:ind w:left="424" w:right="140" w:hanging="424"/>
        <w:spacing w:after="0" w:line="255"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Covers common stock, par value $0.01 per share, of BellRing Brands Inc. (“Common Stock”) under the BellRing Brands, Inc. 2019 Long-Term Incentive Plan (the “Plan”) and, pursuant to Rule 416(a) under the Securities Act of 1933, as amended (the “Securities Act”), an indeterminate number of additional shares of Common Stock that may be offered and issued under the Plan to prevent dilution resulting from stock splits, stock distributions or similar transactions.</w:t>
      </w:r>
    </w:p>
    <w:p>
      <w:pPr>
        <w:spacing w:after="0" w:line="2" w:lineRule="exact"/>
        <w:rPr>
          <w:rFonts w:ascii="Times New Roman" w:cs="Times New Roman" w:eastAsia="Times New Roman" w:hAnsi="Times New Roman"/>
          <w:sz w:val="18"/>
          <w:szCs w:val="18"/>
          <w:color w:val="auto"/>
        </w:rPr>
      </w:pPr>
    </w:p>
    <w:p>
      <w:pPr>
        <w:ind w:left="424" w:right="160" w:hanging="424"/>
        <w:spacing w:after="0" w:line="26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 457(h)(1) and Rule 457(c) under the Securities Act based on a price of $56.29 per share of Common Stock, which is the average of the high and low price per share of Common Stock as reported by the New York Stock Exchange on September 5, 2024.</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20" Type="http://schemas.openxmlformats.org/officeDocument/2006/relationships/hyperlink" Target="http://www.sec.gov/Archives/edgar/data/1772016/000177201619000031/brbrs-8_2019xltip.htm" TargetMode="External"/><Relationship Id="rId21" Type="http://schemas.openxmlformats.org/officeDocument/2006/relationships/hyperlink" Target="http://www.sec.gov/Archives/edgar/data/1772016/000119312522072247/d677325ds8pos.htm" TargetMode="External"/><Relationship Id="rId23" Type="http://schemas.openxmlformats.org/officeDocument/2006/relationships/hyperlink" Target="http://www.sec.gov/ix?doc=/Archives/edgar/data/1772016/000177201623000091/brbr-20230930.htm" TargetMode="External"/><Relationship Id="rId24" Type="http://schemas.openxmlformats.org/officeDocument/2006/relationships/hyperlink" Target="http://www.sec.gov/ix?doc=/Archives/edgar/data/1772016/000177201624000030/brbr-20231231.htm" TargetMode="External"/><Relationship Id="rId25" Type="http://schemas.openxmlformats.org/officeDocument/2006/relationships/hyperlink" Target="http://www.sec.gov/ix?doc=/Archives/edgar/data/1772016/000177201624000050/brbr-20240331.htm" TargetMode="External"/><Relationship Id="rId26" Type="http://schemas.openxmlformats.org/officeDocument/2006/relationships/hyperlink" Target="http://www.sec.gov/ix?doc=/Archives/edgar/data/1772016/000177201624000082/brbr-20240630.htm" TargetMode="External"/><Relationship Id="rId27" Type="http://schemas.openxmlformats.org/officeDocument/2006/relationships/hyperlink" Target="http://www.sec.gov/ix?doc=/Archives/edgar/data/1772016/000177201623000070/brbr-20231106.htm" TargetMode="External"/><Relationship Id="rId28" Type="http://schemas.openxmlformats.org/officeDocument/2006/relationships/hyperlink" Target="http://www.sec.gov/ix?doc=/Archives/edgar/data/1772016/000177201624000027/brbr-20240131.htm" TargetMode="External"/><Relationship Id="rId29" Type="http://schemas.openxmlformats.org/officeDocument/2006/relationships/hyperlink" Target="http://www.sec.gov/ix?doc=/Archives/edgar/data/1772016/000177201624000034/brbr-20240229.htm" TargetMode="External"/><Relationship Id="rId30" Type="http://schemas.openxmlformats.org/officeDocument/2006/relationships/hyperlink" Target="http://www.sec.gov/Archives/edgar/data/1772016/000177201623000091/brbrfy2023ex43.htm" TargetMode="External"/><Relationship Id="rId33" Type="http://schemas.openxmlformats.org/officeDocument/2006/relationships/hyperlink" Target="http://www.sec.gov/Archives/edgar/data/1772016/000119312522072132/d319129dex31.htm" TargetMode="External"/><Relationship Id="rId34" Type="http://schemas.openxmlformats.org/officeDocument/2006/relationships/hyperlink" Target="http://www.sec.gov/Archives/edgar/data/1772016/000119312522072132/d319129dex32.htm" TargetMode="External"/><Relationship Id="rId35" Type="http://schemas.openxmlformats.org/officeDocument/2006/relationships/hyperlink" Target="http://www.sec.gov/Archives/edgar/data/1772016/000177201619000031/ex4-3brbr2019lti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2024-09-12T15:26:03Z</dcterms:created>
  <dcterms:modified xsi:type="dcterms:W3CDTF">2024-09-12T15:26:03Z</dcterms:modified>
</cp:coreProperties>
</file>