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1092200</wp:posOffset>
            </wp:positionH>
            <wp:positionV relativeFrom="page">
              <wp:posOffset>106680</wp:posOffset>
            </wp:positionV>
            <wp:extent cx="5366385"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366385" cy="711200"/>
                    </a:xfrm>
                    <a:prstGeom prst="rect">
                      <a:avLst/>
                    </a:prstGeom>
                    <a:noFill/>
                  </pic:spPr>
                </pic:pic>
              </a:graphicData>
            </a:graphic>
          </wp:anchor>
        </w:drawing>
      </w:r>
    </w:p>
    <w:p>
      <w:pPr>
        <w:jc w:val="center"/>
        <w:ind w:right="-1"/>
        <w:spacing w:after="0"/>
        <w:rPr>
          <w:sz w:val="20"/>
          <w:szCs w:val="20"/>
          <w:color w:val="auto"/>
        </w:rPr>
      </w:pPr>
      <w:r>
        <w:rPr>
          <w:rFonts w:ascii="Arial" w:cs="Arial" w:eastAsia="Arial" w:hAnsi="Arial"/>
          <w:sz w:val="18"/>
          <w:szCs w:val="18"/>
          <w:color w:val="auto"/>
        </w:rPr>
        <w:t>October 7, 2019</w:t>
      </w:r>
    </w:p>
    <w:p>
      <w:pPr>
        <w:spacing w:after="0" w:line="221" w:lineRule="exact"/>
        <w:rPr>
          <w:sz w:val="24"/>
          <w:szCs w:val="24"/>
          <w:color w:val="auto"/>
        </w:rPr>
      </w:pPr>
    </w:p>
    <w:p>
      <w:pPr>
        <w:ind w:left="2"/>
        <w:spacing w:after="0"/>
        <w:rPr>
          <w:sz w:val="20"/>
          <w:szCs w:val="20"/>
          <w:color w:val="auto"/>
        </w:rPr>
      </w:pPr>
      <w:r>
        <w:rPr>
          <w:rFonts w:ascii="Arial" w:cs="Arial" w:eastAsia="Arial" w:hAnsi="Arial"/>
          <w:sz w:val="18"/>
          <w:szCs w:val="18"/>
          <w:b w:val="1"/>
          <w:bCs w:val="1"/>
          <w:u w:val="single" w:color="auto"/>
          <w:color w:val="auto"/>
        </w:rPr>
        <w:t>Via EDGAR and Overnight Delivery</w:t>
      </w:r>
    </w:p>
    <w:p>
      <w:pPr>
        <w:spacing w:after="0" w:line="121" w:lineRule="exact"/>
        <w:rPr>
          <w:sz w:val="24"/>
          <w:szCs w:val="24"/>
          <w:color w:val="auto"/>
        </w:rPr>
      </w:pPr>
    </w:p>
    <w:p>
      <w:pPr>
        <w:ind w:left="2"/>
        <w:spacing w:after="0"/>
        <w:rPr>
          <w:sz w:val="20"/>
          <w:szCs w:val="20"/>
          <w:color w:val="auto"/>
        </w:rPr>
      </w:pPr>
      <w:r>
        <w:rPr>
          <w:rFonts w:ascii="Arial" w:cs="Arial" w:eastAsia="Arial" w:hAnsi="Arial"/>
          <w:sz w:val="18"/>
          <w:szCs w:val="18"/>
          <w:color w:val="auto"/>
        </w:rPr>
        <w:t>Irene Barberena-Meissner</w:t>
      </w:r>
    </w:p>
    <w:p>
      <w:pPr>
        <w:spacing w:after="0" w:line="23" w:lineRule="exact"/>
        <w:rPr>
          <w:sz w:val="24"/>
          <w:szCs w:val="24"/>
          <w:color w:val="auto"/>
        </w:rPr>
      </w:pPr>
    </w:p>
    <w:p>
      <w:pPr>
        <w:ind w:left="2"/>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ind w:left="2"/>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2"/>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2"/>
        <w:spacing w:after="0"/>
        <w:rPr>
          <w:sz w:val="20"/>
          <w:szCs w:val="20"/>
          <w:color w:val="auto"/>
        </w:rPr>
      </w:pPr>
      <w:r>
        <w:rPr>
          <w:rFonts w:ascii="Arial" w:cs="Arial" w:eastAsia="Arial" w:hAnsi="Arial"/>
          <w:sz w:val="18"/>
          <w:szCs w:val="18"/>
          <w:color w:val="auto"/>
        </w:rPr>
        <w:t>Mail Stop 4628</w:t>
      </w:r>
    </w:p>
    <w:p>
      <w:pPr>
        <w:spacing w:after="0" w:line="9" w:lineRule="exact"/>
        <w:rPr>
          <w:sz w:val="24"/>
          <w:szCs w:val="24"/>
          <w:color w:val="auto"/>
        </w:rPr>
      </w:pPr>
    </w:p>
    <w:p>
      <w:pPr>
        <w:ind w:left="2"/>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82"/>
        <w:spacing w:after="0"/>
        <w:tabs>
          <w:tab w:leader="none" w:pos="962" w:val="left"/>
        </w:tabs>
        <w:rPr>
          <w:sz w:val="20"/>
          <w:szCs w:val="20"/>
          <w:color w:val="auto"/>
        </w:rPr>
      </w:pPr>
      <w:r>
        <w:rPr>
          <w:rFonts w:ascii="Arial" w:cs="Arial" w:eastAsia="Arial" w:hAnsi="Arial"/>
          <w:sz w:val="18"/>
          <w:szCs w:val="18"/>
          <w:b w:val="1"/>
          <w:bCs w:val="1"/>
          <w:color w:val="auto"/>
        </w:rPr>
        <w:t>Re:</w:t>
        <w:tab/>
        <w:t>BellRing Brands, Inc.</w:t>
      </w:r>
    </w:p>
    <w:p>
      <w:pPr>
        <w:spacing w:after="0" w:line="27" w:lineRule="exact"/>
        <w:rPr>
          <w:sz w:val="24"/>
          <w:szCs w:val="24"/>
          <w:color w:val="auto"/>
        </w:rPr>
      </w:pPr>
    </w:p>
    <w:p>
      <w:pPr>
        <w:ind w:left="982"/>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982"/>
        <w:spacing w:after="0"/>
        <w:rPr>
          <w:sz w:val="20"/>
          <w:szCs w:val="20"/>
          <w:color w:val="auto"/>
        </w:rPr>
      </w:pPr>
      <w:r>
        <w:rPr>
          <w:rFonts w:ascii="Arial" w:cs="Arial" w:eastAsia="Arial" w:hAnsi="Arial"/>
          <w:sz w:val="18"/>
          <w:szCs w:val="18"/>
          <w:b w:val="1"/>
          <w:bCs w:val="1"/>
          <w:color w:val="auto"/>
        </w:rPr>
        <w:t>Filed September 20, 2019</w:t>
      </w:r>
    </w:p>
    <w:p>
      <w:pPr>
        <w:spacing w:after="0" w:line="9" w:lineRule="exact"/>
        <w:rPr>
          <w:sz w:val="24"/>
          <w:szCs w:val="24"/>
          <w:color w:val="auto"/>
        </w:rPr>
      </w:pPr>
    </w:p>
    <w:p>
      <w:pPr>
        <w:ind w:left="982"/>
        <w:spacing w:after="0"/>
        <w:rPr>
          <w:sz w:val="20"/>
          <w:szCs w:val="20"/>
          <w:color w:val="auto"/>
        </w:rPr>
      </w:pPr>
      <w:r>
        <w:rPr>
          <w:rFonts w:ascii="Arial" w:cs="Arial" w:eastAsia="Arial" w:hAnsi="Arial"/>
          <w:sz w:val="18"/>
          <w:szCs w:val="18"/>
          <w:b w:val="1"/>
          <w:bCs w:val="1"/>
          <w:color w:val="auto"/>
        </w:rPr>
        <w:t>File No. 333-233867</w:t>
      </w:r>
    </w:p>
    <w:p>
      <w:pPr>
        <w:spacing w:after="0" w:line="211" w:lineRule="exact"/>
        <w:rPr>
          <w:sz w:val="24"/>
          <w:szCs w:val="24"/>
          <w:color w:val="auto"/>
        </w:rPr>
      </w:pPr>
    </w:p>
    <w:p>
      <w:pPr>
        <w:ind w:left="2"/>
        <w:spacing w:after="0"/>
        <w:rPr>
          <w:sz w:val="20"/>
          <w:szCs w:val="20"/>
          <w:color w:val="auto"/>
        </w:rPr>
      </w:pPr>
      <w:r>
        <w:rPr>
          <w:rFonts w:ascii="Arial" w:cs="Arial" w:eastAsia="Arial" w:hAnsi="Arial"/>
          <w:sz w:val="18"/>
          <w:szCs w:val="18"/>
          <w:color w:val="auto"/>
        </w:rPr>
        <w:t>Dear Ms. Barberena-Meissner:</w:t>
      </w:r>
    </w:p>
    <w:p>
      <w:pPr>
        <w:spacing w:after="0" w:line="225" w:lineRule="exact"/>
        <w:rPr>
          <w:sz w:val="24"/>
          <w:szCs w:val="24"/>
          <w:color w:val="auto"/>
        </w:rPr>
      </w:pPr>
    </w:p>
    <w:p>
      <w:pPr>
        <w:ind w:left="2" w:right="280" w:firstLine="440"/>
        <w:spacing w:after="0" w:line="263" w:lineRule="auto"/>
        <w:rPr>
          <w:sz w:val="20"/>
          <w:szCs w:val="20"/>
          <w:color w:val="auto"/>
        </w:rPr>
      </w:pPr>
      <w:r>
        <w:rPr>
          <w:rFonts w:ascii="Arial" w:cs="Arial" w:eastAsia="Arial" w:hAnsi="Arial"/>
          <w:sz w:val="18"/>
          <w:szCs w:val="18"/>
          <w:color w:val="auto"/>
        </w:rPr>
        <w:t>On behalf of BellRing Brands, Inc. (the “Company”), we hereby transmit via EDGAR for filing with the Securities and Exchange Commission (the “Commission”) amendment no. 1 (“amendment no. 1”) to the Company’s registration statement on Form S-1 (the “Registration Statement”), relating to the offering of shares of the Company’s Class A common stock.</w:t>
      </w:r>
    </w:p>
    <w:p>
      <w:pPr>
        <w:spacing w:after="0" w:line="184" w:lineRule="exact"/>
        <w:rPr>
          <w:sz w:val="24"/>
          <w:szCs w:val="24"/>
          <w:color w:val="auto"/>
        </w:rPr>
      </w:pPr>
    </w:p>
    <w:p>
      <w:pPr>
        <w:ind w:left="2" w:firstLine="440"/>
        <w:spacing w:after="0" w:line="255" w:lineRule="auto"/>
        <w:rPr>
          <w:sz w:val="20"/>
          <w:szCs w:val="20"/>
          <w:color w:val="auto"/>
        </w:rPr>
      </w:pPr>
      <w:r>
        <w:rPr>
          <w:rFonts w:ascii="Arial" w:cs="Arial" w:eastAsia="Arial" w:hAnsi="Arial"/>
          <w:sz w:val="18"/>
          <w:szCs w:val="18"/>
          <w:color w:val="auto"/>
        </w:rPr>
        <w:t>The Registration Statement has been revised since the initial filing of the Registration Statement on September 20, 2019 in response to the comments of the staff (the “Staff”) of the Commission on the Registration Statement contained in the Staff’s letter addressed to Darcy Horn Davenport, President and Chief Executive Officer of the Company, dated September 30, 2019 (which such response was previously submitted to the Commission on a supplemental basis on October 1, 2019) and to reflect certain updated information, including the estimated price range and offering size. In addition, the Company has filed certain exhibits with amendment no. 1 and advises the Staff that it will file any remaining required exhibits in one or more future pre-effective amendments.</w:t>
      </w:r>
    </w:p>
    <w:p>
      <w:pPr>
        <w:spacing w:after="0" w:line="192" w:lineRule="exact"/>
        <w:rPr>
          <w:sz w:val="24"/>
          <w:szCs w:val="24"/>
          <w:color w:val="auto"/>
        </w:rPr>
      </w:pPr>
    </w:p>
    <w:p>
      <w:pPr>
        <w:ind w:left="2" w:right="200" w:firstLine="440"/>
        <w:spacing w:after="0" w:line="277" w:lineRule="auto"/>
        <w:rPr>
          <w:sz w:val="20"/>
          <w:szCs w:val="20"/>
          <w:color w:val="auto"/>
        </w:rPr>
      </w:pPr>
      <w:r>
        <w:rPr>
          <w:rFonts w:ascii="Arial" w:cs="Arial" w:eastAsia="Arial" w:hAnsi="Arial"/>
          <w:sz w:val="18"/>
          <w:szCs w:val="18"/>
          <w:color w:val="auto"/>
        </w:rPr>
        <w:t>Courtesy copies of this letter and amendment no. 1, marked to show the changes to the Registration Statement as initially filed, are being sent to the Staff via overnight delivery.</w:t>
      </w:r>
    </w:p>
    <w:p>
      <w:pPr>
        <w:spacing w:after="0" w:line="170" w:lineRule="exact"/>
        <w:rPr>
          <w:sz w:val="24"/>
          <w:szCs w:val="24"/>
          <w:color w:val="auto"/>
        </w:rPr>
      </w:pPr>
    </w:p>
    <w:p>
      <w:pPr>
        <w:ind w:left="4442"/>
        <w:spacing w:after="0"/>
        <w:tabs>
          <w:tab w:leader="none" w:pos="5422" w:val="left"/>
          <w:tab w:leader="none" w:pos="646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4"/>
          <w:szCs w:val="24"/>
          <w:color w:val="auto"/>
        </w:rPr>
      </w:pPr>
    </w:p>
    <w:p>
      <w:pPr>
        <w:ind w:left="2" w:right="840" w:firstLine="440"/>
        <w:spacing w:after="0" w:line="277" w:lineRule="auto"/>
        <w:rPr>
          <w:sz w:val="20"/>
          <w:szCs w:val="20"/>
          <w:color w:val="auto"/>
        </w:rPr>
      </w:pPr>
      <w:r>
        <w:rPr>
          <w:rFonts w:ascii="Arial" w:cs="Arial" w:eastAsia="Arial" w:hAnsi="Arial"/>
          <w:sz w:val="18"/>
          <w:szCs w:val="18"/>
          <w:color w:val="auto"/>
        </w:rPr>
        <w:t>If you have any questions or comments with respect to the foregoing or to the Registration Statement, please contact the undersigned at 314-444-7671.</w:t>
      </w:r>
    </w:p>
    <w:p>
      <w:pPr>
        <w:spacing w:after="0" w:line="170" w:lineRule="exact"/>
        <w:rPr>
          <w:sz w:val="24"/>
          <w:szCs w:val="24"/>
          <w:color w:val="auto"/>
        </w:rPr>
      </w:pPr>
    </w:p>
    <w:p>
      <w:pPr>
        <w:ind w:left="5962"/>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962"/>
        <w:spacing w:after="0"/>
        <w:rPr>
          <w:sz w:val="20"/>
          <w:szCs w:val="20"/>
          <w:color w:val="auto"/>
        </w:rPr>
      </w:pPr>
      <w:r>
        <w:rPr>
          <w:rFonts w:ascii="Arial" w:cs="Arial" w:eastAsia="Arial" w:hAnsi="Arial"/>
          <w:sz w:val="18"/>
          <w:szCs w:val="18"/>
          <w:color w:val="auto"/>
        </w:rPr>
        <w:t>/s/ Tom W. Zook</w:t>
      </w:r>
    </w:p>
    <w:p>
      <w:pPr>
        <w:spacing w:after="0" w:line="23" w:lineRule="exact"/>
        <w:rPr>
          <w:sz w:val="24"/>
          <w:szCs w:val="24"/>
          <w:color w:val="auto"/>
        </w:rPr>
      </w:pPr>
    </w:p>
    <w:p>
      <w:pPr>
        <w:ind w:left="5962"/>
        <w:spacing w:after="0"/>
        <w:rPr>
          <w:sz w:val="20"/>
          <w:szCs w:val="20"/>
          <w:color w:val="auto"/>
        </w:rPr>
      </w:pPr>
      <w:r>
        <w:rPr>
          <w:rFonts w:ascii="Arial" w:cs="Arial" w:eastAsia="Arial" w:hAnsi="Arial"/>
          <w:sz w:val="18"/>
          <w:szCs w:val="18"/>
          <w:color w:val="auto"/>
        </w:rPr>
        <w:t>Tom W. Zook</w:t>
      </w:r>
    </w:p>
    <w:p>
      <w:pPr>
        <w:spacing w:after="0" w:line="238" w:lineRule="exact"/>
        <w:rPr>
          <w:sz w:val="24"/>
          <w:szCs w:val="24"/>
          <w:color w:val="auto"/>
        </w:rPr>
      </w:pPr>
    </w:p>
    <w:p>
      <w:pPr>
        <w:ind w:left="442" w:hanging="442"/>
        <w:spacing w:after="0"/>
        <w:tabs>
          <w:tab w:leader="none" w:pos="442" w:val="left"/>
        </w:tabs>
        <w:numPr>
          <w:ilvl w:val="0"/>
          <w:numId w:val="1"/>
        </w:numPr>
        <w:rPr>
          <w:rFonts w:ascii="Arial" w:cs="Arial" w:eastAsia="Arial" w:hAnsi="Arial"/>
          <w:sz w:val="18"/>
          <w:szCs w:val="18"/>
          <w:color w:val="auto"/>
        </w:rPr>
      </w:pPr>
      <w:r>
        <w:rPr>
          <w:rFonts w:ascii="Arial" w:cs="Arial" w:eastAsia="Arial" w:hAnsi="Arial"/>
          <w:sz w:val="18"/>
          <w:szCs w:val="18"/>
          <w:color w:val="auto"/>
        </w:rPr>
        <w:t>Diedre J. Gray</w:t>
      </w:r>
    </w:p>
    <w:p>
      <w:pPr>
        <w:spacing w:after="0" w:line="23" w:lineRule="exact"/>
        <w:rPr>
          <w:rFonts w:ascii="Arial" w:cs="Arial" w:eastAsia="Arial" w:hAnsi="Arial"/>
          <w:sz w:val="18"/>
          <w:szCs w:val="18"/>
          <w:color w:val="auto"/>
        </w:rPr>
      </w:pPr>
    </w:p>
    <w:p>
      <w:pPr>
        <w:ind w:left="442"/>
        <w:spacing w:after="0"/>
        <w:rPr>
          <w:rFonts w:ascii="Arial" w:cs="Arial" w:eastAsia="Arial" w:hAnsi="Arial"/>
          <w:sz w:val="18"/>
          <w:szCs w:val="18"/>
          <w:color w:val="auto"/>
        </w:rPr>
      </w:pPr>
      <w:r>
        <w:rPr>
          <w:rFonts w:ascii="Arial" w:cs="Arial" w:eastAsia="Arial" w:hAnsi="Arial"/>
          <w:sz w:val="18"/>
          <w:szCs w:val="18"/>
          <w:color w:val="auto"/>
        </w:rPr>
        <w:t>Darcy Horn Davenport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3137535</wp:posOffset>
            </wp:positionH>
            <wp:positionV relativeFrom="paragraph">
              <wp:posOffset>477520</wp:posOffset>
            </wp:positionV>
            <wp:extent cx="720090" cy="162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090" cy="162560"/>
                    </a:xfrm>
                    <a:prstGeom prst="rect">
                      <a:avLst/>
                    </a:prstGeom>
                    <a:noFill/>
                  </pic:spPr>
                </pic:pic>
              </a:graphicData>
            </a:graphic>
          </wp:anchor>
        </w:drawing>
      </w:r>
    </w:p>
    <w:sectPr>
      <w:pgSz w:w="11900" w:h="16838" w:orient="portrait"/>
      <w:cols w:equalWidth="0" w:num="1">
        <w:col w:w="11022"/>
      </w:cols>
      <w:pgMar w:left="438"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2019-12-15T20:18:32Z</dcterms:created>
  <dcterms:modified xsi:type="dcterms:W3CDTF">2019-12-15T20:18:32Z</dcterms:modified>
</cp:coreProperties>
</file>