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422275</wp:posOffset>
            </wp:positionV>
            <wp:extent cx="116586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32" w:lineRule="exact"/>
        <w:rPr>
          <w:sz w:val="24"/>
          <w:szCs w:val="24"/>
          <w:color w:val="auto"/>
        </w:rPr>
      </w:pPr>
    </w:p>
    <w:p>
      <w:pPr>
        <w:ind w:left="52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0" w:space="720"/>
            <w:col w:w="2080" w:space="720"/>
            <w:col w:w="2200" w:space="720"/>
            <w:col w:w="1540"/>
          </w:cols>
          <w:pgMar w:left="440" w:top="368" w:right="439" w:bottom="1440" w:gutter="0" w:footer="0" w:header="0"/>
          <w:type w:val="continuous"/>
        </w:sectPr>
      </w:pPr>
    </w:p>
    <w:p>
      <w:pPr>
        <w:ind w:left="29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640" w:space="720"/>
            <w:col w:w="166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On February 28, 2022, BellRing Brands, Inc. (“BellRing”) issued a press release announcing the approximate per share cash consideration to be paid to existing BellRing stockholders upon completion of Post Holdings, Inc.’s (“Post”) anticipated spin-off and distribution of Post’s interest in BellRing to Post shareholders. BellRing stockholders and Post will receive their pro rata share of $405.0 million of aggregate value in the transaction, which amount includes the per share cash consideration described below.</w:t>
      </w:r>
    </w:p>
    <w:p>
      <w:pPr>
        <w:spacing w:after="0" w:line="187"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Upon completion of the distribution, BellRing will merge with a subsidiary of BellRing Distribution, LLC (which will convert into a Delaware corporation prior to the distribution and be renamed “BellRing Brands, Inc.”) (“New BellRing”) and each outstanding share of BellRing Class A common stock will be converted into one share of New BellRing common stock and cash. The amount of cash will be determined in accordance with the Transaction Agreement and Plan of Merger, dated as of October 26, 2021 and amended as of February 28, 2022, by and among Post, BellRing, New BellRing and BellRing Merger Sub Corporation, and will be based on several factors, including the amount of New BellRing indebtedness to be issued in connection with the transactions contemplated thereunder. Based on current expectations as to those factors and using the number of shares of BellRing Class A common stock outstanding as of February 25, 2022, BellRing stockholders would be expected to receive approximately $2.97 per share in the merger for each share of Class A common stock held by such stockholders. The actual per share cash consideration to be received by the BellRing stockholders holding shares of Class A common stock will be determined based on, among other things, the number of shares of BellRing Class A common stock outstanding as of immediately prior to the consummation of the merger. New BellRing common stock will continue to be traded under the ticker symbol “BRBR” following the completion of the transactions.</w:t>
      </w:r>
    </w:p>
    <w:p>
      <w:pPr>
        <w:spacing w:after="0" w:line="182"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As a result of certain contributions made in connection with the transactions, Post will receive incremental value in an amount that, based on the percentage of the outstanding BellRing Brands, LLC nonvoting membership units owned by Post as of February 25, 2022, Post and BellRing currently anticipate to be approximately $289.5 million.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can be no assurance that the proposed transactions will be completed as anticipated or at all.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Post’s proposed distribution of a significant portion of its interest in BellRing to Post shareholders, including the amount of New BellRing equity Post intends to distribute, the form of the distribution, the amount of cash Post and BellRing currently anticipate to be distributed to BellRing stockholders and Post and the expected timing of the completion of the proposed transaction.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ongoing conflict in Ukraine, the rapidly changing situation related to the COVID-19 pandemic and other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w:t>
      </w:r>
    </w:p>
    <w:p>
      <w:pPr>
        <w:sectPr>
          <w:pgSz w:w="11900" w:h="16838" w:orient="portrait"/>
          <w:cols w:equalWidth="0" w:num="1">
            <w:col w:w="11000"/>
          </w:cols>
          <w:pgMar w:left="440" w:top="297" w:right="459" w:bottom="1440" w:gutter="0" w:footer="0" w:header="0"/>
        </w:sectPr>
      </w:pPr>
    </w:p>
    <w:bookmarkStart w:id="2" w:name="page3"/>
    <w:bookmarkEnd w:id="2"/>
    <w:p>
      <w:pPr>
        <w:ind w:right="14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pacing w:after="0" w:line="3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40" w:type="dxa"/>
            <w:vAlign w:val="bottom"/>
          </w:tcPr>
          <w:p>
            <w:pPr>
              <w:spacing w:after="0"/>
              <w:rPr>
                <w:sz w:val="15"/>
                <w:szCs w:val="15"/>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Description</w:t>
            </w:r>
          </w:p>
        </w:tc>
        <w:tc>
          <w:tcPr>
            <w:tcW w:w="5320" w:type="dxa"/>
            <w:vAlign w:val="bottom"/>
          </w:tcPr>
          <w:p>
            <w:pPr>
              <w:spacing w:after="0"/>
              <w:rPr>
                <w:sz w:val="15"/>
                <w:szCs w:val="15"/>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3"/>
                <w:szCs w:val="23"/>
                <w:color w:val="auto"/>
              </w:rPr>
            </w:pPr>
          </w:p>
        </w:tc>
        <w:tc>
          <w:tcPr>
            <w:tcW w:w="804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February 28, 2022</w:t>
              </w:r>
            </w:hyperlink>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345"/>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(the cover page iXBRL tags are embedded within the Inline XBRL document)</w:t>
            </w:r>
          </w:p>
        </w:tc>
      </w:tr>
    </w:tbl>
    <w:p>
      <w:pPr>
        <w:sectPr>
          <w:pgSz w:w="11900" w:h="16838" w:orient="portrait"/>
          <w:cols w:equalWidth="0" w:num="1">
            <w:col w:w="10940"/>
          </w:cols>
          <w:pgMar w:left="440" w:top="301" w:right="5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Date: February 28, 2022</w:t>
            </w: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Rosenthal</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Rosenthal</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45565"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55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BellRing Brands Provides Approximate Per Share Cash Consideration in Connection with the Anticipated Completion of the Spin-Off of Post’s Interest in BellRing</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ST. LOUIS, February 28, 2022 </w:t>
      </w:r>
      <w:r>
        <w:rPr>
          <w:rFonts w:ascii="Arial" w:cs="Arial" w:eastAsia="Arial" w:hAnsi="Arial"/>
          <w:sz w:val="18"/>
          <w:szCs w:val="18"/>
          <w:color w:val="auto"/>
        </w:rPr>
        <w:t>- BellRing Brands, Inc. (NYSE:BRBR) (“BellRing”) today announced the approximate per share cash consideration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be paid to existing BellRing stockholders upon completion of Post Holdings, Inc.’s (“Post”) anticipated spin-off and distribution of Post’s interest in BellRing to Post shareholders. BellRing stockholders and Post will receive their pro rata share of $405.0 million of aggregate value in the transaction, which amount includes the per share cash consideration described below.</w:t>
      </w:r>
    </w:p>
    <w:p>
      <w:pPr>
        <w:spacing w:after="0" w:line="18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Upon completion of the distribution, BellRing will merge with a subsidiary of BellRing Distribution, LLC (which will convert into a Delaware corporation prior to the distribution and be renamed “BellRing Brands, Inc.”) (“New BellRing”) and each outstanding share of BellRing Class A common stock will be converted into one share of New BellRing common stock and cash. The amount of cash will be determined in accordance with the agreement that governs the transaction and will be based on several factors, including the amount of New BellRing indebtedness to be issued in connection with the transactions contemplated thereunder. Based on current expectations as to those factors and using the number of shares of BellRing Class A common stock outstanding as of February 25, 2022, BellRing stockholders would be expected to receive approximately $2.97 per share in the merger for each share of Class A common stock held by such stockholders. The actual per share cash consideration to be received by the BellRing stockholders holding shares of Class A common stock will be determined based on, among other things, the number of shares of BellRing Class A common stock outstanding as of immediately prior to the consummation of the merger. New BellRing common stock will continue to be traded under the ticker symbol “BRBR” following the completion of the transactions.</w:t>
      </w:r>
    </w:p>
    <w:p>
      <w:pPr>
        <w:spacing w:after="0" w:line="185"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As a result of certain contributions made in connection with the transactions, Post will receive incremental value in an amount that, based on the percentage of the outstanding BellRing Brands, LLC nonvoting membership units owned by Post as of February 25, 2022, BellRing currently anticipates to be approximately $289.5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can no assurance that the proposed transactions will be completed as anticipated or at all.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Post’s proposed distribution of a significant portion of its interest in BellRing to Post shareholders, including the form of the distribution and the amount of cash BellRing currently anticipates to be distributed to BellRing stockholders and Post. There is no assurance that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distribution, the ongoing conflict in Ukraine, the rapidly changing situation related to the COVID-19 pandemic and other financial, operational and legal risks and uncertainties described in BellRing’s filings with the Securities and Exchange Commission (the “SEC”). These forward-looking statements represent BellRing’s judgment as of the date of this release. BellRing disclaims, however, any intent or obligation to update these forward-looking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BellRing Brands, Inc. is a rapidly growing leader in the global convenient nutrition category offering ready-to-drink shake and powder protein products. Its primary brands, </w:t>
      </w:r>
      <w:r>
        <w:rPr>
          <w:rFonts w:ascii="Arial" w:cs="Arial" w:eastAsia="Arial" w:hAnsi="Arial"/>
          <w:sz w:val="17"/>
          <w:szCs w:val="17"/>
          <w:i w:val="1"/>
          <w:iCs w:val="1"/>
          <w:color w:val="auto"/>
        </w:rPr>
        <w:t>Premier Protein</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4"/>
          <w:szCs w:val="14"/>
          <w:color w:val="auto"/>
        </w:rPr>
        <w:t>®</w:t>
      </w:r>
      <w:r>
        <w:rPr>
          <w:rFonts w:ascii="Arial" w:cs="Arial" w:eastAsia="Arial" w:hAnsi="Arial"/>
          <w:sz w:val="17"/>
          <w:szCs w:val="17"/>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Hanly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lisa.hanly@postholdings.com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665-3180</w:t>
      </w:r>
    </w:p>
    <w:p>
      <w:pPr>
        <w:spacing w:after="0" w:line="14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2022-02-28T19:25:28Z</dcterms:created>
  <dcterms:modified xsi:type="dcterms:W3CDTF">2022-02-28T19:25:28Z</dcterms:modified>
</cp:coreProperties>
</file>