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ind w:left="360"/>
        <w:spacing w:after="0" w:line="24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-232410</wp:posOffset>
            </wp:positionV>
            <wp:extent cx="128905" cy="12890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" cy="1289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8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5243195</wp:posOffset>
            </wp:positionH>
            <wp:positionV relativeFrom="paragraph">
              <wp:posOffset>-615950</wp:posOffset>
            </wp:positionV>
            <wp:extent cx="57785" cy="629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3955415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-1662430</wp:posOffset>
            </wp:positionH>
            <wp:positionV relativeFrom="paragraph">
              <wp:posOffset>13335</wp:posOffset>
            </wp:positionV>
            <wp:extent cx="7047865" cy="45974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4597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20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w w:val="97"/>
                <w:vertAlign w:val="superscript"/>
              </w:rPr>
              <w:t>*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JOHNSON JENNIFER KUPERMAN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</w:tcPr>
          <w:p>
            <w:pPr>
              <w:spacing w:after="0" w:line="102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BELLRING BRANDS, INC.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BRBR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C/O BELLRING BRANDS, INC.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5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01/03/2022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2503 S. HANLEY ROAD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ST. LOUIS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MO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63144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60" w:type="dxa"/>
            <w:vAlign w:val="bottom"/>
            <w:gridSpan w:val="7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60" w:type="dxa"/>
            <w:vAlign w:val="bottom"/>
            <w:gridSpan w:val="1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BellRing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Brands,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Inc. Class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jc w:val="right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759.416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2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01/03/2022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ind w:left="4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759.416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28.53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8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6,332.713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A 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Equivalents</w:t>
      </w:r>
    </w:p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200" w:hanging="1"/>
        <w:spacing w:after="0" w:line="235" w:lineRule="auto"/>
        <w:tabs>
          <w:tab w:leader="none" w:pos="16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Reporting Person's retainer earned as a Director of Issuer is deferred into BellRing Brands, Inc. Class A common stock equivalents under the Issuer's Deferred Compensation Plan for Directors. Reporting Person is credited with stock equivalents on a quarterly basis as soon as administratively practical following the quarter in which such retainer is earned. The value of these stock equivalents is distributed (on a one-for-one basis) in the form of BellRing Brands, Inc. Class A common stock upon Reporting Person's retirement from the Board of Directors.</w:t>
      </w:r>
    </w:p>
    <w:p>
      <w:pPr>
        <w:spacing w:after="0" w:line="2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equivalents have no fixed exercisable or expiration dates.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/s/ Craig L. Rosenthal,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01/05/2022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480" w:type="dxa"/>
            <w:vAlign w:val="bottom"/>
            <w:tcBorders>
              <w:top w:val="single" w:sz="8" w:color="auto"/>
              <w:bottom w:val="single" w:sz="8" w:color="auto"/>
            </w:tcBorders>
            <w:gridSpan w:val="2"/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Attorney-in-Fact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0"/>
          <w:szCs w:val="20"/>
          <w:color w:val="auto"/>
        </w:rPr>
      </w:pPr>
    </w:p>
    <w:p>
      <w:pPr>
        <w:jc w:val="both"/>
        <w:ind w:left="40" w:right="3720" w:hanging="1"/>
        <w:spacing w:after="0" w:line="327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0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90648" TargetMode="External"/><Relationship Id="rId13" Type="http://schemas.openxmlformats.org/officeDocument/2006/relationships/hyperlink" Target="http://www.sec.gov/cgi-bin/browse-edgar?action=getcompany&amp;CIK=00017720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2022-01-05T15:40:01Z</dcterms:created>
  <dcterms:modified xsi:type="dcterms:W3CDTF">2022-01-05T15:40:01Z</dcterms:modified>
</cp:coreProperties>
</file>