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BellRing Brands, Inc.</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Stock, par value $0.01 per share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07831C103</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2022</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5"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X </w:t>
      </w:r>
      <w:r>
        <w:rPr>
          <w:rFonts w:ascii="Times New Roman" w:cs="Times New Roman" w:eastAsia="Times New Roman" w:hAnsi="Times New Roman"/>
          <w:sz w:val="20"/>
          <w:szCs w:val="20"/>
          <w:color w:val="auto"/>
        </w:rPr>
        <w:t>]    Rule 13d-1(b)</w:t>
      </w:r>
    </w:p>
    <w:p>
      <w:pPr>
        <w:spacing w:after="0" w:line="229" w:lineRule="exact"/>
        <w:rPr>
          <w:rFonts w:ascii="Times New Roman" w:cs="Times New Roman" w:eastAsia="Times New Roman" w:hAnsi="Times New Roman"/>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X </w:t>
      </w:r>
      <w:r>
        <w:rPr>
          <w:rFonts w:ascii="Times New Roman" w:cs="Times New Roman" w:eastAsia="Times New Roman" w:hAnsi="Times New Roman"/>
          <w:sz w:val="20"/>
          <w:szCs w:val="20"/>
          <w:color w:val="auto"/>
        </w:rPr>
        <w:t>]    Rule 13d-1(c)</w:t>
      </w:r>
    </w:p>
    <w:p>
      <w:pPr>
        <w:spacing w:after="0" w:line="233" w:lineRule="exact"/>
        <w:rPr>
          <w:sz w:val="24"/>
          <w:szCs w:val="24"/>
          <w:color w:val="auto"/>
        </w:rPr>
      </w:pPr>
    </w:p>
    <w:p>
      <w:pPr>
        <w:ind w:left="780" w:hanging="124"/>
        <w:spacing w:after="0"/>
        <w:tabs>
          <w:tab w:leader="none" w:pos="7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29"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22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CUSIP No. 07831C103</w:t>
      </w:r>
    </w:p>
    <w:p>
      <w:pPr>
        <w:spacing w:after="0" w:line="22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Route One Investment Company,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13,656,803</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13,656,803</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13,656,803</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10.2%</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PN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CUSIP No. 07831C103</w:t>
      </w:r>
    </w:p>
    <w:p>
      <w:pPr>
        <w:spacing w:after="0" w:line="229"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ROIC, LLC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13,656,803</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13,656,803</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13,656,803</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10.2%</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OO</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2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CUSIP No. 07831C103</w:t>
      </w:r>
    </w:p>
    <w:p>
      <w:pPr>
        <w:spacing w:after="0" w:line="22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Route One Investment Company, LLC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13,656,803</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13,656,803</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13,656,803</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10.2%</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OO</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2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color w:val="auto"/>
        </w:rPr>
        <w:t>CUSIP No. 07831C103</w:t>
      </w:r>
    </w:p>
    <w:p>
      <w:pPr>
        <w:spacing w:after="0" w:line="22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Route One Offshore Master Fund,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Cayman Islands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8,417,790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8,417,790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8,417,790</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6.3%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2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CUSIP No. 07831C103</w:t>
      </w:r>
    </w:p>
    <w:p>
      <w:pPr>
        <w:spacing w:after="0" w:line="229"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Route One Fund I,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5,098,844</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5,098,844</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5,098,844</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3.8%</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2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CUSIP No. 07831C103</w:t>
      </w:r>
    </w:p>
    <w:p>
      <w:pPr>
        <w:spacing w:after="0" w:line="229"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William F. Duhamel, Jr.</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13,656,803</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13,656,803</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13,656,803</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10.2%</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2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CUSIP No. 07831C103</w:t>
      </w:r>
    </w:p>
    <w:p>
      <w:pPr>
        <w:spacing w:after="0" w:line="229"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Jason E. Moment</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13,656,803</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13,656,803</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13,656,803</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10.2%</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2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color w:val="auto"/>
        </w:rPr>
        <w:t>CUSIP No. 07831C103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w:t>
      </w:r>
    </w:p>
    <w:p>
      <w:pPr>
        <w:spacing w:after="0" w:line="233"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BellRing Brands,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2503 S. Hanley Road, St. Louis, Missouri 63144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w:t>
      </w:r>
    </w:p>
    <w:p>
      <w:pPr>
        <w:spacing w:after="0" w:line="233"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Route One Investment Company, L.P. (“Route One”)</w:t>
      </w:r>
    </w:p>
    <w:p>
      <w:pPr>
        <w:spacing w:after="0" w:line="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ROIC, LLC</w:t>
      </w:r>
    </w:p>
    <w:p>
      <w:pPr>
        <w:ind w:left="1300" w:right="450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Route One Investment Company, LLC (the “General Partner”) Route One Offshore Master Fund, L.P. (the “Master Fund”) Route One Fund I, L.P. (“Fund I”)</w:t>
      </w:r>
    </w:p>
    <w:p>
      <w:pPr>
        <w:spacing w:after="0" w:line="1" w:lineRule="exact"/>
        <w:rPr>
          <w:rFonts w:ascii="Times New Roman" w:cs="Times New Roman" w:eastAsia="Times New Roman" w:hAnsi="Times New Roman"/>
          <w:sz w:val="20"/>
          <w:szCs w:val="20"/>
          <w:color w:val="auto"/>
        </w:rPr>
      </w:pPr>
    </w:p>
    <w:p>
      <w:pPr>
        <w:ind w:left="1300" w:right="784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William F. Duhamel, Jr. Jason E. Moment</w:t>
      </w:r>
    </w:p>
    <w:p>
      <w:pPr>
        <w:spacing w:after="0" w:line="195" w:lineRule="exact"/>
        <w:rPr>
          <w:rFonts w:ascii="Times New Roman" w:cs="Times New Roman" w:eastAsia="Times New Roman" w:hAnsi="Times New Roman"/>
          <w:sz w:val="20"/>
          <w:szCs w:val="20"/>
          <w:color w:val="auto"/>
        </w:rPr>
      </w:pPr>
    </w:p>
    <w:p>
      <w:pPr>
        <w:ind w:left="1300"/>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Route One is the investment adviser to investment funds and the General Partner is the general partner of one or more of those funds, including the Master Fund and Fund I. ROIC, LLC is the general partner of Route One. Mr. Duhamel and Mr. Moment are the control persons of Route One, ROIC, LLC and the General Partner. The Filers are filing this Schedule 13G jointly, but not as members of a group, and each disclaims membership in a group. Each Filer also disclaims beneficial ownership of the Stock except to the extent of that person’s pecuniary interest therein. In addition, the filing of this Schedule 13G on behalf of the Master Fund and Fund I should not be construed as an admission that either of them is, and each disclaims that it is, a beneficial owner, as defined in Rule 13d-3 under the Act, of any of the Stock covered by this Schedule 13G.</w:t>
      </w:r>
    </w:p>
    <w:p>
      <w:pPr>
        <w:spacing w:after="0" w:line="202"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(collectively, the “Filers”).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except for the Master Fund, is located at:</w:t>
      </w:r>
    </w:p>
    <w:p>
      <w:pPr>
        <w:spacing w:after="0" w:line="225" w:lineRule="exact"/>
        <w:rPr>
          <w:rFonts w:ascii="Times New Roman" w:cs="Times New Roman" w:eastAsia="Times New Roman" w:hAnsi="Times New Roman"/>
          <w:sz w:val="20"/>
          <w:szCs w:val="20"/>
          <w:color w:val="auto"/>
        </w:rPr>
      </w:pPr>
    </w:p>
    <w:p>
      <w:pPr>
        <w:ind w:left="1300" w:right="7740"/>
        <w:spacing w:after="0" w:line="27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One Letterman Drive Building D, Suite DM200 San Francisco, CA 94129</w:t>
      </w:r>
    </w:p>
    <w:p>
      <w:pPr>
        <w:spacing w:after="0" w:line="168"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address of the Master Fund is located at:</w:t>
      </w:r>
    </w:p>
    <w:p>
      <w:pPr>
        <w:spacing w:after="0" w:line="225" w:lineRule="exact"/>
        <w:rPr>
          <w:rFonts w:ascii="Times New Roman" w:cs="Times New Roman" w:eastAsia="Times New Roman" w:hAnsi="Times New Roman"/>
          <w:sz w:val="20"/>
          <w:szCs w:val="20"/>
          <w:color w:val="auto"/>
        </w:rPr>
      </w:pPr>
    </w:p>
    <w:p>
      <w:pPr>
        <w:ind w:left="1300" w:right="560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 Citco Fund Services (Cayman Islands) Limited 89 Nexus Way</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Camana Bay</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 Box 31106 SMB</w:t>
      </w:r>
    </w:p>
    <w:p>
      <w:pPr>
        <w:ind w:left="1300"/>
        <w:spacing w:after="0"/>
        <w:rPr>
          <w:sz w:val="20"/>
          <w:szCs w:val="20"/>
          <w:color w:val="auto"/>
        </w:rPr>
      </w:pPr>
      <w:r>
        <w:rPr>
          <w:rFonts w:ascii="Times New Roman" w:cs="Times New Roman" w:eastAsia="Times New Roman" w:hAnsi="Times New Roman"/>
          <w:sz w:val="20"/>
          <w:szCs w:val="20"/>
          <w:b w:val="1"/>
          <w:bCs w:val="1"/>
          <w:color w:val="auto"/>
        </w:rPr>
        <w:t>Grand Cayman, Cayman Islands</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60"/>
          </w:cols>
          <w:pgMar w:left="320" w:top="225"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CUSIP No. 07831C103</w:t>
      </w:r>
    </w:p>
    <w:p>
      <w:pPr>
        <w:spacing w:after="0" w:line="229"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statement relates to the Issuer’s </w:t>
      </w:r>
      <w:r>
        <w:rPr>
          <w:rFonts w:ascii="Times New Roman" w:cs="Times New Roman" w:eastAsia="Times New Roman" w:hAnsi="Times New Roman"/>
          <w:sz w:val="19"/>
          <w:szCs w:val="19"/>
          <w:b w:val="1"/>
          <w:bCs w:val="1"/>
          <w:color w:val="auto"/>
        </w:rPr>
        <w:t>Common Stock, par value $0.01 per share</w:t>
      </w:r>
      <w:r>
        <w:rPr>
          <w:rFonts w:ascii="Times New Roman" w:cs="Times New Roman" w:eastAsia="Times New Roman" w:hAnsi="Times New Roman"/>
          <w:sz w:val="19"/>
          <w:szCs w:val="19"/>
          <w:color w:val="auto"/>
        </w:rPr>
        <w:t xml:space="preserve"> (the “Stock”).</w:t>
      </w:r>
    </w:p>
    <w:p>
      <w:pPr>
        <w:spacing w:after="0" w:line="240"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07831C103.</w:t>
      </w:r>
    </w:p>
    <w:p>
      <w:pPr>
        <w:sectPr>
          <w:pgSz w:w="11900" w:h="16838" w:orient="portrait"/>
          <w:cols w:equalWidth="0" w:num="1">
            <w:col w:w="10900"/>
          </w:cols>
          <w:pgMar w:left="320" w:top="225" w:right="67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00" w:lineRule="exact"/>
        <w:rPr>
          <w:sz w:val="20"/>
          <w:szCs w:val="20"/>
          <w:color w:val="auto"/>
        </w:rPr>
      </w:pPr>
    </w:p>
    <w:p>
      <w:pPr>
        <w:sectPr>
          <w:pgSz w:w="11900" w:h="16838" w:orient="portrait"/>
          <w:cols w:equalWidth="0" w:num="2">
            <w:col w:w="600" w:space="700"/>
            <w:col w:w="9600"/>
          </w:cols>
          <w:pgMar w:left="320" w:top="225" w:right="679" w:bottom="1440" w:gutter="0" w:footer="0" w:header="0"/>
          <w:type w:val="continuous"/>
        </w:sectPr>
      </w:pPr>
    </w:p>
    <w:p>
      <w:pPr>
        <w:spacing w:after="0" w:line="4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 ] Broker or dealer registered under section 15 of the Act (15 U.S.C. 78o).</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 ] Bank as defined in section 3(a)(6)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color w:val="auto"/>
        </w:rPr>
        <w:t>[ ] Insurance company as defined in section 3(a)(19)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9"/>
          <w:szCs w:val="19"/>
          <w:color w:val="auto"/>
        </w:rPr>
        <w:t>(d)</w:t>
      </w:r>
      <w:r>
        <w:rPr>
          <w:sz w:val="20"/>
          <w:szCs w:val="20"/>
          <w:color w:val="auto"/>
        </w:rPr>
        <w:tab/>
      </w:r>
      <w:r>
        <w:rPr>
          <w:rFonts w:ascii="Times New Roman" w:cs="Times New Roman" w:eastAsia="Times New Roman" w:hAnsi="Times New Roman"/>
          <w:sz w:val="19"/>
          <w:szCs w:val="19"/>
          <w:color w:val="auto"/>
        </w:rPr>
        <w:t>[ ] Investment company registered under section 8 of the Investment Company Act of 1940 (15 U.S.C. 80a-8).</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20"/>
          <w:szCs w:val="20"/>
          <w:color w:val="auto"/>
        </w:rPr>
        <w:t>[ x ] An investment adviser in accordance with section 240.13d-1(b)(1)(ii)(E).</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(f)</w:t>
      </w:r>
      <w:r>
        <w:rPr>
          <w:sz w:val="20"/>
          <w:szCs w:val="20"/>
          <w:color w:val="auto"/>
        </w:rPr>
        <w:tab/>
      </w:r>
      <w:r>
        <w:rPr>
          <w:rFonts w:ascii="Times New Roman" w:cs="Times New Roman" w:eastAsia="Times New Roman" w:hAnsi="Times New Roman"/>
          <w:sz w:val="20"/>
          <w:szCs w:val="20"/>
          <w:color w:val="auto"/>
        </w:rPr>
        <w:t>[ ] An employee benefit plan or endowment fund in accordance with section 240.13d-1(b)(1)(ii)(F).</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(g)</w:t>
      </w:r>
      <w:r>
        <w:rPr>
          <w:sz w:val="20"/>
          <w:szCs w:val="20"/>
          <w:color w:val="auto"/>
        </w:rPr>
        <w:tab/>
      </w:r>
      <w:r>
        <w:rPr>
          <w:rFonts w:ascii="Times New Roman" w:cs="Times New Roman" w:eastAsia="Times New Roman" w:hAnsi="Times New Roman"/>
          <w:sz w:val="20"/>
          <w:szCs w:val="20"/>
          <w:color w:val="auto"/>
        </w:rPr>
        <w:t>[ x ] A parent holding company or control person in accordance with 240.13d-1(b)(1)(ii)(G)</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(h)</w:t>
      </w:r>
      <w:r>
        <w:rPr>
          <w:sz w:val="20"/>
          <w:szCs w:val="20"/>
          <w:color w:val="auto"/>
        </w:rPr>
        <w:tab/>
      </w: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9"/>
          <w:szCs w:val="19"/>
          <w:color w:val="auto"/>
        </w:rPr>
        <w:t>(i)</w:t>
      </w:r>
      <w:r>
        <w:rPr>
          <w:sz w:val="20"/>
          <w:szCs w:val="20"/>
          <w:color w:val="auto"/>
        </w:rPr>
        <w:tab/>
      </w:r>
      <w:r>
        <w:rPr>
          <w:rFonts w:ascii="Times New Roman" w:cs="Times New Roman" w:eastAsia="Times New Roman" w:hAnsi="Times New Roman"/>
          <w:sz w:val="19"/>
          <w:szCs w:val="19"/>
          <w:color w:val="auto"/>
        </w:rPr>
        <w:t>[ ] A church plan that is excluded from the definition of an investment company under section 3(c)(14) of the</w:t>
      </w:r>
    </w:p>
    <w:p>
      <w:pPr>
        <w:spacing w:after="0" w:line="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Investment Company Act of 1940 (15 U.S.C. 80a-3).</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(j)</w:t>
      </w:r>
      <w:r>
        <w:rPr>
          <w:sz w:val="20"/>
          <w:szCs w:val="20"/>
          <w:color w:val="auto"/>
        </w:rPr>
        <w:tab/>
      </w:r>
      <w:r>
        <w:rPr>
          <w:rFonts w:ascii="Times New Roman" w:cs="Times New Roman" w:eastAsia="Times New Roman" w:hAnsi="Times New Roman"/>
          <w:sz w:val="20"/>
          <w:szCs w:val="20"/>
          <w:color w:val="auto"/>
        </w:rPr>
        <w:t>[ ] A non-U.S. institution in accordance with §240.13d-1(b)(ii)(J).</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(k)</w:t>
      </w:r>
      <w:r>
        <w:rPr>
          <w:sz w:val="20"/>
          <w:szCs w:val="20"/>
          <w:color w:val="auto"/>
        </w:rPr>
        <w:tab/>
      </w:r>
      <w:r>
        <w:rPr>
          <w:rFonts w:ascii="Times New Roman" w:cs="Times New Roman" w:eastAsia="Times New Roman" w:hAnsi="Times New Roman"/>
          <w:sz w:val="20"/>
          <w:szCs w:val="20"/>
          <w:color w:val="auto"/>
        </w:rPr>
        <w:t>[ ] Group, in accordance with Rule 13d-1(b)(1)(ii)(K).</w:t>
      </w:r>
    </w:p>
    <w:p>
      <w:pPr>
        <w:sectPr>
          <w:pgSz w:w="11900" w:h="16838" w:orient="portrait"/>
          <w:cols w:equalWidth="0" w:num="1">
            <w:col w:w="10900"/>
          </w:cols>
          <w:pgMar w:left="320" w:top="225" w:right="679" w:bottom="1440" w:gutter="0" w:footer="0" w:header="0"/>
          <w:type w:val="continuous"/>
        </w:sectPr>
      </w:pPr>
    </w:p>
    <w:p>
      <w:pPr>
        <w:spacing w:after="0" w:line="229" w:lineRule="exact"/>
        <w:rPr>
          <w:sz w:val="20"/>
          <w:szCs w:val="20"/>
          <w:color w:val="auto"/>
        </w:rPr>
      </w:pPr>
    </w:p>
    <w:p>
      <w:pPr>
        <w:ind w:left="660" w:right="130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§240.13d-1(b)(1)(ii)(J), please specify the type of institution _______________________________________________________________.</w:t>
      </w:r>
    </w:p>
    <w:p>
      <w:pPr>
        <w:sectPr>
          <w:pgSz w:w="11900" w:h="16838" w:orient="portrait"/>
          <w:cols w:equalWidth="0" w:num="1">
            <w:col w:w="10900"/>
          </w:cols>
          <w:pgMar w:left="320" w:top="225" w:right="67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w:t>
      </w:r>
    </w:p>
    <w:p>
      <w:pPr>
        <w:spacing w:after="0" w:line="200" w:lineRule="exact"/>
        <w:rPr>
          <w:sz w:val="20"/>
          <w:szCs w:val="20"/>
          <w:color w:val="auto"/>
        </w:rPr>
      </w:pPr>
    </w:p>
    <w:p>
      <w:pPr>
        <w:sectPr>
          <w:pgSz w:w="11900" w:h="16838" w:orient="portrait"/>
          <w:cols w:equalWidth="0" w:num="2">
            <w:col w:w="600" w:space="700"/>
            <w:col w:w="9600"/>
          </w:cols>
          <w:pgMar w:left="320" w:top="225" w:right="67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percentages reported in this Schedule 13G are based on 133,573,430 shares of Common Stock outstanding as of January 31, 2023, as reported in the Issuer’s Form 10-Q filed on February 7, 2023.</w:t>
      </w:r>
    </w:p>
    <w:p>
      <w:pPr>
        <w:spacing w:after="0" w:line="17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320" w:top="225" w:right="6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color w:val="auto"/>
        </w:rPr>
        <w:t>CUSIP No. 07831C103</w:t>
      </w:r>
    </w:p>
    <w:p>
      <w:pPr>
        <w:spacing w:after="0" w:line="2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0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five percent of the class of securities, check the following [ </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xml:space="preserve"> ].*</w:t>
      </w:r>
    </w:p>
    <w:p>
      <w:pPr>
        <w:spacing w:after="0" w:line="1" w:lineRule="exact"/>
        <w:rPr>
          <w:sz w:val="20"/>
          <w:szCs w:val="20"/>
          <w:color w:val="auto"/>
        </w:rPr>
      </w:pPr>
    </w:p>
    <w:p>
      <w:pPr>
        <w:ind w:left="160" w:hanging="152"/>
        <w:spacing w:after="0"/>
        <w:tabs>
          <w:tab w:leader="none" w:pos="1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2022, Fund I ceased to be the beneficial owner of more than 5% of the Stock.</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Item 6.</w:t>
      </w:r>
      <w:r>
        <w:rPr>
          <w:rFonts w:ascii="Times New Roman" w:cs="Times New Roman" w:eastAsia="Times New Roman" w:hAnsi="Times New Roman"/>
          <w:sz w:val="19"/>
          <w:szCs w:val="19"/>
          <w:b w:val="1"/>
          <w:bCs w:val="1"/>
          <w:color w:val="auto"/>
        </w:rPr>
        <w:t>Ownership of More than Five Percent on Behalf of Another Person.</w:t>
      </w:r>
    </w:p>
    <w:p>
      <w:pPr>
        <w:spacing w:after="0" w:line="20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Route One is an investment adviser to investment funds and the General Partner is the general partner of one or more of those funds, including the Master Fund and Fund I. The funds hold the Stock for the benefit of their investors and have the right to receive or the power to direct the receipt of dividends from, or the proceeds from the sale of, the Stock. Except for the Master Fund and Fund I, no individual fund’s holdings of the Stock are more than five percent of the outstanding Stock.</w:t>
      </w:r>
    </w:p>
    <w:p>
      <w:pPr>
        <w:spacing w:after="0" w:line="189" w:lineRule="exact"/>
        <w:rPr>
          <w:sz w:val="20"/>
          <w:szCs w:val="20"/>
          <w:color w:val="auto"/>
        </w:rPr>
      </w:pPr>
    </w:p>
    <w:p>
      <w:pPr>
        <w:ind w:left="1300" w:right="34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Material to Be Filed as Exhibits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Regarding Joint Filing of Statement on Schedule 13D or 13G.</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20"/>
          <w:szCs w:val="20"/>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Route One, ROIC, LLC, the General Partner, Mr. Duhamel, and Mr. Moment:</w:t>
      </w:r>
    </w:p>
    <w:p>
      <w:pPr>
        <w:spacing w:after="0" w:line="233" w:lineRule="exact"/>
        <w:rPr>
          <w:sz w:val="20"/>
          <w:szCs w:val="20"/>
          <w:color w:val="auto"/>
        </w:rPr>
      </w:pPr>
    </w:p>
    <w:p>
      <w:pPr>
        <w:ind w:right="66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the Master Fund and Fund I:</w:t>
      </w:r>
    </w:p>
    <w:p>
      <w:pPr>
        <w:spacing w:after="0" w:line="220" w:lineRule="exact"/>
        <w:rPr>
          <w:sz w:val="20"/>
          <w:szCs w:val="20"/>
          <w:color w:val="auto"/>
        </w:rPr>
      </w:pPr>
    </w:p>
    <w:p>
      <w:pPr>
        <w:ind w:right="66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225"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color w:val="auto"/>
        </w:rPr>
        <w:t>CUSIP No. 07831C103</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ectPr>
          <w:pgSz w:w="11900" w:h="16838" w:orient="portrait"/>
          <w:cols w:equalWidth="0" w:num="1">
            <w:col w:w="11180"/>
          </w:cols>
          <w:pgMar w:left="320" w:top="225" w:right="39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13, 2023</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Route One Investment Company,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ROIC, LLC, General Partner</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William F. Duhamel, Jr.</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ROIC, LLC</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William F. Duhamel, Jr.</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Route One Investment Company, LLC</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William F. Duhamel, Jr.</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Route One Offshore Master Fund,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By: Route One Investment Company, LLC, General Partner</w:t>
      </w:r>
    </w:p>
    <w:p>
      <w:pPr>
        <w:spacing w:after="0" w:line="2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William F. Duhamel, Jr.</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Route One Fund I, 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Route One Investment Company, LLC, General Partner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William F. Duhamel, Jr.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Jason E. Moment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William F. Duhamel, Jr.</w:t>
      </w:r>
    </w:p>
    <w:p>
      <w:pPr>
        <w:spacing w:after="0" w:line="2520" w:lineRule="exact"/>
        <w:rPr>
          <w:sz w:val="20"/>
          <w:szCs w:val="20"/>
          <w:color w:val="auto"/>
        </w:rPr>
      </w:pPr>
    </w:p>
    <w:p>
      <w:pPr>
        <w:sectPr>
          <w:pgSz w:w="11900" w:h="16838" w:orient="portrait"/>
          <w:cols w:equalWidth="0" w:num="2">
            <w:col w:w="5000" w:space="720"/>
            <w:col w:w="5460"/>
          </w:cols>
          <w:pgMar w:left="320" w:top="225" w:right="399" w:bottom="1440" w:gutter="0" w:footer="0" w:header="0"/>
          <w:type w:val="continuous"/>
        </w:sect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80"/>
          </w:cols>
          <w:pgMar w:left="320" w:top="225" w:right="3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color w:val="auto"/>
        </w:rPr>
        <w:t>CUSIP No. 07831C103</w:t>
      </w:r>
    </w:p>
    <w:p>
      <w:pPr>
        <w:spacing w:after="0" w:line="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EXHIBIT A</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Route One Investment Company, L.P., a Delaware limited partnership,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ectPr>
          <w:pgSz w:w="11900" w:h="16838" w:orient="portrait"/>
          <w:cols w:equalWidth="0" w:num="1">
            <w:col w:w="11160"/>
          </w:cols>
          <w:pgMar w:left="320" w:top="225" w:right="41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13, 2023</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Route One Investment Company,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ROIC, LLC, General Partner</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William F. Duhamel, Jr.</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ROIC, LLC</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William F. Duhamel, Jr.</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Route One Investment Company, LLC</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William F. Duhamel, Jr.</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Route One Offshore Master Fund,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By: Route One Investment Company, LLC, General Partner</w:t>
      </w:r>
    </w:p>
    <w:p>
      <w:pPr>
        <w:spacing w:after="0" w:line="2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William F. Duhamel, Jr.</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Route One Fund I, 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Route One Investment Company, LLC, General Partner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William F. Duhamel, Jr.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Jason E. Moment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William F. Duhamel, Jr.</w:t>
      </w:r>
    </w:p>
    <w:sectPr>
      <w:pgSz w:w="11900" w:h="16838" w:orient="portrait"/>
      <w:cols w:equalWidth="0" w:num="2">
        <w:col w:w="5000" w:space="720"/>
        <w:col w:w="5440"/>
      </w:cols>
      <w:pgMar w:left="320" w:top="225"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lvl w:ilvl="1">
      <w:lvlJc w:val="left"/>
      <w:lvlText w:val="["/>
      <w:numFmt w:val="bullet"/>
      <w:start w:val="1"/>
    </w:lvl>
  </w:abstractNum>
  <w:abstractNum w:abstractNumId="2">
    <w:nsid w:val="1190CDE7"/>
    <w:multiLevelType w:val="hybridMultilevel"/>
    <w:lvl w:ilvl="0">
      <w:lvlJc w:val="left"/>
      <w:lvlText w:val="%1."/>
      <w:numFmt w:val="decimal"/>
      <w:start w:val="1"/>
    </w:lvl>
    <w:lvl w:ilvl="1">
      <w:lvlJc w:val="left"/>
      <w:lvlText w:val="(%2)"/>
      <w:numFmt w:val="lowerLetter"/>
      <w:start w:val="1"/>
    </w:lvl>
  </w:abstractNum>
  <w:abstractNum w:abstractNumId="3">
    <w:nsid w:val="66EF438D"/>
    <w:multiLevelType w:val="hybridMultilevel"/>
    <w:lvl w:ilvl="0">
      <w:lvlJc w:val="left"/>
      <w:lvlText w:val="%1."/>
      <w:numFmt w:val="decimal"/>
      <w:start w:val="9"/>
    </w:lvl>
  </w:abstractNum>
  <w:abstractNum w:abstractNumId="4">
    <w:nsid w:val="140E0F76"/>
    <w:multiLevelType w:val="hybridMultilevel"/>
    <w:lvl w:ilvl="0">
      <w:lvlJc w:val="left"/>
      <w:lvlText w:val="%1."/>
      <w:numFmt w:val="decimal"/>
      <w:start w:val="1"/>
    </w:lvl>
    <w:lvl w:ilvl="1">
      <w:lvlJc w:val="left"/>
      <w:lvlText w:val="(%2)"/>
      <w:numFmt w:val="lowerLetter"/>
      <w:start w:val="1"/>
    </w:lvl>
  </w:abstractNum>
  <w:abstractNum w:abstractNumId="5">
    <w:nsid w:val="3352255A"/>
    <w:multiLevelType w:val="hybridMultilevel"/>
    <w:lvl w:ilvl="0">
      <w:lvlJc w:val="left"/>
      <w:lvlText w:val="%1."/>
      <w:numFmt w:val="decimal"/>
      <w:start w:val="9"/>
    </w:lvl>
  </w:abstractNum>
  <w:abstractNum w:abstractNumId="6">
    <w:nsid w:val="109CF92E"/>
    <w:multiLevelType w:val="hybridMultilevel"/>
    <w:lvl w:ilvl="0">
      <w:lvlJc w:val="left"/>
      <w:lvlText w:val="%1."/>
      <w:numFmt w:val="decimal"/>
      <w:start w:val="1"/>
    </w:lvl>
    <w:lvl w:ilvl="1">
      <w:lvlJc w:val="left"/>
      <w:lvlText w:val="(%2)"/>
      <w:numFmt w:val="lowerLetter"/>
      <w:start w:val="1"/>
    </w:lvl>
  </w:abstractNum>
  <w:abstractNum w:abstractNumId="7">
    <w:nsid w:val="DED7263"/>
    <w:multiLevelType w:val="hybridMultilevel"/>
    <w:lvl w:ilvl="0">
      <w:lvlJc w:val="left"/>
      <w:lvlText w:val="%1."/>
      <w:numFmt w:val="decimal"/>
      <w:start w:val="9"/>
    </w:lvl>
  </w:abstractNum>
  <w:abstractNum w:abstractNumId="8">
    <w:nsid w:val="7FDCC233"/>
    <w:multiLevelType w:val="hybridMultilevel"/>
    <w:lvl w:ilvl="0">
      <w:lvlJc w:val="left"/>
      <w:lvlText w:val="%1."/>
      <w:numFmt w:val="decimal"/>
      <w:start w:val="1"/>
    </w:lvl>
    <w:lvl w:ilvl="1">
      <w:lvlJc w:val="left"/>
      <w:lvlText w:val="(%2)"/>
      <w:numFmt w:val="lowerLetter"/>
      <w:start w:val="1"/>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1."/>
      <w:numFmt w:val="decimal"/>
      <w:start w:val="1"/>
    </w:lvl>
    <w:lvl w:ilvl="1">
      <w:lvlJc w:val="left"/>
      <w:lvlText w:val="(%2)"/>
      <w:numFmt w:val="lowerLetter"/>
      <w:start w:val="1"/>
    </w:lvl>
  </w:abstractNum>
  <w:abstractNum w:abstractNumId="11">
    <w:nsid w:val="6B68079A"/>
    <w:multiLevelType w:val="hybridMultilevel"/>
    <w:lvl w:ilvl="0">
      <w:lvlJc w:val="left"/>
      <w:lvlText w:val="%1."/>
      <w:numFmt w:val="decimal"/>
      <w:start w:val="9"/>
    </w:lvl>
  </w:abstractNum>
  <w:abstractNum w:abstractNumId="12">
    <w:nsid w:val="4E6AFB66"/>
    <w:multiLevelType w:val="hybridMultilevel"/>
    <w:lvl w:ilvl="0">
      <w:lvlJc w:val="left"/>
      <w:lvlText w:val="%1."/>
      <w:numFmt w:val="decimal"/>
      <w:start w:val="1"/>
    </w:lvl>
    <w:lvl w:ilvl="1">
      <w:lvlJc w:val="left"/>
      <w:lvlText w:val="(%2)"/>
      <w:numFmt w:val="lowerLetter"/>
      <w:start w:val="1"/>
    </w:lvl>
  </w:abstractNum>
  <w:abstractNum w:abstractNumId="13">
    <w:nsid w:val="25E45D32"/>
    <w:multiLevelType w:val="hybridMultilevel"/>
    <w:lvl w:ilvl="0">
      <w:lvlJc w:val="left"/>
      <w:lvlText w:val="%1."/>
      <w:numFmt w:val="decimal"/>
      <w:start w:val="9"/>
    </w:lvl>
  </w:abstractNum>
  <w:abstractNum w:abstractNumId="14">
    <w:nsid w:val="519B500D"/>
    <w:multiLevelType w:val="hybridMultilevel"/>
    <w:lvl w:ilvl="0">
      <w:lvlJc w:val="left"/>
      <w:lvlText w:val="%1."/>
      <w:numFmt w:val="decimal"/>
      <w:start w:val="1"/>
    </w:lvl>
    <w:lvl w:ilvl="1">
      <w:lvlJc w:val="left"/>
      <w:lvlText w:val="(%2)"/>
      <w:numFmt w:val="lowerLetter"/>
      <w:start w:val="1"/>
    </w:lvl>
  </w:abstractNum>
  <w:abstractNum w:abstractNumId="15">
    <w:nsid w:val="431BD7B7"/>
    <w:multiLevelType w:val="hybridMultilevel"/>
    <w:lvl w:ilvl="0">
      <w:lvlJc w:val="left"/>
      <w:lvlText w:val="%1."/>
      <w:numFmt w:val="decimal"/>
      <w:start w:val="9"/>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3"/>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2023-02-13T12:04:34Z</dcterms:created>
  <dcterms:modified xsi:type="dcterms:W3CDTF">2023-02-13T12:04:34Z</dcterms:modified>
</cp:coreProperties>
</file>