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line="235" w:lineRule="auto"/>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218" w:lineRule="exact"/>
        <w:rPr>
          <w:sz w:val="24"/>
          <w:szCs w:val="24"/>
          <w:color w:val="auto"/>
        </w:rPr>
      </w:pPr>
    </w:p>
    <w:p>
      <w:pPr>
        <w:jc w:val="center"/>
        <w:ind w:left="3880" w:right="1400" w:hanging="2476"/>
        <w:spacing w:after="0" w:line="290" w:lineRule="auto"/>
        <w:tabs>
          <w:tab w:leader="none" w:pos="161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December 31,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3" w:lineRule="exact"/>
        <w:rPr>
          <w:sz w:val="24"/>
          <w:szCs w:val="24"/>
          <w:color w:val="auto"/>
        </w:rPr>
      </w:pPr>
    </w:p>
    <w:p>
      <w:pPr>
        <w:jc w:val="center"/>
        <w:ind w:left="4040" w:right="1400" w:hanging="2640"/>
        <w:spacing w:after="0" w:line="294" w:lineRule="auto"/>
        <w:tabs>
          <w:tab w:leader="none" w:pos="159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 to _____</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130175</wp:posOffset>
            </wp:positionV>
            <wp:extent cx="136271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BellRing Brands,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2280" w:type="dxa"/>
            <w:vAlign w:val="bottom"/>
            <w:gridSpan w:val="2"/>
          </w:tcPr>
          <w:p>
            <w:pPr>
              <w:jc w:val="center"/>
              <w:ind w:left="27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60" w:type="dxa"/>
            <w:vAlign w:val="bottom"/>
            <w:gridSpan w:val="2"/>
          </w:tcPr>
          <w:p>
            <w:pPr>
              <w:jc w:val="right"/>
              <w:ind w:right="1659"/>
              <w:spacing w:after="0"/>
              <w:rPr>
                <w:sz w:val="20"/>
                <w:szCs w:val="20"/>
                <w:color w:val="auto"/>
              </w:rPr>
            </w:pPr>
            <w:r>
              <w:rPr>
                <w:rFonts w:ascii="Times New Roman" w:cs="Times New Roman" w:eastAsia="Times New Roman" w:hAnsi="Times New Roman"/>
                <w:sz w:val="18"/>
                <w:szCs w:val="18"/>
                <w:b w:val="1"/>
                <w:bCs w:val="1"/>
                <w:color w:val="auto"/>
              </w:rPr>
              <w:t>87-3296749</w:t>
            </w:r>
          </w:p>
        </w:tc>
      </w:tr>
      <w:tr>
        <w:trPr>
          <w:trHeight w:val="210"/>
        </w:trPr>
        <w:tc>
          <w:tcPr>
            <w:tcW w:w="6900" w:type="dxa"/>
            <w:vAlign w:val="bottom"/>
            <w:gridSpan w:val="6"/>
          </w:tcPr>
          <w:p>
            <w:pPr>
              <w:jc w:val="center"/>
              <w:ind w:right="11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60" w:type="dxa"/>
            <w:vAlign w:val="bottom"/>
            <w:gridSpan w:val="2"/>
          </w:tcPr>
          <w:p>
            <w:pPr>
              <w:jc w:val="center"/>
              <w:ind w:right="6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40"/>
        </w:trPr>
        <w:tc>
          <w:tcPr>
            <w:tcW w:w="1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80" w:type="dxa"/>
            <w:vAlign w:val="bottom"/>
            <w:gridSpan w:val="3"/>
          </w:tcPr>
          <w:p>
            <w:pPr>
              <w:jc w:val="center"/>
              <w:ind w:left="434"/>
              <w:spacing w:after="0"/>
              <w:rPr>
                <w:sz w:val="20"/>
                <w:szCs w:val="20"/>
                <w:color w:val="auto"/>
              </w:rPr>
            </w:pPr>
            <w:r>
              <w:rPr>
                <w:rFonts w:ascii="Times New Roman" w:cs="Times New Roman" w:eastAsia="Times New Roman" w:hAnsi="Times New Roman"/>
                <w:sz w:val="18"/>
                <w:szCs w:val="18"/>
                <w:b w:val="1"/>
                <w:bCs w:val="1"/>
                <w:color w:val="auto"/>
                <w:w w:val="99"/>
              </w:rPr>
              <w:t>2503 S. Hanley Road</w:t>
            </w:r>
          </w:p>
        </w:tc>
        <w:tc>
          <w:tcPr>
            <w:tcW w:w="78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197"/>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80" w:type="dxa"/>
            <w:vAlign w:val="bottom"/>
            <w:gridSpan w:val="3"/>
          </w:tcPr>
          <w:p>
            <w:pPr>
              <w:jc w:val="center"/>
              <w:ind w:left="454"/>
              <w:spacing w:after="0" w:line="198" w:lineRule="exact"/>
              <w:rPr>
                <w:sz w:val="20"/>
                <w:szCs w:val="20"/>
                <w:color w:val="auto"/>
              </w:rPr>
            </w:pPr>
            <w:r>
              <w:rPr>
                <w:rFonts w:ascii="Times New Roman" w:cs="Times New Roman" w:eastAsia="Times New Roman" w:hAnsi="Times New Roman"/>
                <w:sz w:val="18"/>
                <w:szCs w:val="18"/>
                <w:b w:val="1"/>
                <w:bCs w:val="1"/>
                <w:color w:val="auto"/>
                <w:w w:val="99"/>
              </w:rPr>
              <w:t>St. Louis, Missouri 63144</w:t>
            </w:r>
          </w:p>
        </w:tc>
        <w:tc>
          <w:tcPr>
            <w:tcW w:w="78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303"/>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gridSpan w:val="2"/>
          </w:tcPr>
          <w:p>
            <w:pPr>
              <w:jc w:val="center"/>
              <w:ind w:left="1114"/>
              <w:spacing w:after="0"/>
              <w:rPr>
                <w:sz w:val="20"/>
                <w:szCs w:val="20"/>
                <w:color w:val="auto"/>
              </w:rPr>
            </w:pPr>
            <w:r>
              <w:rPr>
                <w:rFonts w:ascii="Times New Roman" w:cs="Times New Roman" w:eastAsia="Times New Roman" w:hAnsi="Times New Roman"/>
                <w:sz w:val="18"/>
                <w:szCs w:val="18"/>
                <w:b w:val="1"/>
                <w:bCs w:val="1"/>
                <w:color w:val="auto"/>
                <w:w w:val="99"/>
              </w:rPr>
              <w:t>(314) 644-7600</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31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95"/>
        </w:trPr>
        <w:tc>
          <w:tcPr>
            <w:tcW w:w="1540" w:type="dxa"/>
            <w:vAlign w:val="bottom"/>
          </w:tcPr>
          <w:p>
            <w:pPr>
              <w:spacing w:after="0"/>
              <w:rPr>
                <w:sz w:val="16"/>
                <w:szCs w:val="16"/>
                <w:color w:val="auto"/>
              </w:rPr>
            </w:pPr>
          </w:p>
        </w:tc>
        <w:tc>
          <w:tcPr>
            <w:tcW w:w="228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180" w:type="dxa"/>
            <w:vAlign w:val="bottom"/>
          </w:tcPr>
          <w:p>
            <w:pPr>
              <w:spacing w:after="0"/>
              <w:rPr>
                <w:sz w:val="16"/>
                <w:szCs w:val="16"/>
                <w:color w:val="auto"/>
              </w:rPr>
            </w:pPr>
          </w:p>
        </w:tc>
        <w:tc>
          <w:tcPr>
            <w:tcW w:w="190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color w:val="auto"/>
              </w:rPr>
              <w:t>Trading Symbol(s)</w:t>
            </w:r>
          </w:p>
        </w:tc>
        <w:tc>
          <w:tcPr>
            <w:tcW w:w="78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820" w:type="dxa"/>
            <w:vAlign w:val="bottom"/>
            <w:gridSpan w:val="3"/>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180" w:type="dxa"/>
            <w:vAlign w:val="bottom"/>
          </w:tcPr>
          <w:p>
            <w:pPr>
              <w:spacing w:after="0"/>
              <w:rPr>
                <w:sz w:val="20"/>
                <w:szCs w:val="20"/>
                <w:color w:val="auto"/>
              </w:rPr>
            </w:pP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8"/>
              </w:rPr>
              <w:t>BRBR</w:t>
            </w:r>
          </w:p>
        </w:tc>
        <w:tc>
          <w:tcPr>
            <w:tcW w:w="78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95"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75" w:lineRule="exact"/>
        <w:rPr>
          <w:sz w:val="24"/>
          <w:szCs w:val="24"/>
          <w:color w:val="auto"/>
        </w:rPr>
      </w:pPr>
    </w:p>
    <w:tbl>
      <w:tblPr>
        <w:tblLayout w:type="fixed"/>
        <w:tblInd w:w="300" w:type="dxa"/>
        <w:tblCellMar>
          <w:top w:w="0" w:type="dxa"/>
          <w:left w:w="0" w:type="dxa"/>
          <w:bottom w:w="0" w:type="dxa"/>
          <w:right w:w="0" w:type="dxa"/>
        </w:tblCellMar>
      </w:tblPr>
      <w:tr>
        <w:trPr>
          <w:trHeight w:val="27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6"/>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rPr>
          <w:sz w:val="20"/>
          <w:szCs w:val="20"/>
          <w:color w:val="auto"/>
        </w:rPr>
      </w:pPr>
      <w:r>
        <w:rPr>
          <w:rFonts w:ascii="Times New Roman" w:cs="Times New Roman" w:eastAsia="Times New Roman" w:hAnsi="Times New Roman"/>
          <w:sz w:val="16"/>
          <w:szCs w:val="16"/>
          <w:color w:val="auto"/>
        </w:rPr>
        <w:t>Act.</w:t>
      </w:r>
    </w:p>
    <w:p>
      <w:pPr>
        <w:spacing w:after="0" w:line="8"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Common Stock, $0.01 par value per share – 128,283,139 shares as of January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91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50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w:t>
            </w:r>
          </w:p>
        </w:tc>
        <w:tc>
          <w:tcPr>
            <w:tcW w:w="9220" w:type="dxa"/>
            <w:vAlign w:val="bottom"/>
            <w:tcBorders>
              <w:top w:val="single" w:sz="8" w:color="CCEEFF"/>
            </w:tcBorders>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7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7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220" w:type="dxa"/>
        <w:tblCellMar>
          <w:top w:w="0" w:type="dxa"/>
          <w:left w:w="0" w:type="dxa"/>
          <w:bottom w:w="0" w:type="dxa"/>
          <w:right w:w="0" w:type="dxa"/>
        </w:tblCellMar>
      </w:tblPr>
      <w:tr>
        <w:trPr>
          <w:trHeight w:val="214"/>
        </w:trPr>
        <w:tc>
          <w:tcPr>
            <w:tcW w:w="84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r>
      <w:tr>
        <w:trPr>
          <w:trHeight w:val="229"/>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r>
      <w:tr>
        <w:trPr>
          <w:trHeight w:val="22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3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3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3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196"/>
        </w:trPr>
        <w:tc>
          <w:tcPr>
            <w:tcW w:w="84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Earnings</w:t>
            </w: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76.9</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43.9</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8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70"/>
        </w:trPr>
        <w:tc>
          <w:tcPr>
            <w:tcW w:w="84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30"/>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34"/>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r>
    </w:tbl>
    <w:p>
      <w:pPr>
        <w:spacing w:after="0" w:line="28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5"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0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440" w:type="dxa"/>
        <w:tblCellMar>
          <w:top w:w="0" w:type="dxa"/>
          <w:left w:w="0" w:type="dxa"/>
          <w:bottom w:w="0" w:type="dxa"/>
          <w:right w:w="0" w:type="dxa"/>
        </w:tblCellMar>
      </w:tblPr>
      <w:tr>
        <w:trPr>
          <w:trHeight w:val="214"/>
        </w:trPr>
        <w:tc>
          <w:tcPr>
            <w:tcW w:w="80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foreign currency translation adjustments</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7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75.5</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1"/>
        </w:trPr>
        <w:tc>
          <w:tcPr>
            <w:tcW w:w="8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24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48"/>
        </w:trPr>
        <w:tc>
          <w:tcPr>
            <w:tcW w:w="8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8240" w:type="dxa"/>
            <w:vAlign w:val="bottom"/>
            <w:shd w:val="clear" w:color="auto" w:fill="CCEEFF"/>
          </w:tcPr>
          <w:p>
            <w:pPr>
              <w:ind w:left="36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23"/>
        </w:trPr>
        <w:tc>
          <w:tcPr>
            <w:tcW w:w="8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48"/>
        </w:trPr>
        <w:tc>
          <w:tcPr>
            <w:tcW w:w="8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92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changes in operating assets and liabilities: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receivables, net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decrease in inventories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prepaid expenses and other current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 (increase) in other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 increase in accounts payable and other current liabilities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50"/>
        </w:trPr>
        <w:tc>
          <w:tcPr>
            <w:tcW w:w="8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2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0"/>
        </w:trPr>
        <w:tc>
          <w:tcPr>
            <w:tcW w:w="8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withholding payments related to stock compensation plans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(Unaudited)</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 millions</w:t>
      </w:r>
      <w:r>
        <w:rPr>
          <w:rFonts w:ascii="Times New Roman" w:cs="Times New Roman" w:eastAsia="Times New Roman" w:hAnsi="Times New Roman"/>
          <w:sz w:val="18"/>
          <w:szCs w:val="18"/>
          <w:color w:val="auto"/>
        </w:rPr>
        <w:t>)</w:t>
      </w:r>
    </w:p>
    <w:p>
      <w:pPr>
        <w:spacing w:after="0" w:line="275"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6"/>
          <w:szCs w:val="16"/>
          <w:b w:val="1"/>
          <w:bCs w:val="1"/>
          <w:color w:val="auto"/>
        </w:rPr>
        <w:t>As of and for the</w:t>
      </w:r>
    </w:p>
    <w:p>
      <w:pPr>
        <w:jc w:val="center"/>
        <w:ind w:left="8080"/>
        <w:spacing w:after="0" w:line="211" w:lineRule="auto"/>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0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420" w:type="dxa"/>
        <w:tblCellMar>
          <w:top w:w="0" w:type="dxa"/>
          <w:left w:w="0" w:type="dxa"/>
          <w:bottom w:w="0" w:type="dxa"/>
          <w:right w:w="0" w:type="dxa"/>
        </w:tblCellMar>
      </w:tblPr>
      <w:tr>
        <w:trPr>
          <w:trHeight w:val="214"/>
        </w:trPr>
        <w:tc>
          <w:tcPr>
            <w:tcW w:w="80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Beginning and 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Activity under stock and deferred compensation plans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8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 (Accumulated Deficit)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30"/>
        </w:trPr>
        <w:tc>
          <w:tcPr>
            <w:tcW w:w="8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30"/>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0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30"/>
        </w:trPr>
        <w:tc>
          <w:tcPr>
            <w:tcW w:w="8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23"/>
        </w:trPr>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w:t>
            </w:r>
          </w:p>
        </w:tc>
      </w:tr>
      <w:tr>
        <w:trPr>
          <w:trHeight w:val="20"/>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information and where indicated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BASIS OF PRESENTATION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BellRing Brands, Inc. is a consumer products holding company operating in the global convenient nutrition category and is a provider of ready-to-drink (“RTD”) protein shakes and powders. The Company has a single operating and reportable segment, with its principal products being protein-based consumer goods. The Company’s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indicates, all references in these financial statements and notes to “BellRing,” the “Company,” “us,” “our” or “we” mean BellRing Brands, Inc. and its subsidiaries.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accounting principles generally accepted in the United States of America (“GAAP”), under the rules and regulations of the United States (the “U.S.”) Securities and Exchange Commission (the “SEC”), and on a basis substantially consistent with the audited consolidated financial statements of the Company as of and for the fiscal year ended September 30, 2024. These unaudited condensed consolidated financial statements should be read in conjunction with such audited consolidated financial statements, which are included in the Company’s Annual Report on Form 10-K for the fiscal year ended September 30, 2024, filed with the SEC on November 19, 2024.</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 comprehensive income, financial position, cash flows and stockholders’ equity for the interim periods presented. Interim results are not necessarily indicative of the results for any other interim period or for the entire fiscal year. Certain reclassifications have been made to previously reported financial information to conform to the current year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RECENTLY ISSUED ACCOUNTING STANDARDS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position, cash flows, stockholders’ equity or related disclosures based on current information.</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(the “FASB”) issued Accounting Standards Update (“ASU”) 2024-03, “Income Statemen</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Reporting Comprehensive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Expense Disaggregation Disclosures (Subtopic 220-40): Disaggregation of Income Statement Expenses.” This ASU is effective for fiscal years beginning after December 15, 2026 (i.e., the Company’s annual financial statements for the year ended September 30, 2028) and for interim periods within fiscal years beginning after December 15, 2027 (i.e., the Company’s interim financial statements for the three months ended December 31, 2028), with early adoption permitted. This ASU can be adopted either (i) prospectively to financial statements issued for reporting periods after the effective date of this ASU or (ii) retrospectively to any or all prior periods presented in the financial statements. The Company is currently evaluating the impact of this standard.</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ASU is effective for fiscal years beginning after December 15, 2024 (i.e., the Company’s annual financial statements for the year ended September 30, 2026), with early adoption permitted. This ASU should be adopted prospectively; however, retrospective adoption is permitted. The Company is currently evaluating the impact of this standard.</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annual and interim disclosure requirements for reportable segments, primarily through enhanced disclosures about significant segment expenses. This ASU is effective for fiscal years beginning after December 15, 2023 (i.e., the Company’s annual financial statements for the year ended September 30, 2025) and for interim periods within fiscal years beginning after December 15, 2024 (i.e., the Company’s interim financial statements for the three months ended December 31, 2025), with early adoption permitted. This ASU requires retrospective adoption. The Company is currently evaluating the impact of this standard.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sales by product.</w:t>
      </w:r>
    </w:p>
    <w:p>
      <w:pPr>
        <w:spacing w:after="0" w:line="158"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9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Shakes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Powders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w:t>
            </w:r>
          </w:p>
        </w:tc>
      </w:tr>
      <w:tr>
        <w:trPr>
          <w:trHeight w:val="21"/>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Transactions between the Company and Post Holdings, Inc. (“Post”) are considered related party transactions as certain of the Company’s officers and/or directors serve as officers and/or directors of Post.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MSA Fees and Royalties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certain functions and services performed by Post under a master services agreement (the “MSA”). These functions and services include finance, internal audit, treasury, information technology support, insurance and tax matters, the use of office and/or data center space, tax compliance services and, prior to January 2025, payroll processing services. MSA fees were $0.9 during both the three months ended December 31, 2024 and 2023, respectively. MSA fees were reported in “Selling, general and administrative expenses” in the Condensed Consolidated Statements of Operations.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licenses certain intellectual property to and from Post and its subsidiaries based upon prices governed by agreements between the Company and Post and its subsidiaries, consistent with prices of similar arm's-length transactions. During the three months ended December 31, 2024 and 2023, royalties paid to and received from Post and its subsidiaries were immaterial.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Co-Packing Agreement</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Premier Nutrition Company, LLC (“Premier Nutrition”), a subsidiary of the Company, has a co-packing agreement with Comet Processing, Inc. (“Comet”), a wholly-owned subsidiary of Post (the “Co-Packing Agreement”). Under the Co-Packing Agreement, Premier Nutrition procures certain packaging materials for Comet that Comet utilizes in the production of RTD shakes for Premier Nutrition. Comet began manufacturing RTD shakes in December 2023, and during the three months ended December 31, 2024, the Company purchased $6.3 of RTD shakes from Comet. There were no RTD shake purchases from Comet during the three months ended December 31, 2023.</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and September 30, 2024, the Company had current payables with Post of $2.0 and $1.5, respectively, related to RTD shake purchases and MSA fees, which were included in “Accounts payable” on the Condensed Consolidated Balance Sheets. Current receivables with Post at both December 31, 2024 and September 30, 2024 were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earnings per share is based on the average number of shares of common stock outstanding during each period. Diluted earnings per share is based on the average number of shares of common stock used for the basic earnings per share calculation, adjusted for the dilutive effect of stock options and restricted stock units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earnings per share.</w:t>
      </w:r>
    </w:p>
    <w:p>
      <w:pPr>
        <w:spacing w:after="0" w:line="158"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9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70"/>
        </w:trPr>
        <w:tc>
          <w:tcPr>
            <w:tcW w:w="8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for basic earnings per share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diluted earnings per share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8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anti-dilutive securities excluded from the calculation of weighted-average shares for diluted earnings per share during the three months ended December 31, 2024 or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23"/>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PROPERTY, NET</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at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“Goodwill” on the Condensed Consolidated Balance Sheets at both December 31, 2024 and September 30, 2024 are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48"/>
        </w:trPr>
        <w:tc>
          <w:tcPr>
            <w:tcW w:w="9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INTANGIBLE ASSETS, NET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8"/>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right"/>
              <w:ind w:right="453"/>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r>
      <w:tr>
        <w:trPr>
          <w:trHeight w:val="214"/>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1"/>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fiscal 2023, the Company approved a plan to discontinue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In connection with the discontinuance, the Company updated the useful lives of the customer relationships and trademark associated with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to reflect the remaining period in which the Company expected to sell existing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product inventory in North America. Accelerated amortization of $17.4 was recorded during the three months ended December 31, 2023 resulting from the updated useful lives of the customer relationships and trademark associated with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which were fully amortized and written off in fiscal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include cash and cash equivalents, receivables and accounts payable for which the carrying value approximates fair value due to their short maturities (less than 12 months). The Company does not record its long-term debt at fair value on the Condensed Consolidated Balance Sheets. Based on market rates, the fair value (Level 2) of the Company’s debt was $864.0 and $880.6 as of December 31, 2024 and September 30, 2024, respectively.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assets and liabilities, including property, goodwill and other intangible assets, are measured at fair value on a non-recurring basis using Level 3 inputs.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LONG-TERM DEBT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“Long-term debt” on the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senior notes maturing in March 2030</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10, 2022, the Company entered into a credit agreement (as amended, the “Credit Agreement”), which provides for a revolving credit facility in an aggregate principal amount of $250.0 (the “Revolving Credit Facility”), with commitments made available to the Company in U.S. Dollars, Euros and United Kingdom (“U.K.”) Pounds Sterling. Letters of credit are available under the Credit Agreement in an aggregate amount of up to $20.0. Any outstanding amounts under the Credit Agreement must be repaid on or before March 10, 2027.</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an annual rate equal to: (i) in the case of loans denominated in U.S. Dollars, at the Company’s option, the base rate (as defined in the Credit Agreement) plus a margin which ranges from 2.00% to 2.75% depending on the Company’s secured net leverage ratio (as defined in the Credit Agreement), or the adjusted term SOFR rate (as defined in the Credit Agreement) for the applicable interest period plus a margin which ranges from 3.00% to 3.75% depending on the Company’s secured net leverage ratio; (ii) in the case of loans denominated in Euros, the adjusted Eurodollar rate (as defined in the Credit Agreement) for the applicable interest period plus a margin which ranges from 3.00% to 3.75% depending on the Company’s secured net leverage ratio; and (iii) in the case of loans denominated in U.K. Pounds Sterling, the adjusted daily simple RFR (as defined in the Credit Agreement) plus a margin which ranges from 3.00% to 3.75% depending on the Company’s secured net leverage ratio. Facility fees on the daily unused amount of commitments under the Revolving Credit Facility accrue at rates ranging from 0.25% to 0.375% per annum, depending on the Company’s secured net leverage ratio.</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2024, the Company borrowed and repaid $35.0, respectively, under the Revolving Credit Facility. During the three months ended December 31, 2023, the Company had no borrowings and repaid $25.0 under the Revolving Credit Facility. There were no amounts outstanding under the Revolving Credit Facility as of December 31, 2024 or September 30, 2024. The available borrowing capacity under the Revolving Credit Facility was $250.0 and there were no outstanding letters of credit as of both December 31, 2024 and September 30, 2024.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 the Company is required to maintain a total net leverage ratio (as defined in the Credit Agreement) not to exceed 6.00:1.00, measured as of the last day of each fiscal quarter. The total net leverage ratio of the Company did not exceed this threshold as of December 31, 2024.</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securing, and guarantees of, the Company’s obligations under the Credit Agreement.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Credit Agreement are unconditionally guaranteed by its existing and subsequently acquired or organized direct and indirect subsidiaries (other than immaterial subsidiaries, certain excluded subsidiaries and subsidiaries the Company designates as unrestricted subsidiaries) and are secured by security interests in substantially all of the Company’s assets and the assets of its subsidiary guarantors, but excluding, in each case, real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Juice Litigation</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line of glucosamine and chondroitin dietary supplement beverages, which it discontinued in the first quarter of fiscal 2023, were false and misleading. In April 2016, the district court certified a California-only class of consumers in this lawsuit (this lawsuit is hereinafter referred to as the “California Federal Class Lawsuit”).</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 “Related Federal Actions”). These complaints contain factual allegations similar to the California Federal Class Lawsuit, also seeking monetary damages and injunctive relief. The action on behalf of New Jersey consumers was voluntarily dismissed. Trial in the action on behalf of New York consumers (the “New York Case”) was held beginning in May 2022, and the jury delivered its verdict in favor of plaintiff in June 2022. In August 2022, the Court entered a judgment in that case in favor of plaintiff in the amount of $12.9, which includes statutory damages and prejudgment interest, and in August 2023, the Court entered a judgment awarding plaintiff $7.9 in attorney’s fees and costs. In October 2022, each plaintiff and Premier Nutrition filed Notices of Appeal to the Ninth Circuit on the damages award and in December 2023 Premier Nutrition filed its Notice of Appeal to the Ninth Circuit on the attorney’s fees award. In August 2024, the Court of Appeals issued an opinion on the damages award affirming the trial court’s decision on liability, vacating and remanding to the trial court for further consideration its decision on calculated damages and reversing the trial court’s award of prejudgment interest to plaintiff. Premier Nutrition’s subsequent petition for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rehearing with the Ninth Circuit Court of Appeals was denied in October 2024. The other eight Related Federal Actions remain pending, and the court has certified individual state classes in each of those cases (except New Mexico).</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 April 2018, the district court dismissed the California Federal Class Lawsuit with prejudice. This dismissal was upheld on appeal by the U.S. Court of Appeals for the Ninth Circuit in 2020, and plaintiff’s petition for an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rehearing by the Ninth Circuit was denied.</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September 2020, the same lead counsel re-filed the California Federal Class Lawsuit against Premier Nutrition in California Superior Court for the County of Alameda, alleging identical claims and seeking restitution and injunctive relief on behalf of the same putative class of California consumers as the California Federal Class Lawsuit. In March 2023, the Alameda Superior Court granted in part and denied in part Premier Nutrition’s motion for judgment based on res judicata and in May 2023, the Court reaffirmed its ruling. In July 2023, Premier Nutrition filed a petition for writ of mandamus in the California Court of Appeal, which writ was denied in March 2024. In November 2023, the Court certified the case as a class action. Trial is currently stayed pending the resolution of the appeal in the New York Case.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 In July 2020, the court issued an order certifying a statewide class. Premier Nutrition moved for summary judgment in July 2023, which motion remains pending. Trial is currently stayed pending the resolution of the appeal in the New York Case.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continues to vigorously defend these cases and intends to appeal any adverse judgements and awards of damages. The Company does not believe that the ultimate resolution of these cases will have a material adverse effect on its consolidated financial condition, results of operations or cash flows.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legal fees, no expense related to this litigation was incurred during the three months ended December 31, 2024 or 2023. At both December 31, 2024 and September 30, 2024, the Company had an estimated liability of $21.0 related to these matters that was included in “Other current liabilities” on the Condensed Consolidated Balance Sheets.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Protein Products Class Litigation</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2023, a complaint was filed on behalf of a putative, nationwide class of consumers against the Company and Premier Nutrition in the U.S. District Court for the Northern District of California. The complaint alleges that Premier Nutrition engages in fraud and false advertising (via alleged affirmative representations and omissions) regarding its RTD protein shakes and protein powders by marketing the products as good sources of nutrition and protein when the products contain (or have a material risk of containing) high levels of undisclosed lead (this lawsuit is hereinafter referred to as the “Protein Products Class Lawsuit”). Plaintiffs seek monetary remedies for economic injury (products are allegedly worth less than what was paid for them), as well as injunctive relief. The Protein Products Class Lawsuit alleges that high levels of lead pose serious safety risks, but does not allege that any plaintiff or putative class member suffered personal injuries and does not seek any remedies for personal injuries.</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and Premier Nutrition filed a motion to dismiss this case in August 2023, which motion was granted in part and denied in part. Plaintiffs filed an amended complaint in July 2024, and in August 2024 the Company and Premier Nutrition filed a motion to dismiss the amended complaint, which motion is pending. The Company intends to vigorously defend the case, including appealing any adverse judgement or award. The Company does not believe that the ultimate resolution of the Protein Products Class Lawsuit will have a material adverse effect on its consolidated financial condition, results of operations or cash flows.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legal fees, no expense related to the Protein Products Class Lawsuit was incurred during the three months ended December 31, 2024 or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Proposition 65 Notice re Lead in Protein Products</w:t>
      </w: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7, 2023, the Fitzgerald Joseph LLP law firm (the same firm that filed the Protein Products Class Lawsuit) issued a 60-Day Notice of Intent to Sue under California’s Safe Water and Toxic Enforcement Act (Proposition 65) for alleged violation of Proposition 65 with respect to lead levels in Premier Nutrition’s RTD protein shakes and protein powders (this matter is hereinafter referred to as the “Protein Products Prop 65 Notice”).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Premier Nutrition intends to vigorously defend against the Protein Products Prop 65 Notice. The Company does not believe that the ultimate resolution of the Protein Products Prop 65 Notice will have a material adverse effect on its consolidated financial condition, results of operations or cash flows.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legal fees, no expense related to the Protein Products Prop 65 Notice was incurred during the three months ended December 31, 2024 or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condition, results of operations or cash flows of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STOCKHOLDERS’ DEFICIT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repurchases of its common stock.</w:t>
      </w:r>
    </w:p>
    <w:p>
      <w:pPr>
        <w:spacing w:after="0" w:line="158"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9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0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 (a)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 repurchase cost (b)</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189"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per share excludes any accrued excise tax and broker’s commissions, which are included in “Total share repurchase cost” within this table.</w:t>
      </w:r>
    </w:p>
    <w:p>
      <w:pPr>
        <w:spacing w:after="0" w:line="113" w:lineRule="exact"/>
        <w:rPr>
          <w:rFonts w:ascii="Times New Roman" w:cs="Times New Roman" w:eastAsia="Times New Roman" w:hAnsi="Times New Roman"/>
          <w:sz w:val="16"/>
          <w:szCs w:val="16"/>
          <w:color w:val="auto"/>
        </w:rPr>
      </w:pPr>
    </w:p>
    <w:p>
      <w:pPr>
        <w:ind w:left="340" w:right="20" w:hanging="332"/>
        <w:spacing w:after="0" w:line="280"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of treasury stock” in the Condensed Consolidated Statements of Cash Flows for the three months ended December 31, 2024 included $0.8 of excise tax payments that had been accrued in fiscal 2024.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r>
        <w:rPr>
          <w:rFonts w:ascii="Times New Roman" w:cs="Times New Roman" w:eastAsia="Times New Roman" w:hAnsi="Times New Roman"/>
          <w:sz w:val="20"/>
          <w:szCs w:val="20"/>
          <w:color w:val="auto"/>
        </w:rPr>
        <w:t>.</w:t>
      </w:r>
    </w:p>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consolidated operating results, financial condition, liquidity and capital resources of BellRing Brands, Inc. and its consolidated subsidiaries. This discussion should be read in conjunction with our unaudited condensed consolidated financial statements and notes thereto included herein, our audited consolidated financial statements and notes thereto in our Annual Report on Form 10-K for the fiscal year ended September 30, 2024 and the “Cautionary Statement on Forward-Looking Statements” section included below. The terms “our,” “we,” “us,” “Company” and “BellRing” refer to BellRing Brands, Inc. and its consolidated subsidiaries.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a consumer products holding company operating in the global convenient nutrition category and are a provider of ready-to-drink (“RTD”) protein shakes and powders. We have a single operating and reportable segment, with our principal products being protein-based consumer goods. Our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fiscal 2024, inflationary pressures on protein costs eased while other costs, such as packaging and manufacturing, faced inflationary pressures. During fiscal 2025, input costs, including raw material, packaging and manufacturing costs, are expected to face inflationary pressures. Inflation could have a materially adverse impact on our business in the future if inflation rates were to significantly exceed our ability to achieve price increases or cost savings or if such price increases impact demand for our products.</w:t>
      </w:r>
    </w:p>
    <w:p>
      <w:pPr>
        <w:spacing w:after="0" w:line="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For additional discussion, refer to “Liquidity and Capital Resources” and “Cautionary Statement on Forward-Looking Statements” within this section.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12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56"/>
        </w:trPr>
        <w:tc>
          <w:tcPr>
            <w:tcW w:w="20" w:type="dxa"/>
            <w:vAlign w:val="bottom"/>
            <w:vMerge w:val="restart"/>
          </w:tcPr>
          <w:p>
            <w:pPr>
              <w:spacing w:after="0"/>
              <w:rPr>
                <w:sz w:val="22"/>
                <w:szCs w:val="22"/>
                <w:color w:val="auto"/>
              </w:rPr>
            </w:pPr>
          </w:p>
        </w:tc>
        <w:tc>
          <w:tcPr>
            <w:tcW w:w="6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Net sales increased $102.5 million, or 24%, during the three months ended December 31, 2024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$96.0 million, or 26%, driven by 21% higher volumes. Volumes increased primarily due to distribution gains and incremental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promotional activity. Average net selling prices increased due to targeted price increases, partially offset by increased promotional activity.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$7.0 million, or 13%, driven by 12% higher volumes.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volumes increased primarily due to higher international volumes. Sales of all other products were down $0.5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Operating profit increased $42.3 million, or 58%, during the three months ended December 31, 2024 compared to the prior year period. This increase was primarily driven by higher net sales, as previously discussed, accelerated amortization of $17.4 million recorded in the prior year period related to the discontinuance of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and lower net product costs of $2.5 million (driven by lower manufacturing and freight costs, partially offset by higher raw material costs). These positive impacts were partially offset by increased advertising expense of $8.9 million, higher employee-related expenses of $4.2 million and higher warehousing and distribution costs of $3.8 million.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net decreased $0.5 million during the three months ended December 31, 2024 compared to the prior year period. The weighted-average interest rate on our total outstanding debt was 7.0% for both the three months ended December 31, 2024 and 2023. See Note 11 within “Notes to Condensed Consolidated Financial Statements” for additional information on our debt.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effective income tax rate was 23.8% and 24.4% for the three months ended December 31, 2024 and 2023, respectively.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December 31, 2024, we borrowed and repaid $35.0 million, respectively, under our revolving credit facility, which is provided under our credit agreement entered into on March 10, 2022 (as amended, the “Credit Agreement”) in an aggregate principal amount of $250.0 million (the “Revolving Credit Facility”). As of December 31, 2024, there were no outstanding borrowings or letters of credit under the Revolving Credit Facility, providing us available borrowing capacity of $250.0 million. Letters of credit are available under the Revolving Credit Facility in an aggregate amount of up to $20.0 million. Our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December 31, 2024, we repurchased 0.1 million shares of our common stock at an average share price of $77.12 per share and at a total cost, including any accrued excise tax and broker’s commissions, of $11.0 million. In addition, during the three months ended December 31, 2024, we paid </w:t>
      </w:r>
      <w:r>
        <w:rPr>
          <w:rFonts w:ascii="Times New Roman" w:cs="Times New Roman" w:eastAsia="Times New Roman" w:hAnsi="Times New Roman"/>
          <w:sz w:val="16"/>
          <w:szCs w:val="16"/>
          <w:color w:val="auto"/>
        </w:rPr>
        <w:t>$0.8 million of excise tax that related to fiscal 2023 share repurchases.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generate positive cash flows from operations and believe our cash on hand, cash flows from operations and possible future credit facilities will be sufficient to satisfy our future working capital requirements, purchase commitments, research and development activities, debt repayments (including interest payments), share repurchases and other financing requirements for the foreseeable future. We are currently not aware of any trends or demands, commitments, events or uncertainties that will result in, or that are reasonably likely to result in, our liquidity increasing or decreasing in any material way that will impact meeting our capital needs during or beyond the next twelve months. Our ability to generate positive cash flows from operations is dependent on general economic conditions, competitive pressures and other business risk factors. We believe that we have sufficient liquidity and cash on hand to satisfy our cash needs. If we are unable to generate sufficient cash flows from operations, or otherwise to comply with the terms of our credit facilities, we may be required to seek additional financing alternatives.</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Short-term financing needs primarily consist of working capital requirements and interest payments on our 7.00% senior notes maturing in March 2030 (the “7.00% Senior Notes”). Long-term financing needs include the repayment of our 7.00% Senior Notes. Additional long-term financing needs will depend largely on potential growth opportunities, including acquisition activity and other strategic transactions. Our asset-light business model requires modest capital expenditures, with annual capital expenditures over the last three fiscal years averaging less than 1% of net sales. No significant capital expenditures are planned during the next 12 months. Additionally, we may seek to repurchase shares of our common stock. Such repurchases, if any, will depend on prevailing market conditions, our liquidity requirements, contractual restrictions and other factors. The amounts involved may be material.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select cash flow data, which is discussed below.</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3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29"/>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34"/>
        </w:trPr>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08" w:lineRule="exact"/>
        <w:rPr>
          <w:sz w:val="20"/>
          <w:szCs w:val="20"/>
          <w:color w:val="auto"/>
        </w:rPr>
      </w:pPr>
    </w:p>
    <w:p>
      <w:pPr>
        <w:sectPr>
          <w:pgSz w:w="11900" w:h="16838" w:orient="portrait"/>
          <w:cols w:equalWidth="0" w:num="2">
            <w:col w:w="8180" w:space="720"/>
            <w:col w:w="2340"/>
          </w:cols>
          <w:pgMar w:left="320" w:top="121" w:right="339" w:bottom="1440" w:gutter="0" w:footer="0" w:header="0"/>
        </w:sect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for the three months ended December 31, 2024 decreased $71.2 million compared to the prior year period. This decrease was primarily due to increased inventory levels in the current year period (driven by higher production), fluctuations in the timing of payments of trade payables and increased tax payments (net of refunds) of $5.3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December 31, 2024 increased $1.1 million compared to the prior year period resulting from a increase in capital expenditures.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December 31, 2024 decreased $14.6 million compared to the prior year period, driven by higher borrowings of $35.0 million under the Revolving Credit Facility. This positive impact was partially offset by higher repayments of $10.0 million under the Revolving Credit Facility, higher tax withholding payments related to stock compensation plans of $8.0 million and higher payments of $2.4 million, including excise tax payments and broker’s commissions, for the repurchase of our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applicable to us and our restricted subsidiaries customary for agreements of this type, including delivery of financial and other information; compliance with laws; maintenance of property, existence, insurance and books and records; providing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 to comply with a financial covenant requiring us to maintain a total net leverage ratio (as defined in the Credit Agreement) not to exceed 6.00:1.00, measured as of the last day of each fiscal quarter. We were in compliance with the financial covenant as of December 31, 2024, and we do not believe non-compliance is reasonably likely in the foreseeable future.</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indenture governing the 7.00% Senior Notes contains negative covenants customary for this type of agreement that limit our ability and the ability of our restricted subsidiaries to, among other things: borrow money or guarantee debt; create liens; pay dividends on, or redeem or repurchase, stock; make specified types of investments and acquisitions; enter into or permit to exist contractual limits on the ability of our subsidiaries to pay dividends to us; enter into transactions with affiliates; and sell assets or merge with other companies. Certain of these covenants are subject to suspension when and if the 7.00% Senior Notes receive investment grade ratings.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critical accounting estimates are more fully described in our Annual Report on Form 10-K for the year ended September 30, 2024, as filed with the Securities and Exchange Commission (the “SEC”) on November 19, 2024. There have been no significant changes to our critical accounting estimates since September 30, 2024.</w:t>
      </w:r>
    </w:p>
    <w:p>
      <w:pPr>
        <w:spacing w:after="0" w:line="17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within “Notes to Condensed Consolidated Financial Statements” for a discussion regarding recently issued accounting standards.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of 1933, as amended, and Section 21E of the Exchange Act, are made throughout this report, including statements regarding unanticipated developments that negatively impact our common stock .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8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RTD protein shakes;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third-party suppliers or manufacturers for the manufacturing of many of our products, pandemics and other outbreaks of contagious diseases, labor shortages, fires and evacuations related thereto, changes in weather conditions, natural disasters, agricultural diseases and pests and other events beyond our control;</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third-party contract manufacturers for the manufacturing of most of our products, including one manufacturer for nearly half of our RTD protein shakes;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contract manufacturers to produce an amount of our products that enables us to meet customer and consumer demand for the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third-party suppliers to provide certain ingredients and packaging;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cost or availability of inputs to our business (including freight, raw materials, packaging, energy, labor and other supplies);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(including both secured and unsecured debt) and our ability to service our outstanding debt (including covenants that restrict the operation of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critical accounting estimates;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economic conditions that limit customer and consumer demand for our products or increase our costs;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Holdings, Inc. (“Post”) following our separation from Post and Post’s distribution of our stock to its shareholders (the “Spin-off”), including our obligations under various agreements with Post;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and/or directors of Post;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previously completed Spin-off;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third-party intellectual property subject to intellectual property licenses;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technology failures, cybersecurity incidents and corruption of our data privacy protections;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 assets;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included under “Risk Factors” in this report and in our Annual Report on Form 10-K for the fiscal year ended September 30, 2024, filed with the SEC on November 19, 2024.</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176" w:lineRule="exact"/>
        <w:rPr>
          <w:sz w:val="20"/>
          <w:szCs w:val="20"/>
          <w:color w:val="auto"/>
        </w:rPr>
      </w:pPr>
    </w:p>
    <w:p>
      <w:pPr>
        <w:ind w:right="3940"/>
        <w:spacing w:after="0" w:line="378"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Commodity Price Risk</w:t>
      </w: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both December 31, 2024 and September 30, 2024, the Company had outstanding principal value indebtedness of $840.0 million related to its 7.00% Senior Notes and no amounts outstanding under its Revolving Credit Facility. Borrowings under the Revolving Credit Facility bear interest at variable rates.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and September 30, 2024, the fair value of the Company’s debt was $864.0 million and $880.6 million, respectively. Changes in interest rates impact fixed and variable rate debt differently. For fixed rate debt, a change in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rates will only impact the fair value of the debt, whereas a change in interest rates on variable rate debt will impact interest expense and cash flows. A hypothetical 10% decrease in interest rates would have increased the fair value of the fixed rate debt by approximately $14 million and $7 million as of December 31, 2024 and September 30, 2024, respectively. The Company had no variable rate debt outstanding as of December 31, 2024 or September 30, 2024. For additional information regarding the Company’s debt, see Note 11 within “Notes to Condensed Consolidated Financial Statements.”</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with the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CEO and CFO concluded that, as of the end of the period covered by this report, the Company’s disclosure controls and procedures were effective to provide reasonable assurance of achieving the desired control objectives.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Company’s internal control over financial reporting during the quarter ended December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8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left="80" w:firstLine="324"/>
        <w:spacing w:after="0" w:line="258" w:lineRule="auto"/>
        <w:rPr>
          <w:sz w:val="20"/>
          <w:szCs w:val="20"/>
          <w:color w:val="auto"/>
        </w:rPr>
      </w:pPr>
      <w:r>
        <w:rPr>
          <w:rFonts w:ascii="Times New Roman" w:cs="Times New Roman" w:eastAsia="Times New Roman" w:hAnsi="Times New Roman"/>
          <w:sz w:val="18"/>
          <w:szCs w:val="18"/>
          <w:color w:val="auto"/>
        </w:rPr>
        <w:t>The information required under this Item 1 is set forth in Note 12 within “Notes to Condensed Consolidated Financial Statements” included in Part I, Item 1 of this report, which is incorporated herein by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to disclose for the three months ended December 31, 2024.</w:t>
      </w:r>
    </w:p>
    <w:p>
      <w:pPr>
        <w:spacing w:after="0" w:line="179" w:lineRule="exact"/>
        <w:rPr>
          <w:sz w:val="20"/>
          <w:szCs w:val="20"/>
          <w:color w:val="auto"/>
        </w:rPr>
      </w:pPr>
    </w:p>
    <w:p>
      <w:pPr>
        <w:ind w:left="8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left="80"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information set forth elsewhere in this Quarterly Report on Form 10-Q (the “Quarterly Report”), you should carefully consider the risk factors we previously disclosed in our Annual Report on Form 10-K, filed with the SEC on November 19, 2024, as of and for the year ended September 30, 2024 (the “Annual Report”). As of the date of this Quarterly Report, there have been no material changes to the risk factors previously disclosed in the Annual Report. These risks could materially and adversely affect our business, financial condition, results of operations and cash flows. Additional risks and uncertainties not presently known to us or that we currently deem immaterial also may impair our business, financial condition, results of operations and cash flows.</w:t>
      </w:r>
    </w:p>
    <w:p>
      <w:pPr>
        <w:spacing w:after="0" w:line="183" w:lineRule="exact"/>
        <w:rPr>
          <w:sz w:val="20"/>
          <w:szCs w:val="20"/>
          <w:color w:val="auto"/>
        </w:rPr>
      </w:pPr>
    </w:p>
    <w:p>
      <w:pPr>
        <w:ind w:left="8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jc w:val="both"/>
        <w:ind w:lef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repurchases of shares of our common stock during the three months ended December 31, 2024 and our common stock repurchase authorization.</w:t>
      </w:r>
    </w:p>
    <w:p>
      <w:pPr>
        <w:spacing w:after="0" w:line="67"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164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Price Paid</w:t>
            </w:r>
          </w:p>
        </w:tc>
        <w:tc>
          <w:tcPr>
            <w:tcW w:w="2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40" w:type="dxa"/>
            <w:vAlign w:val="bottom"/>
          </w:tcPr>
          <w:p>
            <w:pPr>
              <w:jc w:val="center"/>
              <w:ind w:left="19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per Share</w:t>
            </w:r>
          </w:p>
        </w:tc>
        <w:tc>
          <w:tcPr>
            <w:tcW w:w="2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 Programs</w:t>
            </w:r>
          </w:p>
        </w:tc>
        <w:tc>
          <w:tcPr>
            <w:tcW w:w="2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that May Yet be Purchased</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 Programs (b)</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$175,071,070</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$175,071,070</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142,599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142,599</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$164,074,277</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142,599</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142,599</w:t>
            </w: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$164,074,277</w:t>
            </w:r>
          </w:p>
        </w:tc>
        <w:tc>
          <w:tcPr>
            <w:tcW w:w="0" w:type="dxa"/>
            <w:vAlign w:val="bottom"/>
          </w:tcPr>
          <w:p>
            <w:pPr>
              <w:spacing w:after="0"/>
              <w:rPr>
                <w:sz w:val="1"/>
                <w:szCs w:val="1"/>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00" w:hanging="31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broker’s commissions or accrued excise tax, if any.</w:t>
      </w:r>
    </w:p>
    <w:p>
      <w:pPr>
        <w:spacing w:after="0" w:line="117" w:lineRule="exact"/>
        <w:rPr>
          <w:rFonts w:ascii="Times New Roman" w:cs="Times New Roman" w:eastAsia="Times New Roman" w:hAnsi="Times New Roman"/>
          <w:sz w:val="18"/>
          <w:szCs w:val="18"/>
          <w:color w:val="auto"/>
        </w:rPr>
      </w:pPr>
    </w:p>
    <w:p>
      <w:pPr>
        <w:jc w:val="both"/>
        <w:ind w:left="420" w:hanging="332"/>
        <w:spacing w:after="0" w:line="261" w:lineRule="auto"/>
        <w:tabs>
          <w:tab w:leader="none" w:pos="4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29, 2024, the Company’s Board of Directors approved a $300,000,000 repurchase authorization with respect to shares of the Company’s common stock (the “Authorization”). The Authorization was effective on March 11, 2024 and has an expiration date of March 11, 2026. Repurchases may be made from time to time in the open market, private purchases, through forward, derivative, accelerated repurchase or automatic purchase transactions, or otherwise.</w:t>
      </w:r>
    </w:p>
    <w:p>
      <w:pPr>
        <w:spacing w:after="0" w:line="176" w:lineRule="exact"/>
        <w:rPr>
          <w:sz w:val="20"/>
          <w:szCs w:val="20"/>
          <w:color w:val="auto"/>
        </w:rPr>
      </w:pPr>
    </w:p>
    <w:p>
      <w:pPr>
        <w:ind w:left="8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119" w:lineRule="exact"/>
        <w:rPr>
          <w:sz w:val="20"/>
          <w:szCs w:val="20"/>
          <w:color w:val="auto"/>
        </w:rPr>
      </w:pPr>
    </w:p>
    <w:p>
      <w:pPr>
        <w:ind w:left="8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our directors or officers, as defined in Rule 16a-1(f) under the Securities Exchange Act of 1934, as amended, adopted or terminated the “Rule 10b5-1 trading arrangements” as defined in Item 408 of Regulation S-K, set forth in the table below:</w:t>
      </w:r>
    </w:p>
    <w:p>
      <w:pPr>
        <w:spacing w:after="0" w:line="101" w:lineRule="exact"/>
        <w:rPr>
          <w:sz w:val="20"/>
          <w:szCs w:val="20"/>
          <w:color w:val="auto"/>
        </w:rPr>
      </w:pPr>
    </w:p>
    <w:p>
      <w:pPr>
        <w:jc w:val="center"/>
        <w:ind w:left="2080"/>
        <w:spacing w:after="0"/>
        <w:rPr>
          <w:sz w:val="20"/>
          <w:szCs w:val="20"/>
          <w:color w:val="auto"/>
        </w:rPr>
      </w:pPr>
      <w:r>
        <w:rPr>
          <w:rFonts w:ascii="Times New Roman" w:cs="Times New Roman" w:eastAsia="Times New Roman" w:hAnsi="Times New Roman"/>
          <w:sz w:val="14"/>
          <w:szCs w:val="14"/>
          <w:b w:val="1"/>
          <w:bCs w:val="1"/>
          <w:color w:val="auto"/>
        </w:rPr>
        <w:t>Type of Trading</w:t>
      </w:r>
    </w:p>
    <w:p>
      <w:pPr>
        <w:spacing w:after="0" w:line="19" w:lineRule="exact"/>
        <w:rPr>
          <w:sz w:val="20"/>
          <w:szCs w:val="20"/>
          <w:color w:val="auto"/>
        </w:rPr>
      </w:pPr>
    </w:p>
    <w:p>
      <w:pPr>
        <w:jc w:val="center"/>
        <w:ind w:left="2080"/>
        <w:spacing w:after="0"/>
        <w:rPr>
          <w:sz w:val="20"/>
          <w:szCs w:val="20"/>
          <w:color w:val="auto"/>
        </w:rPr>
      </w:pPr>
      <w:r>
        <w:rPr>
          <w:rFonts w:ascii="Times New Roman" w:cs="Times New Roman" w:eastAsia="Times New Roman" w:hAnsi="Times New Roman"/>
          <w:sz w:val="14"/>
          <w:szCs w:val="14"/>
          <w:b w:val="1"/>
          <w:bCs w:val="1"/>
          <w:color w:val="auto"/>
        </w:rPr>
        <w:t>Arrangement</w:t>
      </w:r>
    </w:p>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164"/>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Shares of Common Stock</w:t>
            </w:r>
          </w:p>
        </w:tc>
      </w:tr>
      <w:tr>
        <w:trPr>
          <w:trHeight w:val="190"/>
        </w:trPr>
        <w:tc>
          <w:tcPr>
            <w:tcW w:w="304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Rule 10b5-1*</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Sold</w:t>
            </w:r>
          </w:p>
        </w:tc>
      </w:tr>
      <w:tr>
        <w:trPr>
          <w:trHeight w:val="23"/>
        </w:trPr>
        <w:tc>
          <w:tcPr>
            <w:tcW w:w="2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189"/>
        </w:trPr>
        <w:tc>
          <w:tcPr>
            <w:tcW w:w="2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Douglas Cornille</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12/06/2024</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Adoption</w:t>
            </w: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12/06/2025</w:t>
            </w:r>
          </w:p>
        </w:tc>
        <w:tc>
          <w:tcPr>
            <w:tcW w:w="120" w:type="dxa"/>
            <w:vAlign w:val="bottom"/>
            <w:shd w:val="clear" w:color="auto" w:fill="CCEEFF"/>
          </w:tcPr>
          <w:p>
            <w:pPr>
              <w:spacing w:after="0"/>
              <w:rPr>
                <w:sz w:val="16"/>
                <w:szCs w:val="16"/>
                <w:color w:val="auto"/>
              </w:rPr>
            </w:pPr>
          </w:p>
        </w:tc>
        <w:tc>
          <w:tcPr>
            <w:tcW w:w="20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Up to 12,769</w:t>
            </w:r>
          </w:p>
        </w:tc>
      </w:tr>
      <w:tr>
        <w:trPr>
          <w:trHeight w:val="243"/>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Growth Officer</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26"/>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Robin Singh</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12/06/2024</w:t>
            </w:r>
          </w:p>
        </w:tc>
        <w:tc>
          <w:tcPr>
            <w:tcW w:w="12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Adoption</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12/06/2025</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Up to 4,157</w:t>
            </w:r>
          </w:p>
        </w:tc>
      </w:tr>
    </w:tbl>
    <w:p>
      <w:pPr>
        <w:ind w:left="100"/>
        <w:spacing w:after="0"/>
        <w:rPr>
          <w:sz w:val="20"/>
          <w:szCs w:val="20"/>
          <w:color w:val="auto"/>
        </w:rPr>
      </w:pPr>
      <w:r>
        <w:rPr>
          <w:rFonts w:ascii="Times New Roman" w:cs="Times New Roman" w:eastAsia="Times New Roman" w:hAnsi="Times New Roman"/>
          <w:sz w:val="17"/>
          <w:szCs w:val="17"/>
          <w:i w:val="1"/>
          <w:iCs w:val="1"/>
          <w:color w:val="auto"/>
        </w:rPr>
        <w:t>Chief Supply Chain Officer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Contract, instruction, or written plan intended to satisfy the affirmative defense conditions of Rule 10b5-1(c) under the Exchange Act.</w:t>
      </w:r>
    </w:p>
    <w:p>
      <w:pPr>
        <w:sectPr>
          <w:pgSz w:w="11900" w:h="16838" w:orient="portrait"/>
          <w:cols w:equalWidth="0" w:num="1">
            <w:col w:w="11320"/>
          </w:cols>
          <w:pgMar w:left="2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either provided with this Form 10-Q or are incorporated herein by reference.</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040" w:type="dxa"/>
            <w:vAlign w:val="bottom"/>
            <w:gridSpan w:val="21"/>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1300" w:type="dxa"/>
            <w:vAlign w:val="bottom"/>
          </w:tcPr>
          <w:p>
            <w:pPr>
              <w:jc w:val="center"/>
              <w:ind w:right="131"/>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9040" w:type="dxa"/>
            <w:vAlign w:val="bottom"/>
            <w:gridSpan w:val="21"/>
          </w:tcPr>
          <w:p>
            <w:pPr>
              <w:spacing w:after="0" w:line="195"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Transaction Agreement and Plan of Merger, dated as of October 26, 2021, by and among Post Holdings, Inc., BellRing</w:t>
              </w:r>
            </w:hyperlink>
          </w:p>
        </w:tc>
      </w:tr>
      <w:tr>
        <w:trPr>
          <w:trHeight w:val="156"/>
        </w:trPr>
        <w:tc>
          <w:tcPr>
            <w:tcW w:w="130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Brands, Inc., BellRing Distribution, LLC and BellRing Merger Sub Corporation (Incorporated by reference to Exhibit 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9000" w:type="dxa"/>
            <w:vAlign w:val="bottom"/>
            <w:gridSpan w:val="19"/>
          </w:tcPr>
          <w:p>
            <w:pPr>
              <w:spacing w:after="0" w:line="169"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to the Company’s Form 8-K filed on October 27,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2.2</w:t>
            </w:r>
          </w:p>
        </w:tc>
        <w:tc>
          <w:tcPr>
            <w:tcW w:w="9040" w:type="dxa"/>
            <w:vAlign w:val="bottom"/>
            <w:gridSpan w:val="21"/>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Amendment No. 1 to Transaction Agreement and Plan of Merger, dated as of February 28, 2022, by and among Post</w:t>
              </w:r>
            </w:hyperlink>
          </w:p>
        </w:tc>
      </w:tr>
      <w:tr>
        <w:trPr>
          <w:trHeight w:val="155"/>
        </w:trPr>
        <w:tc>
          <w:tcPr>
            <w:tcW w:w="1300" w:type="dxa"/>
            <w:vAlign w:val="bottom"/>
          </w:tcPr>
          <w:p>
            <w:pPr>
              <w:spacing w:after="0"/>
              <w:rPr>
                <w:sz w:val="13"/>
                <w:szCs w:val="13"/>
                <w:color w:val="auto"/>
              </w:rPr>
            </w:pPr>
          </w:p>
        </w:tc>
        <w:tc>
          <w:tcPr>
            <w:tcW w:w="89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Holdings, Inc., BellRing Brands, Inc., BellRing Distribution, LLC and BellRing Merger Sub Corporation (Incorporated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89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reference to Exhibit 2.1 to the Company’s Form 8-K filed on February 28, 2022)</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3.1</w:t>
            </w:r>
          </w:p>
        </w:tc>
        <w:tc>
          <w:tcPr>
            <w:tcW w:w="9040" w:type="dxa"/>
            <w:vAlign w:val="bottom"/>
            <w:gridSpan w:val="21"/>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BellRing Brands, Inc. Restated Certificate of Incorporation (Incorporated by reference to Exhibit 3.1 to the Company’s</w:t>
              </w:r>
            </w:hyperlink>
          </w:p>
        </w:tc>
      </w:tr>
      <w:tr>
        <w:trPr>
          <w:trHeight w:val="156"/>
        </w:trPr>
        <w:tc>
          <w:tcPr>
            <w:tcW w:w="130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Form 8-K filed on January 31, 2025)</w:t>
              </w:r>
            </w:hyperlink>
          </w:p>
        </w:tc>
        <w:tc>
          <w:tcPr>
            <w:tcW w:w="5900" w:type="dxa"/>
            <w:vAlign w:val="bottom"/>
            <w:tcBorders>
              <w:top w:val="single" w:sz="8" w:color="0000FF"/>
            </w:tcBorders>
            <w:gridSpan w:val="6"/>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3.2</w:t>
            </w:r>
          </w:p>
        </w:tc>
        <w:tc>
          <w:tcPr>
            <w:tcW w:w="9040" w:type="dxa"/>
            <w:vAlign w:val="bottom"/>
            <w:gridSpan w:val="21"/>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BellRing Brands, Inc. amended and restated Bylaws (Incorporated by reference to Exhibit 3.2 to the Company’s Form 8-K</w:t>
              </w:r>
            </w:hyperlink>
          </w:p>
        </w:tc>
      </w:tr>
      <w:tr>
        <w:trPr>
          <w:trHeight w:val="155"/>
        </w:trPr>
        <w:tc>
          <w:tcPr>
            <w:tcW w:w="1300" w:type="dxa"/>
            <w:vAlign w:val="bottom"/>
          </w:tcPr>
          <w:p>
            <w:pPr>
              <w:spacing w:after="0"/>
              <w:rPr>
                <w:sz w:val="13"/>
                <w:szCs w:val="13"/>
                <w:color w:val="auto"/>
              </w:rPr>
            </w:pPr>
          </w:p>
        </w:tc>
        <w:tc>
          <w:tcPr>
            <w:tcW w:w="19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filed on January 31, 2025)</w:t>
              </w:r>
            </w:hyperlink>
          </w:p>
        </w:tc>
        <w:tc>
          <w:tcPr>
            <w:tcW w:w="69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*4.1</w:t>
            </w:r>
          </w:p>
        </w:tc>
        <w:tc>
          <w:tcPr>
            <w:tcW w:w="9040" w:type="dxa"/>
            <w:vAlign w:val="bottom"/>
            <w:gridSpan w:val="21"/>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Indenture, dated March 10, 2022, by and among BellRing Brands, Inc. and Computershare Trust Company, N.A., as trustee</w:t>
              </w:r>
            </w:hyperlink>
          </w:p>
        </w:tc>
      </w:tr>
      <w:tr>
        <w:trPr>
          <w:trHeight w:val="156"/>
        </w:trPr>
        <w:tc>
          <w:tcPr>
            <w:tcW w:w="1300" w:type="dxa"/>
            <w:vAlign w:val="bottom"/>
          </w:tcPr>
          <w:p>
            <w:pPr>
              <w:spacing w:after="0"/>
              <w:rPr>
                <w:sz w:val="13"/>
                <w:szCs w:val="13"/>
                <w:color w:val="auto"/>
              </w:rPr>
            </w:pPr>
          </w:p>
        </w:tc>
        <w:tc>
          <w:tcPr>
            <w:tcW w:w="89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(Incorporated by reference to Exhibit 4.1 to the Company’s Second Form 8-K filed on March 10, 2022)</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4.2</w:t>
            </w:r>
          </w:p>
        </w:tc>
        <w:tc>
          <w:tcPr>
            <w:tcW w:w="9040" w:type="dxa"/>
            <w:vAlign w:val="bottom"/>
            <w:gridSpan w:val="21"/>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Form of Note (Incorporated by reference to Exhibit 4.2 to the Company’s Second Form 8-K filed on March 10, 2022, which</w:t>
              </w:r>
            </w:hyperlink>
          </w:p>
        </w:tc>
      </w:tr>
      <w:tr>
        <w:trPr>
          <w:trHeight w:val="156"/>
        </w:trPr>
        <w:tc>
          <w:tcPr>
            <w:tcW w:w="130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Exhibit 4.2 is referenced in Exhibit 4.1 to such filing)</w:t>
              </w:r>
            </w:hyperlink>
          </w:p>
        </w:tc>
        <w:tc>
          <w:tcPr>
            <w:tcW w:w="51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31.1</w:t>
            </w: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Darcy H. Davenport pursuant to Rule 13a-14(a), as adopted pursuant to Section 302 of the Sarbanes-Oxley</w:t>
            </w:r>
          </w:p>
        </w:tc>
      </w:tr>
      <w:tr>
        <w:trPr>
          <w:trHeight w:val="156"/>
        </w:trPr>
        <w:tc>
          <w:tcPr>
            <w:tcW w:w="1300" w:type="dxa"/>
            <w:vAlign w:val="bottom"/>
          </w:tcPr>
          <w:p>
            <w:pPr>
              <w:spacing w:after="0"/>
              <w:rPr>
                <w:sz w:val="13"/>
                <w:szCs w:val="13"/>
                <w:color w:val="auto"/>
              </w:rPr>
            </w:pPr>
          </w:p>
        </w:tc>
        <w:tc>
          <w:tcPr>
            <w:tcW w:w="886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Act of 2002, dated February 4, 2025</w:t>
            </w: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31.2</w:t>
            </w: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Paul A. Rode pursuant to Rule 13a-14(a), as adopted pursuant to Section 302 of the Sarbanes-Oxley Act of</w:t>
            </w:r>
          </w:p>
        </w:tc>
      </w:tr>
      <w:tr>
        <w:trPr>
          <w:trHeight w:val="156"/>
        </w:trPr>
        <w:tc>
          <w:tcPr>
            <w:tcW w:w="1300" w:type="dxa"/>
            <w:vAlign w:val="bottom"/>
          </w:tcPr>
          <w:p>
            <w:pPr>
              <w:spacing w:after="0"/>
              <w:rPr>
                <w:sz w:val="13"/>
                <w:szCs w:val="13"/>
                <w:color w:val="auto"/>
              </w:rPr>
            </w:pPr>
          </w:p>
        </w:tc>
        <w:tc>
          <w:tcPr>
            <w:tcW w:w="888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2002, dated February 4, 2025</w:t>
            </w:r>
          </w:p>
        </w:tc>
        <w:tc>
          <w:tcPr>
            <w:tcW w:w="160" w:type="dxa"/>
            <w:vAlign w:val="bottom"/>
            <w:gridSpan w:val="7"/>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32.1</w:t>
            </w: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Darcy H. Davenport and Paul A. Rode, pursuant to 18 U.S.C. Section 1350 as adopted pursuant to Section</w:t>
            </w:r>
          </w:p>
        </w:tc>
      </w:tr>
      <w:tr>
        <w:trPr>
          <w:trHeight w:val="155"/>
        </w:trPr>
        <w:tc>
          <w:tcPr>
            <w:tcW w:w="1300" w:type="dxa"/>
            <w:vAlign w:val="bottom"/>
          </w:tcPr>
          <w:p>
            <w:pPr>
              <w:spacing w:after="0"/>
              <w:rPr>
                <w:sz w:val="13"/>
                <w:szCs w:val="13"/>
                <w:color w:val="auto"/>
              </w:rPr>
            </w:pPr>
          </w:p>
        </w:tc>
        <w:tc>
          <w:tcPr>
            <w:tcW w:w="882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 dated February 4, 2025</w:t>
            </w:r>
          </w:p>
        </w:tc>
        <w:tc>
          <w:tcPr>
            <w:tcW w:w="220" w:type="dxa"/>
            <w:vAlign w:val="bottom"/>
            <w:gridSpan w:val="10"/>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1320" w:right="1180" w:hanging="900"/>
        <w:spacing w:after="0" w:line="231"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 10-Q for the quarterly period ended December 31, 2024 filed in iXBRL (Inline eXtensible Business Reporting Language)). The financial information contained in the iXBRL-related documents is “unaudited” and “unreviewed.”</w:t>
      </w:r>
    </w:p>
    <w:p>
      <w:pPr>
        <w:spacing w:after="0" w:line="1" w:lineRule="exact"/>
        <w:rPr>
          <w:sz w:val="20"/>
          <w:szCs w:val="20"/>
          <w:color w:val="auto"/>
        </w:rPr>
      </w:pPr>
    </w:p>
    <w:p>
      <w:pPr>
        <w:ind w:left="1320" w:right="1240" w:hanging="900"/>
        <w:spacing w:after="0" w:line="234" w:lineRule="auto"/>
        <w:tabs>
          <w:tab w:leader="none" w:pos="13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Form 10-Q for the quarterly period ended December 31, 2024, formatted in iXBRL (Inline eXtensible Business Reporting Language) and contained in Exhibit 101</w:t>
      </w:r>
    </w:p>
    <w:p>
      <w:pPr>
        <w:spacing w:after="0" w:line="239" w:lineRule="exact"/>
        <w:rPr>
          <w:rFonts w:ascii="Times New Roman" w:cs="Times New Roman" w:eastAsia="Times New Roman" w:hAnsi="Times New Roman"/>
          <w:sz w:val="18"/>
          <w:szCs w:val="18"/>
          <w:color w:val="auto"/>
        </w:rPr>
      </w:pPr>
    </w:p>
    <w:p>
      <w:pPr>
        <w:ind w:left="1060" w:right="1200" w:hanging="1039"/>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601(a)(5) of Regulation S-K. The Company agrees to furnish supplementally to the Securities and Exchange Commission (the “SEC”) a copy of any omitted exhibit or schedule upon request by the SEC.</w:t>
      </w:r>
    </w:p>
    <w:p>
      <w:pPr>
        <w:spacing w:after="0" w:line="9" w:lineRule="exact"/>
        <w:rPr>
          <w:sz w:val="20"/>
          <w:szCs w:val="20"/>
          <w:color w:val="auto"/>
        </w:rPr>
      </w:pPr>
    </w:p>
    <w:p>
      <w:pPr>
        <w:ind w:left="1060" w:right="1200" w:hanging="1034"/>
        <w:spacing w:after="0" w:line="237"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document that constitute confidential information have been redacted in accordance with Regulation S-K, Item 601(b)(10).</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agreements and other documents filed as exhibits to this Quarterly Report on Form 10-Q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other documents and that may not be reflected in such agreements and other documents.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 and other documents.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ind w:left="720" w:right="2040" w:hanging="7437"/>
        <w:spacing w:after="0" w:line="273" w:lineRule="auto"/>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4, 2025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-3175</wp:posOffset>
            </wp:positionV>
            <wp:extent cx="24085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80"/>
          </w:cols>
          <w:pgMar w:left="320" w:top="121" w:right="39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4, 2025</w:t>
            </w:r>
          </w:p>
        </w:tc>
        <w:tc>
          <w:tcPr>
            <w:tcW w:w="49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8"/>
        </w:trPr>
        <w:tc>
          <w:tcPr>
            <w:tcW w:w="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4"/>
        </w:trPr>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4, 2025</w:t>
            </w:r>
          </w:p>
        </w:tc>
        <w:tc>
          <w:tcPr>
            <w:tcW w:w="49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8"/>
        </w:trPr>
        <w:tc>
          <w:tcPr>
            <w:tcW w:w="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4"/>
        </w:trPr>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BellRing Brands, Inc. (the “Company”), hereby certifies that, to her knowledge on the date hereof:</w:t>
      </w:r>
    </w:p>
    <w:p>
      <w:pPr>
        <w:spacing w:after="0" w:line="189" w:lineRule="exact"/>
        <w:rPr>
          <w:sz w:val="20"/>
          <w:szCs w:val="20"/>
          <w:color w:val="auto"/>
        </w:rPr>
      </w:pPr>
    </w:p>
    <w:p>
      <w:pPr>
        <w:ind w:left="660" w:right="920" w:hanging="652"/>
        <w:spacing w:after="0" w:line="266" w:lineRule="auto"/>
        <w:tabs>
          <w:tab w:leader="none" w:pos="3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December 31, 2024,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1500" w:hanging="652"/>
        <w:spacing w:after="0" w:line="282" w:lineRule="auto"/>
        <w:tabs>
          <w:tab w:leader="none" w:pos="4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4, 2025</w:t>
            </w:r>
          </w:p>
        </w:tc>
        <w:tc>
          <w:tcPr>
            <w:tcW w:w="49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8"/>
        </w:trPr>
        <w:tc>
          <w:tcPr>
            <w:tcW w:w="5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4"/>
        </w:trPr>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1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26" w:name="page27"/>
    <w:bookmarkEnd w:id="26"/>
    <w:p>
      <w:pPr>
        <w:spacing w:after="0" w:line="18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undersigned, the Chief Financial Officer of BellRing Brands, Inc. (the “Company”), hereby certifies that, to his knowledge on the date hereof:</w:t>
      </w:r>
    </w:p>
    <w:p>
      <w:pPr>
        <w:spacing w:after="0" w:line="189" w:lineRule="exact"/>
        <w:rPr>
          <w:sz w:val="20"/>
          <w:szCs w:val="20"/>
          <w:color w:val="auto"/>
        </w:rPr>
      </w:pPr>
    </w:p>
    <w:p>
      <w:pPr>
        <w:ind w:left="660" w:right="140" w:hanging="652"/>
        <w:spacing w:after="0" w:line="266" w:lineRule="auto"/>
        <w:tabs>
          <w:tab w:leader="none" w:pos="3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December 31, 2024,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4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4, 2025</w:t>
            </w:r>
          </w:p>
        </w:tc>
        <w:tc>
          <w:tcPr>
            <w:tcW w:w="49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8"/>
        </w:trPr>
        <w:tc>
          <w:tcPr>
            <w:tcW w:w="5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4"/>
        </w:trPr>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decimal"/>
      <w:start w:val="101"/>
    </w:lvl>
  </w:abstractNum>
  <w:abstractNum w:abstractNumId="7">
    <w:nsid w:val="216231B"/>
    <w:multiLevelType w:val="hybridMultilevel"/>
    <w:lvl w:ilvl="0">
      <w:lvlJc w:val="left"/>
      <w:lvlText w:val="*"/>
      <w:numFmt w:val="bullet"/>
      <w:start w:val="1"/>
    </w:lvl>
    <w:lvl w:ilvl="1">
      <w:lvlJc w:val="left"/>
      <w:lvlText w:val="%2"/>
      <w:numFmt w:val="decimal"/>
      <w:start w:val="104"/>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37" Type="http://schemas.openxmlformats.org/officeDocument/2006/relationships/hyperlink" Target="https://www.sec.gov/Archives/edgar/data/1772016/000119312521308736/d232418dex21.htm" TargetMode="External"/><Relationship Id="rId38" Type="http://schemas.openxmlformats.org/officeDocument/2006/relationships/hyperlink" Target="https://www.sec.gov/Archives/edgar/data/1772016/000119312522055719/d405795dex21.htm" TargetMode="External"/><Relationship Id="rId39" Type="http://schemas.openxmlformats.org/officeDocument/2006/relationships/hyperlink" Target="https://www.sec.gov/Archives/edgar/data/1772016/000119312525018382/d925487dex31.htm" TargetMode="External"/><Relationship Id="rId40" Type="http://schemas.openxmlformats.org/officeDocument/2006/relationships/hyperlink" Target="https://www.sec.gov/Archives/edgar/data/1772016/000119312525018382/d925487dex32.htm" TargetMode="External"/><Relationship Id="rId41" Type="http://schemas.openxmlformats.org/officeDocument/2006/relationships/hyperlink" Target="https://www.sec.gov/Archives/edgar/data/1772016/000119312522072132/d31912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2025-02-04T11:37:02Z</dcterms:created>
  <dcterms:modified xsi:type="dcterms:W3CDTF">2025-02-04T11:37:02Z</dcterms:modified>
</cp:coreProperties>
</file>