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13335</wp:posOffset>
            </wp:positionV>
            <wp:extent cx="7047865" cy="4597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9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ERICKSON THOMAS P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04/01/2021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63144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7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Inc. 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917.668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917.668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23.61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5,210.84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A 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Equivalents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200" w:hanging="1"/>
        <w:spacing w:after="0" w:line="235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Person's retainer earned as a Director of Issuer is deferred into BellRing Brands, Inc. Class A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BellRing Brands, Inc. Class A common stock upon Reporting Person's retirement from the Board of Directors.</w:t>
      </w:r>
    </w:p>
    <w:p>
      <w:pPr>
        <w:spacing w:after="0" w:line="2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equivalents have no fixed exercisable or expiration dates.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/s/ Craig L. Rosenthal,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04/01/2021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4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Attorney-in-Fact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27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0535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2021-04-02T13:20:31Z</dcterms:created>
  <dcterms:modified xsi:type="dcterms:W3CDTF">2021-04-02T13:20:31Z</dcterms:modified>
</cp:coreProperties>
</file>