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02"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03" w:lineRule="exact"/>
        <w:rPr>
          <w:sz w:val="24"/>
          <w:szCs w:val="24"/>
          <w:color w:val="auto"/>
        </w:rPr>
      </w:pPr>
    </w:p>
    <w:p>
      <w:pPr>
        <w:jc w:val="center"/>
        <w:ind w:left="4080" w:right="1560" w:hanging="2516"/>
        <w:spacing w:after="0" w:line="246" w:lineRule="auto"/>
        <w:tabs>
          <w:tab w:leader="none" w:pos="1779"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2020</w:t>
      </w: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 w:lineRule="exact"/>
        <w:rPr>
          <w:rFonts w:ascii="MS PGothic" w:cs="MS PGothic" w:eastAsia="MS PGothic" w:hAnsi="MS PGothic"/>
          <w:sz w:val="18"/>
          <w:szCs w:val="18"/>
          <w:color w:val="auto"/>
        </w:rPr>
      </w:pPr>
    </w:p>
    <w:p>
      <w:pPr>
        <w:ind w:left="1600" w:hanging="200"/>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12065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BellRing Brands,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34"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83-4096323</w:t>
      </w:r>
    </w:p>
    <w:p>
      <w:pPr>
        <w:spacing w:after="0" w:line="50" w:lineRule="exact"/>
        <w:rPr>
          <w:sz w:val="24"/>
          <w:szCs w:val="24"/>
          <w:color w:val="auto"/>
        </w:rPr>
      </w:pPr>
    </w:p>
    <w:p>
      <w:pPr>
        <w:sectPr>
          <w:pgSz w:w="11900" w:h="16838" w:orient="portrait"/>
          <w:cols w:equalWidth="0" w:num="2">
            <w:col w:w="7120" w:space="720"/>
            <w:col w:w="3400"/>
          </w:cols>
          <w:pgMar w:left="320" w:top="233" w:right="33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25" w:lineRule="exact"/>
        <w:rPr>
          <w:sz w:val="24"/>
          <w:szCs w:val="24"/>
          <w:color w:val="auto"/>
        </w:rPr>
      </w:pPr>
    </w:p>
    <w:p>
      <w:pPr>
        <w:sectPr>
          <w:pgSz w:w="11900" w:h="16838" w:orient="portrait"/>
          <w:cols w:equalWidth="0" w:num="2">
            <w:col w:w="6460" w:space="720"/>
            <w:col w:w="4060"/>
          </w:cols>
          <w:pgMar w:left="320" w:top="233"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2503 S. Hanley Road St. Louis, Missouri 63144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60"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(314) 644-7600</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3460" w:type="dxa"/>
            <w:vAlign w:val="bottom"/>
            <w:gridSpan w:val="2"/>
          </w:tcPr>
          <w:p>
            <w:pPr>
              <w:jc w:val="center"/>
              <w:ind w:right="2300"/>
              <w:spacing w:after="0"/>
              <w:rPr>
                <w:sz w:val="20"/>
                <w:szCs w:val="20"/>
                <w:color w:val="auto"/>
              </w:rPr>
            </w:pPr>
            <w:r>
              <w:rPr>
                <w:rFonts w:ascii="Arial" w:cs="Arial" w:eastAsia="Arial" w:hAnsi="Arial"/>
                <w:sz w:val="16"/>
                <w:szCs w:val="16"/>
                <w:color w:val="auto"/>
                <w:w w:val="90"/>
              </w:rPr>
              <w:t>Title of each class</w:t>
            </w:r>
          </w:p>
        </w:tc>
        <w:tc>
          <w:tcPr>
            <w:tcW w:w="2680" w:type="dxa"/>
            <w:vAlign w:val="bottom"/>
            <w:gridSpan w:val="2"/>
          </w:tcPr>
          <w:p>
            <w:pPr>
              <w:jc w:val="center"/>
              <w:ind w:right="1460"/>
              <w:spacing w:after="0"/>
              <w:rPr>
                <w:sz w:val="20"/>
                <w:szCs w:val="20"/>
                <w:color w:val="auto"/>
              </w:rPr>
            </w:pPr>
            <w:r>
              <w:rPr>
                <w:rFonts w:ascii="Arial" w:cs="Arial" w:eastAsia="Arial" w:hAnsi="Arial"/>
                <w:sz w:val="16"/>
                <w:szCs w:val="16"/>
                <w:color w:val="auto"/>
                <w:w w:val="93"/>
              </w:rPr>
              <w:t>Trading Symbol(s)</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50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Class A Common Stock, $0.01 par value</w:t>
            </w:r>
          </w:p>
        </w:tc>
        <w:tc>
          <w:tcPr>
            <w:tcW w:w="268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w w:val="95"/>
              </w:rPr>
              <w:t>BRBR</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6"/>
        </w:trPr>
        <w:tc>
          <w:tcPr>
            <w:tcW w:w="500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80" w:type="dxa"/>
            <w:vAlign w:val="bottom"/>
          </w:tcPr>
          <w:p>
            <w:pPr>
              <w:spacing w:after="0"/>
              <w:rPr>
                <w:sz w:val="22"/>
                <w:szCs w:val="22"/>
                <w:color w:val="auto"/>
              </w:rPr>
            </w:pPr>
          </w:p>
        </w:tc>
      </w:tr>
    </w:tbl>
    <w:p>
      <w:pPr>
        <w:spacing w:after="0" w:line="61" w:lineRule="exact"/>
        <w:rPr>
          <w:sz w:val="24"/>
          <w:szCs w:val="24"/>
          <w:color w:val="auto"/>
        </w:rPr>
      </w:pPr>
    </w:p>
    <w:p>
      <w:pPr>
        <w:ind w:right="260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The aggregate market value of the registrant’s Class A Common Stock held by non-affiliates of the registrant as of March 31, 2020, the last business day of the registrant’s most recently completed second fiscal quarter, was $672,257,136</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Class A Common Stock, $0.01 par value outstanding as of November 16, 2020: 39,428,571</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Class B Common Stock, $0.01 par value outstanding as of November 16, 2020: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2021 annual meeting of stockholders, to be filed with the Securities and Exchange Commission within 120 days after September 30,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right="160" w:firstLine="324"/>
        <w:spacing w:after="0" w:line="270" w:lineRule="auto"/>
        <w:rPr>
          <w:sz w:val="20"/>
          <w:szCs w:val="20"/>
          <w:color w:val="auto"/>
        </w:rPr>
      </w:pPr>
      <w:r>
        <w:rPr>
          <w:rFonts w:ascii="Arial" w:cs="Arial" w:eastAsia="Arial" w:hAnsi="Arial"/>
          <w:sz w:val="17"/>
          <w:szCs w:val="17"/>
          <w:color w:val="auto"/>
        </w:rPr>
        <w:t>BellRing Brands, Inc. (the “Company,” “we,” “us,” and “our”) is filing this Amendment No. 1 (the “Amendment”) on Form 10-K/A to amend our Annual Report on Form 10-K for the fiscal year ended September 30, 2020, filed with the U.S. Securities and Exchange Commission on November 20, 2020 (the “Original 10-K”), for the purpose of filing revised versions of Exhibits 31.1, 31.2 and 31.3 filed with the Original 10-K.</w:t>
      </w:r>
    </w:p>
    <w:p>
      <w:pPr>
        <w:spacing w:after="0" w:line="191"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We are filing revised exhibits solely in order to include in the certifications set forth in the Exhibits the language added to the introductory portion of paragraph 4 and the language of revised paragraph 4(b), which language was inadvertently omitted from the certifications when originally filed. The Amendment does not reflect events occurring after the date of the filing of the Original 10-K or modify or update any of the other disclosures contained therein in any way. Accordingly, the Amendment should be read in conjunction with the Original 10-K. The Amendment consists solely of the preceding cover page, this explanatory note, the signature page and paragraphs 1, 2, 4 and 5 of each of the revised certifications filed as exhibits to the Amendment.</w:t>
      </w:r>
    </w:p>
    <w:p>
      <w:pPr>
        <w:spacing w:after="0" w:line="18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2"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64337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265430"/>
                    </a:xfrm>
                    <a:prstGeom prst="rect">
                      <a:avLst/>
                    </a:prstGeom>
                    <a:noFill/>
                  </pic:spPr>
                </pic:pic>
              </a:graphicData>
            </a:graphic>
          </wp:anchor>
        </w:drawing>
      </w:r>
    </w:p>
    <w:p>
      <w:pPr>
        <w:spacing w:after="0" w:line="10" w:lineRule="exact"/>
        <w:rPr>
          <w:sz w:val="20"/>
          <w:szCs w:val="20"/>
          <w:color w:val="auto"/>
        </w:rPr>
      </w:pPr>
    </w:p>
    <w:p>
      <w:pPr>
        <w:ind w:left="3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
        <w:r>
          <w:rPr>
            <w:rFonts w:ascii="Arial" w:cs="Arial" w:eastAsia="Arial" w:hAnsi="Arial"/>
            <w:sz w:val="16"/>
            <w:szCs w:val="16"/>
            <w:u w:val="single" w:color="auto"/>
            <w:color w:val="0000FF"/>
          </w:rPr>
          <w:t>Certification of Robert V. Vitale pursuant to Rule 13a-14(a), as adopted pursuant to Section 302 of the Sarbanes-Oxley Act of</w:t>
        </w:r>
      </w:hyperlink>
    </w:p>
    <w:p>
      <w:pPr>
        <w:ind w:left="12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2002, dated March 9, 2021</w:t>
        </w:r>
      </w:hyperlink>
    </w:p>
    <w:p>
      <w:pPr>
        <w:spacing w:after="0" w:line="7" w:lineRule="exact"/>
        <w:rPr>
          <w:sz w:val="20"/>
          <w:szCs w:val="20"/>
          <w:color w:val="auto"/>
        </w:rPr>
      </w:pPr>
    </w:p>
    <w:p>
      <w:pPr>
        <w:ind w:left="1220" w:right="680" w:hanging="870"/>
        <w:spacing w:after="0" w:line="23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5">
        <w:r>
          <w:rPr>
            <w:rFonts w:ascii="Arial" w:cs="Arial" w:eastAsia="Arial" w:hAnsi="Arial"/>
            <w:sz w:val="18"/>
            <w:szCs w:val="18"/>
            <w:u w:val="single" w:color="auto"/>
            <w:color w:val="0000FF"/>
          </w:rPr>
          <w:t>Certification of Darcy H. Davenport pursuant to Rule 13a-14(a), as adopted pursuant to Section 302 of the Sarbanes-Oxley Act</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of 2002, dated March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64337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257175"/>
                    </a:xfrm>
                    <a:prstGeom prst="rect">
                      <a:avLst/>
                    </a:prstGeom>
                    <a:noFill/>
                  </pic:spPr>
                </pic:pic>
              </a:graphicData>
            </a:graphic>
          </wp:anchor>
        </w:drawing>
      </w:r>
    </w:p>
    <w:p>
      <w:pPr>
        <w:ind w:left="3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hyperlink w:anchor="page6">
        <w:r>
          <w:rPr>
            <w:rFonts w:ascii="Arial" w:cs="Arial" w:eastAsia="Arial" w:hAnsi="Arial"/>
            <w:sz w:val="16"/>
            <w:szCs w:val="16"/>
            <w:u w:val="single" w:color="auto"/>
            <w:color w:val="0000FF"/>
          </w:rPr>
          <w:t>Certification of Paul A. Rode pursuant to Rule 13a-14(a), as adopted pursuant to Section 302 of the Sarbanes-Oxley Act of</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2002, dated March 9, 2021</w:t>
        </w:r>
      </w:hyperlink>
    </w:p>
    <w:p>
      <w:pPr>
        <w:spacing w:after="0" w:line="7" w:lineRule="exact"/>
        <w:rPr>
          <w:sz w:val="20"/>
          <w:szCs w:val="20"/>
          <w:color w:val="auto"/>
        </w:rPr>
      </w:pPr>
    </w:p>
    <w:p>
      <w:pPr>
        <w:ind w:left="38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0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700" w:right="2300" w:hanging="7181"/>
        <w:spacing w:after="0" w:line="273" w:lineRule="auto"/>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2021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2331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125"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left="340" w:right="1080" w:hanging="332"/>
        <w:spacing w:after="0" w:line="29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60" w:hanging="324"/>
        <w:spacing w:after="0" w:line="263" w:lineRule="auto"/>
        <w:tabs>
          <w:tab w:leader="none" w:pos="97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340" w:right="112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160"/>
              <w:spacing w:after="0"/>
              <w:rPr>
                <w:sz w:val="20"/>
                <w:szCs w:val="20"/>
                <w:color w:val="auto"/>
              </w:rPr>
            </w:pPr>
            <w:r>
              <w:rPr>
                <w:rFonts w:ascii="Arial" w:cs="Arial" w:eastAsia="Arial" w:hAnsi="Arial"/>
                <w:sz w:val="18"/>
                <w:szCs w:val="18"/>
                <w:color w:val="auto"/>
              </w:rPr>
              <w:t>March 9, 2021</w:t>
            </w:r>
          </w:p>
        </w:tc>
        <w:tc>
          <w:tcPr>
            <w:tcW w:w="4360" w:type="dxa"/>
            <w:vAlign w:val="bottom"/>
            <w:gridSpan w:val="2"/>
          </w:tcPr>
          <w:p>
            <w:pPr>
              <w:ind w:left="1120"/>
              <w:spacing w:after="0"/>
              <w:rPr>
                <w:sz w:val="20"/>
                <w:szCs w:val="20"/>
                <w:color w:val="auto"/>
              </w:rPr>
            </w:pPr>
            <w:r>
              <w:rPr>
                <w:rFonts w:ascii="Arial" w:cs="Arial" w:eastAsia="Arial" w:hAnsi="Arial"/>
                <w:sz w:val="18"/>
                <w:szCs w:val="18"/>
                <w:color w:val="auto"/>
              </w:rPr>
              <w:t>By:  /s/ Robert V. Vitale</w:t>
            </w:r>
          </w:p>
        </w:tc>
      </w:tr>
      <w:tr>
        <w:trPr>
          <w:trHeight w:val="222"/>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Executive Chairman</w:t>
            </w:r>
          </w:p>
        </w:tc>
      </w:tr>
    </w:tbl>
    <w:p>
      <w:pPr>
        <w:sectPr>
          <w:pgSz w:w="11900" w:h="16838" w:orient="portrait"/>
          <w:cols w:equalWidth="0" w:num="1">
            <w:col w:w="11240"/>
          </w:cols>
          <w:pgMar w:left="320" w:top="89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BellRing Brands, Inc.;</w:t>
      </w:r>
    </w:p>
    <w:p>
      <w:pPr>
        <w:spacing w:after="0" w:line="144"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left="340" w:right="2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12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160"/>
              <w:spacing w:after="0"/>
              <w:rPr>
                <w:sz w:val="20"/>
                <w:szCs w:val="20"/>
                <w:color w:val="auto"/>
              </w:rPr>
            </w:pPr>
            <w:r>
              <w:rPr>
                <w:rFonts w:ascii="Arial" w:cs="Arial" w:eastAsia="Arial" w:hAnsi="Arial"/>
                <w:sz w:val="18"/>
                <w:szCs w:val="18"/>
                <w:color w:val="auto"/>
              </w:rPr>
              <w:t>March 9, 2021</w:t>
            </w:r>
          </w:p>
        </w:tc>
        <w:tc>
          <w:tcPr>
            <w:tcW w:w="4360" w:type="dxa"/>
            <w:vAlign w:val="bottom"/>
            <w:gridSpan w:val="2"/>
          </w:tcPr>
          <w:p>
            <w:pPr>
              <w:ind w:left="1120"/>
              <w:spacing w:after="0"/>
              <w:rPr>
                <w:sz w:val="20"/>
                <w:szCs w:val="20"/>
                <w:color w:val="auto"/>
              </w:rPr>
            </w:pPr>
            <w:r>
              <w:rPr>
                <w:rFonts w:ascii="Arial" w:cs="Arial" w:eastAsia="Arial" w:hAnsi="Arial"/>
                <w:sz w:val="18"/>
                <w:szCs w:val="18"/>
                <w:color w:val="auto"/>
              </w:rPr>
              <w:t>By:  /s/ Darcy H. Davenport</w:t>
            </w:r>
          </w:p>
        </w:tc>
      </w:tr>
      <w:tr>
        <w:trPr>
          <w:trHeight w:val="222"/>
        </w:trPr>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w w:val="94"/>
              </w:rPr>
              <w:t>President and Chief Executive Officer</w:t>
            </w:r>
          </w:p>
        </w:tc>
      </w:tr>
    </w:tbl>
    <w:p>
      <w:pPr>
        <w:sectPr>
          <w:pgSz w:w="11900" w:h="16838" w:orient="portrait"/>
          <w:cols w:equalWidth="0" w:num="1">
            <w:col w:w="11240"/>
          </w:cols>
          <w:pgMar w:left="320" w:top="89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left="340" w:right="1080" w:hanging="332"/>
        <w:spacing w:after="0" w:line="29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60" w:hanging="324"/>
        <w:spacing w:after="0" w:line="263" w:lineRule="auto"/>
        <w:tabs>
          <w:tab w:leader="none" w:pos="97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340" w:right="112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Pr>
          <w:p>
            <w:pPr>
              <w:ind w:left="140"/>
              <w:spacing w:after="0"/>
              <w:rPr>
                <w:sz w:val="20"/>
                <w:szCs w:val="20"/>
                <w:color w:val="auto"/>
              </w:rPr>
            </w:pPr>
            <w:r>
              <w:rPr>
                <w:rFonts w:ascii="Arial" w:cs="Arial" w:eastAsia="Arial" w:hAnsi="Arial"/>
                <w:sz w:val="18"/>
                <w:szCs w:val="18"/>
                <w:color w:val="auto"/>
              </w:rPr>
              <w:t>March 9, 2021</w:t>
            </w:r>
          </w:p>
        </w:tc>
        <w:tc>
          <w:tcPr>
            <w:tcW w:w="4400" w:type="dxa"/>
            <w:vAlign w:val="bottom"/>
            <w:gridSpan w:val="2"/>
          </w:tcPr>
          <w:p>
            <w:pPr>
              <w:ind w:left="1180"/>
              <w:spacing w:after="0"/>
              <w:rPr>
                <w:sz w:val="20"/>
                <w:szCs w:val="20"/>
                <w:color w:val="auto"/>
              </w:rPr>
            </w:pPr>
            <w:r>
              <w:rPr>
                <w:rFonts w:ascii="Arial" w:cs="Arial" w:eastAsia="Arial" w:hAnsi="Arial"/>
                <w:sz w:val="18"/>
                <w:szCs w:val="18"/>
                <w:color w:val="auto"/>
              </w:rPr>
              <w:t>By:  /s/ Paul A. Rode</w:t>
            </w:r>
          </w:p>
        </w:tc>
      </w:tr>
      <w:tr>
        <w:trPr>
          <w:trHeight w:val="222"/>
        </w:trPr>
        <w:tc>
          <w:tcPr>
            <w:tcW w:w="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2021-03-09T16:10:17Z</dcterms:created>
  <dcterms:modified xsi:type="dcterms:W3CDTF">2021-03-09T16:10:17Z</dcterms:modified>
</cp:coreProperties>
</file>