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60" w:right="1400" w:hanging="2656"/>
        <w:spacing w:after="0" w:line="290" w:lineRule="auto"/>
        <w:tabs>
          <w:tab w:leader="none" w:pos="16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125,979,165 shares as of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5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196"/>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0"/>
        </w:trPr>
        <w:tc>
          <w:tcPr>
            <w:tcW w:w="5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22.8</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1"/>
        </w:trPr>
        <w:tc>
          <w:tcPr>
            <w:tcW w:w="5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stock compensation plans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60" w:type="dxa"/>
            <w:vAlign w:val="bottom"/>
          </w:tcPr>
          <w:p>
            <w:pPr>
              <w:spacing w:after="0"/>
              <w:rPr>
                <w:sz w:val="16"/>
                <w:szCs w:val="16"/>
                <w:color w:val="auto"/>
              </w:rPr>
            </w:pPr>
          </w:p>
        </w:tc>
        <w:tc>
          <w:tcPr>
            <w:tcW w:w="208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center"/>
              <w:ind w:right="171"/>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2024. These unaudited condensed consolidated financial statements should be read in conjunction with such audited consolidated financial statements, which are included in the Company’s Annual Report on Form 10-K for the fiscal year ended September 30, 2024, filed with the SEC on November 19,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condition,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related disclosures based on current information.</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2024-03, “Income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Reporting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this ASU or (ii) retrospectively to any or all prior periods presented in the financial statements. The Company is currently evaluating the impact of this standard.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directors serve as officers and/or directors of Post.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tax compliance services and, prior to January 2025, payroll processing services. MSA fees were $0.7 and $2.3 during the three and nine months ended June 30, 2025, respectively, and $0.8 and $2.5 during the three and nine months ended June 30, 2024, respectively. MSA fees were reported in “Selling, general and administrative expenses” in the Condensed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both the three and nine months ended June 30, 2025 and 2024,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Premier Nutrition Company, LLC (“Premier Nutrition”), a subsidiary of the Company, has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Comet began manufacturing RTD shakes in December 2023. The Company purchased $17.1 and $44.2 of RTD shakes from Comet during the three and nine months ended June 30, 2025, respectively, and $4.3 and $6.2 of RTD shakes from Comet during the three and nine months ended June 30, 2024, respectively.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and September 30, 2024, the Company had current payables with Post of $4.0 and $1.5, respectively, primarily related to RTD shake purchases and MSA fees, which were included in “Accounts payable” on the Condensed Consolidated Balance Sheets. Current receivables with Post at both June 30, 2025 and September 30, 2024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70"/>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anti-dilutive securities excluded from the calculation of weighted-average shares for diluted earnings per share during the three or nine months ended June 30, 2025 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June 30, 2025 and September 30, 2024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fiscal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expected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$17.4 was recorded during the nine months ended June 30, 2024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in fiscal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and supplies. The Company utilizes derivative instruments, such as futures and option contracts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June 30, 2025, the Company’s derivative instruments, none of which were designated as hedging instruments under Accounting Standards Codification (“ASC”) Topic 815, “Derivatives and Hedging,” consisted of commodity futures and option contracts which relate to inputs that generally will be utilized within the next twelve months. The notional amounts of the commodity contracts were $173.7 and $53.5 at June 30, 2025 and September 30,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commodity contracts. The Company does not offset derivative assets and liabilities within the Condensed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 (gain) loss on derivatives of $(1.0) and $8.6 during the three and nine months ended June 30, 2025, respectively, and $(0.1) and $6.0 during the three and nine months ended June 30, 2024, respectively, which were recorded in “Cost of goods sold” in the Condensed Consolidated Statements of Operations.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June 30, 2025 and September 30, 2024, the Company had cash deposits which served as pledged collateral for certain of its commodity contracts of $11.2 and $0.3, respectively, which were classified as “Restricted cash” on the Condensed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the income approach to measure fair value for its commodity derivatives using Level 2 inputs. The income approach uses pricing models that rely on market observable inputs such as yield curves and forward prices. Refer to Note 10 for the classification of changes in fair value of derivative assets and liabilities measured at fair value on a recurring basis within the Condensed Consolidated Statements of Operations.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also include cash, cash equivalents and restricted cash, receivables and accounts payable for which the carrying value approximates fair value due to their short maturities (less than 12 months). The Company does not record its long-term debt at fair value on the Condensed Consolidated Balance Sheets. Based on market rates, the fair value (Level 2) of the Company’s debt, excluding any outstanding borrowings under the Revolving Credit Facility (as defined in Note 12), was $876.2 and $880.6 as of June 30, 2025 and September 30,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accrue at rates ranging from 0.25% to 0.375% per annum, depending on the Company’s secured net leverage ratio.</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June 30, 2025, the Company borrowed $360.0 and repaid $185.0 under the Revolving Credit Facility. During the nine months ended June 30, 2024, the Company had no borrowings and repaid $25.0 under the Revolving Credit Facility. As of June 30, 2025, the interest rate on the utilized portion of the Revolving Credit Facility was 9.50%, the available borrowing capacity under the Revolving Credit Facility was $75.0 and there were no outstanding letters of credit. As of September 30, 2024, there were no amounts outstanding under the Revolving Credit Facility, the available borrowing capacity under the Revolving Credit Facility was $250.0 and there were no outstanding letters of credit.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June 30, 2025.</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 In April 2018, the district court dismissed the California Federal Class Lawsuit with prejudice. This dismissal was upheld on appeal by the U.S. Court of Appeals for the Ninth Circuit in 2020, and plaintiff’s petition for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by the Ninth Circuit was denied.</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the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action on behalf of New York consumers (the “New York Case”). In January 2025, the plaintiff filed a motion for the application of issue preclusion arising from certain rulings in the New York Case. On May 14, 2025, the court entered an order holding that issue preclusion will apply on certain issues.</w:t>
      </w:r>
    </w:p>
    <w:p>
      <w:pPr>
        <w:spacing w:after="0" w:line="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 Nutrition’s subsequent petition for en banc rehearing with the Ninth Circuit Court of Appeals was denied in October 2024. On January 25, 2025, the Ninth Circuit affirmed the trial court’s attorneys’ fees award. On February 3, 2025, the trial court entered an order awarding $0.9 in attorneys’ fees and costs. On March 10, 2025, the trial court entered an order again limiting statutory damages to $8.3 under the due process clause. Each plaintiff and Premier Nutrition filed Notices of Appeal to the Ninth Circuit on the damages award. On March 13, 2025, Premier Nutrition filed a certiorari petition with the United States Supreme Court seeking review of the Ninth Circuit’s merits decision.</w:t>
      </w:r>
    </w:p>
    <w:p>
      <w:pPr>
        <w:spacing w:after="0" w:line="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In February 2025, the court set a trial date for February 2026 in the Related Federal Action on behalf of the class of consumers in Illinois (the “Illinois Case”). Plaintiff filed a motion to apply issue preclusion from certain rulings in the New York Case to the Illinois Ca</w:t>
      </w:r>
      <w:r>
        <w:rPr>
          <w:rFonts w:ascii="Times New Roman" w:cs="Times New Roman" w:eastAsia="Times New Roman" w:hAnsi="Times New Roman"/>
          <w:sz w:val="18"/>
          <w:szCs w:val="18"/>
          <w:color w:val="000000"/>
        </w:rPr>
        <w:t>se. On May 2, 2025, the trial court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entered an order holding that issue preclusion will apply in the Illinois Case on the issues of deceptiveness, materiality, the measure of damages, and the First Amendment, but not on the issues of causation, intent, or punitive damages. The seven other Related Federal Actions remain pending, and the court has certified individual state classes in each of those cases (except New Mexico).</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(the “California State Case”). In July 2020, the court issued an order certifying a statewide class. Premier Nutrition moved for summary judgment in July 2023, which motion remains pending. In January 2025, the plaintiff filed a motion for the application of issue preclusion arising from certain rulings in the New York Case decision. </w:t>
      </w:r>
      <w:r>
        <w:rPr>
          <w:rFonts w:ascii="Times New Roman" w:cs="Times New Roman" w:eastAsia="Times New Roman" w:hAnsi="Times New Roman"/>
          <w:sz w:val="18"/>
          <w:szCs w:val="18"/>
          <w:color w:val="231F20"/>
        </w:rPr>
        <w:t>On May 14, 2025, the court entered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order holding that issue preclusion will apply on certain issues.</w:t>
      </w:r>
    </w:p>
    <w:p>
      <w:pPr>
        <w:spacing w:after="0" w:line="7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June 25, 2025, the parties reached a class-wide settlement in principle related to the </w:t>
      </w:r>
      <w:r>
        <w:rPr>
          <w:rFonts w:ascii="Times New Roman" w:cs="Times New Roman" w:eastAsia="Times New Roman" w:hAnsi="Times New Roman"/>
          <w:sz w:val="18"/>
          <w:szCs w:val="18"/>
          <w:i w:val="1"/>
          <w:iCs w:val="1"/>
          <w:color w:val="auto"/>
        </w:rPr>
        <w:t>Joint Juice Litigation,</w:t>
      </w:r>
      <w:r>
        <w:rPr>
          <w:rFonts w:ascii="Times New Roman" w:cs="Times New Roman" w:eastAsia="Times New Roman" w:hAnsi="Times New Roman"/>
          <w:sz w:val="18"/>
          <w:szCs w:val="18"/>
          <w:color w:val="auto"/>
        </w:rPr>
        <w:t xml:space="preserve"> which includes the California Federal Class Lawsuit, all of the Related Federal Actions and the California State Case through a court-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ordered settlement conference, which settlement in principle is subject to judicial approval. On June 26, 2025, the parties filed a joint motion with the United States Supreme Court to hold the certiorari petition in the New York Case in abeyance pending approval of the class settlement. On July 2, 2025, the parties filed a joint motion with the Ninth Circuit to hold the appeal in the New York Case in abeyance pending approval of the class settlement. The parties will now seek judicial approval of the settlement.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nine months ended June 30, 2025, the Company expensed $68.1 and $69.0, respectively, related to the legal matter and plaintiff legal fees in connection with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litigation, which was included in “Selling, general and administrative expenses” on the Condensed Consolidated Statements of Operations. Other than legal fees, no expense related to this litigation was incurred during the three or nine months ended June 30, 2024. At June 30, 2025 and September 30, 2024, the Company had an estimated liability of $90.0 and $21.0, respectively, related to these matters that was included in “Other current liabilities” on the Condensed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was granted in part and denied in part. Plaintiffs filed an amended complaint in July 2024, and in August 2024 the Company and Premier Nutrition filed a motion to dismiss the amended complaint, which motion was granted in part and denied in part in May 2025. On June 24, 2025, the parties reached a settlement related to the Protein Products Class Lawsuit for an immaterial amount and on July 18, 2025, plaintiffs voluntarily dismissed the case</w:t>
      </w:r>
      <w:r>
        <w:rPr>
          <w:rFonts w:ascii="Times New Roman" w:cs="Times New Roman" w:eastAsia="Times New Roman" w:hAnsi="Times New Roman"/>
          <w:sz w:val="18"/>
          <w:szCs w:val="18"/>
          <w:i w:val="1"/>
          <w:iCs w:val="1"/>
          <w:color w:val="auto"/>
        </w:rPr>
        <w: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material expense related to the Protein Products Class Lawsuit was incurred during the three or nine months ended June 30, 2025 or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Proposition 65 Notice re Lead in Protein Products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three or nine months ended June 30, 2025 or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209"/>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any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Condensed Consolidated Statements of Cash Flows for the nine months ended June 30, 2025 excluded $1.9 of accrued excise tax that had not been paid as of June 30, 2025 and included $2.2 of accrued excise tax payments that had been accrued in prior fiscal years. “Purchases of treasury stock” in the Condensed Consolidated Statements of Cash Flows for the nine months ended June 30, 2024 excluded $1.0 of accrued excise tax that had not been paid as of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H.R.1 tax law was enacted in the U.S. (the “H.R.1 Tax Act”). The H.R.1 Tax Act includes provisions, such as the permanent extension of certain expiring provisions of the Tax Cuts and Jobs Act of 2017, modifications to the international tax framework and the restoration of favorable tax treatment for certain business provisions. The H.R.1 Tax Act has multiple effective dates, beginning in calendar year 2025 and extending through calendar year 2027. The Company is currently evaluating the impact of the H.R.1 Tax Act on its effective income tax rate,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2024 and the “Cautionary Statement on Forward-Looking Statements” section included below. The terms “our,” “we,” “us,” “Company” and “BellRing” refer to BellRing Brands, Inc. and its consolidated subsidiaries.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During fiscal 2024, inflationary pressures on protein costs eased while other costs, such as packaging and manufacturing, faced inflationary pressures. During fiscal 2025, input costs, including raw material, packaging and manufacturing costs, have faced, and continue to face, inflationary pressures. Inflation (including the potential impact of tariffs) could have a materially adverse impact on our business in the future if inflation rates were to significantly exceed our ability to achieve price increases or cost savings or if such price increases impact demand for our products.</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60" w:type="dxa"/>
            <w:vAlign w:val="bottom"/>
          </w:tcPr>
          <w:p>
            <w:pPr>
              <w:spacing w:after="0"/>
              <w:rPr>
                <w:sz w:val="16"/>
                <w:szCs w:val="16"/>
                <w:color w:val="auto"/>
              </w:rPr>
            </w:pPr>
          </w:p>
        </w:tc>
        <w:tc>
          <w:tcPr>
            <w:tcW w:w="11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June</w:t>
            </w:r>
          </w:p>
        </w:tc>
        <w:tc>
          <w:tcPr>
            <w:tcW w:w="260" w:type="dxa"/>
            <w:vAlign w:val="bottom"/>
          </w:tcPr>
          <w:p>
            <w:pPr>
              <w:spacing w:after="0"/>
              <w:rPr>
                <w:sz w:val="16"/>
                <w:szCs w:val="16"/>
                <w:color w:val="auto"/>
              </w:rPr>
            </w:pPr>
          </w:p>
        </w:tc>
        <w:tc>
          <w:tcPr>
            <w:tcW w:w="11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$32.1 million, or 6%, during the three months ended June 30, 2025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$26.3 million, or 6%, driven by 3% higher volumes primarily due to distribution gains and incremental promotional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net selling prices increased due to targeted price increases, partially offset by increased promotional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$3.6 million, or 5%, driven by 5% higher volumes primarily due to higher international volumes and new product introductions. Sales of all other products were up $2.2 million.</w:t>
      </w:r>
    </w:p>
    <w:p>
      <w:pPr>
        <w:spacing w:after="0" w:line="75"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$228.0 million, or 16%, during the nine months ended June 30, 2025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$214.6 million, or 18%, driven by 13% higher volumes primarily due to distribution gains and incremental promotional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net selling prices increased due to targeted price increases, partially offset by incremental promotional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$12.5 million, or 7%, driven by 12% higher volumes primarily due to higher international volumes and new product introductions. Average net selling prices decreased due to unfavorable product mix. Sales of all other products were up $0.9 million.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Operating profit decreased $66.8 million, or 60%, during the three months ended June 30, 2025 compared to the prior year period. This decrease was primarily driven by a provision for legal matters of $68.1 million in the current year period (as discussed in Note 13 within “Notes to Condensed Consolidated Financial Statements” included in Part I, Item 1 of this report)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higher net product costs of $18.6 million (driven by higher raw material and manufacturing costs, partially offset by lower freight costs). These negative impacts were partially offset by higher net sales, as previously discussed.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decreased $20.4 million, or 7%, during the nine months ended June 30, 2025 compared to the prior year period. This decrease was primarily driven by a provision for legal matters of $69.0 million in the current year period, higher net product costs of $33.9 million (driven by higher raw material and manufacturing costs, partially offset by lower freight costs), increased advertising expense of $22.8 million and higher warehousing and distribution costs of $9.5 million. These negative impacts were partially offset by higher net sales, as previously discussed, and accelerated amortization of $17.4 million recorded in the prior year period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increased $4.0 million during the three months ended June 30, 2025 compared to the prior year period primarily due to higher outstanding borrowings under our Revolving Credit Facility (as defined in “Liquidity and Capital Resources” below). The weighted-average interest rate on our total outstanding debt was 7.4% and 7.0% for the three months ended June 30, 2025 and 2024,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increased $5.5 million during the nine months ended June 30, 2025 compared to the prior year period primarily due to higher outstanding borrowings under our Revolving Credit Facility. The weighted-average interest rate on our total outstanding debt was 7.2% and 7.0% for the nine months ended June 30, 2025 and 2024, respectively. See Note 12 within “Notes to Condensed Consolidated Financial Statements” for additional information on our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20.5% and 24.2% for the three months ended June 30, 2025 and 2024, respectively, and 23.9% and 24.6% for the nine months ended June 30, 2025 and 2024, respectively. The decrease in our effective income tax rate during the three months ended June 30, 2025 compared to the prior year period was primarily due to discrete tax benefits recognized in the current year period related to prior year tax accruals.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subsequent to the end of the period covered by this report, the H.R.1 tax law was enacted in the United States (the “H.R.1 Tax Act”). The H.R.1 Tax Act includes provisions, such as the permanent extension of certain expiring provisions of the Tax Cuts and Jobs Act of 2017, modifications to the international tax framework and the restoration of favorable tax treatment for certain business provisions. The H.R.1 Tax Act has multiple effective dates, beginning in calendar year 2025 and extending through calendar year 2027. We are currently evaluating the impact of the H.R.1 Tax Act on our effective income tax rate, results of operations, financial condition and cash flows.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June 30, 2025, we borrowed $360.0 million and repaid $185.0 million under our revolving credit facility, which is provided under our credit agreement entered into on March 10, 2022 (as amended, the “Credit Agreement”) in an aggregate principal amount of $250.0 million (the “Revolving Credit Facility”). As of June 30, 2025, we had $75.0 million of available borrowing capacity and no letters of credit outstanding under the Revolving Credit Facility.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June 30, 2025, we repurchased 3.8 million shares of our common stock at an average share price of $69.67 per share and at a total cost, including any accrued excise tax and broker’s commissions, of $267.6 million. In addition, during the nine months ended June 30, 2025, we paid $2.2 million of excise tax that related to fiscal 2024 and 2023 share repurchases.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Short-term financing needs primarily consist of working capital requirements, interest payments on our 7.00% senior notes maturing in March 2030 (the “7.00% Senior Notes”) and on outstanding borrowings under our Revolving Credit Facility and our provision for legal matters. Long-term financing needs include the repayment of our 7.00% Senior Notes and outstanding borrowings under our Revolving Credit Facility.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 any, will depend on prevailing market conditions, our liquidity requirements, contractual restrictions and other factors. The amounts involved may be material.</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0" w:right="2580" w:hanging="40"/>
        <w:spacing w:after="0" w:line="339"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(decrease) increase in cash, cash equivalents and restricted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June 30, 2025 decreased $68.0 million compared to the prior year period. This decrease was primarily due to increased inventory levels in the current year period (driven by higher production), increased tax payments (net of refunds) of $9.9 million and increased interest payments of $4.9 million, partially offset by fluctuations in the timing of collections of trade receivables.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June 30, 2025 increased $3.1 million compared to the prior year period resulting from an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June 30, 2025 decreased $30.2 million compared to the prior year period, driven by higher payments of $161.8 million, including excise tax payments and broker’s commissions, for the repurchase of our common stock, higher repayments of $160.0 million under the Revolving Credit Facility and higher tax withholding payments related to stock compensation plans of $8.0 million. These cash outflows were partially offset by higher borrowings of $360.0 million under the Revolving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June 30, 2025,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2024, as filed with the Securities and Exchange Commission (the “SEC”) on November 19, 2024. There have been no significant changes to our critical accounting estimates since September 30, 2024.</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contract manufacturers for the manufacture of most of our products, including one manufacturer for nearly half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and/or directors of Post;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2024, filed with the SEC on November 19,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may use futures contracts and options to manage certain of these exposures when it is practical to do so. A hypothetical 10% adverse change in the market price of the Company’s principal hedged commodities, non-fat dry milk, would have decreased the fair value of the Company’s commodity-related derivatives portfolio by less than $1 million as of both June 30, 2025 and September 30, 2024. This volatility analysis ignores changes in the exposures inherent in the underlying hedged transactions. Because the Company does not hold or trade derivatives for speculation or profit, all changes in derivative values are effectively offset by corresponding changes in the underlying commodity exposures.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Company’s commodity contracts, see Note 10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both June 30, 2025 and September 30, 2024, the Company had outstanding principal value indebtedness of $840.0 million related to its 7.00% Senior Notes. Additionally, the Company had outstanding borrowings of $175.0 million under its Revolving Credit Facility as of June 30, 2025 and no amounts outstanding under its Revolving Credit Facility as of September 30, 2024. Borrowings under the Revolving Credit Facility had a variable interest rate of 9.50% as of June 30, 2025.</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2025 and September 30, 2024, the fair value of the Company’s debt, excluding any borrowings under its Revolving Credit Facility, was $876.2 million and $880.6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$6 million and $7 million as of June 30, 2025 and September 30, 2024, respectively. A hypothetical 10% increase in interest rates would have had an immaterial impact on both interest expense and interest paid during the three and nine months ended June 30, 2025, and the Company had no variable rate debt outstanding as of September 30, 2024. For additional information regarding the Company’s debt, see Note 12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13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June 30, 2025.</w:t>
      </w:r>
    </w:p>
    <w:p>
      <w:pPr>
        <w:spacing w:after="0" w:line="1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19, 2024, as of and for the year ended September 30, 2024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June 30, 2025 and our common stock repurchase authorization.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20" w:type="dxa"/>
            <w:vAlign w:val="bottom"/>
          </w:tcPr>
          <w:p>
            <w:pPr>
              <w:jc w:val="center"/>
              <w:ind w:left="57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270,142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270,142</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$260,305,135</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759,578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759,578</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$212,456,712</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245,226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245,226</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$197,039,286</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1,274,946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1,274,946</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$197,039,286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 if any.</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2025, the Company’s Board of Directors approved a new $300,000,000 repurchase authorization with respect to shares of the Company’s common stock (the “Authorization”). The Authorization was effective on March 6, 2025 and has an expiration date of March 6, 2027. Repurchases may be made from time to time in the open market, private purchases, through forward, derivative,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73"/>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119" w:lineRule="exact"/>
        <w:rPr>
          <w:sz w:val="20"/>
          <w:szCs w:val="20"/>
          <w:color w:val="auto"/>
        </w:rPr>
      </w:pPr>
    </w:p>
    <w:p>
      <w:pPr>
        <w:ind w:left="73" w:firstLine="324"/>
        <w:spacing w:after="0" w:line="278" w:lineRule="auto"/>
        <w:rPr>
          <w:sz w:val="20"/>
          <w:szCs w:val="20"/>
          <w:color w:val="auto"/>
        </w:rPr>
      </w:pPr>
      <w:r>
        <w:rPr>
          <w:rFonts w:ascii="Times New Roman" w:cs="Times New Roman" w:eastAsia="Times New Roman" w:hAnsi="Times New Roman"/>
          <w:sz w:val="18"/>
          <w:szCs w:val="18"/>
          <w:color w:val="auto"/>
        </w:rPr>
        <w:t>During the three months ended June 30, 2025, our directors or officers, as defined in Rule 16a-1(f) under the Securities Exchange Act of 1934, as amended, adopted or terminated the “Rule 10b5-1 trading arrangements” as defined in Item 408 of Regulation S-K, set forth in the table below:</w:t>
      </w:r>
    </w:p>
    <w:tbl>
      <w:tblPr>
        <w:tblLayout w:type="fixed"/>
        <w:tblInd w:w="73"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Trading</w:t>
            </w:r>
          </w:p>
        </w:tc>
        <w:tc>
          <w:tcPr>
            <w:tcW w:w="1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Duration of Plan</w:t>
            </w:r>
          </w:p>
        </w:tc>
        <w:tc>
          <w:tcPr>
            <w:tcW w:w="21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Douglas Cornille</w:t>
            </w:r>
          </w:p>
        </w:tc>
        <w:tc>
          <w:tcPr>
            <w:tcW w:w="1280" w:type="dxa"/>
            <w:vAlign w:val="bottom"/>
            <w:shd w:val="clear" w:color="auto" w:fill="CCEEFF"/>
          </w:tcPr>
          <w:p>
            <w:pPr>
              <w:jc w:val="center"/>
              <w:ind w:left="75"/>
              <w:spacing w:after="0" w:line="195" w:lineRule="exact"/>
              <w:rPr>
                <w:sz w:val="20"/>
                <w:szCs w:val="20"/>
                <w:color w:val="auto"/>
              </w:rPr>
            </w:pPr>
            <w:r>
              <w:rPr>
                <w:rFonts w:ascii="Times New Roman" w:cs="Times New Roman" w:eastAsia="Times New Roman" w:hAnsi="Times New Roman"/>
                <w:sz w:val="18"/>
                <w:szCs w:val="18"/>
                <w:color w:val="auto"/>
                <w:w w:val="99"/>
              </w:rPr>
              <w:t>6/3/2025</w:t>
            </w:r>
          </w:p>
        </w:tc>
        <w:tc>
          <w:tcPr>
            <w:tcW w:w="12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Terminate</w:t>
            </w:r>
          </w:p>
        </w:tc>
        <w:tc>
          <w:tcPr>
            <w:tcW w:w="15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3"/>
              <w:spacing w:after="0" w:line="195" w:lineRule="exact"/>
              <w:rPr>
                <w:sz w:val="20"/>
                <w:szCs w:val="20"/>
                <w:color w:val="auto"/>
              </w:rPr>
            </w:pPr>
            <w:r>
              <w:rPr>
                <w:rFonts w:ascii="Times New Roman" w:cs="Times New Roman" w:eastAsia="Times New Roman" w:hAnsi="Times New Roman"/>
                <w:sz w:val="18"/>
                <w:szCs w:val="18"/>
                <w:color w:val="auto"/>
              </w:rPr>
              <w:t>12/6/2024 to</w:t>
            </w:r>
          </w:p>
        </w:tc>
        <w:tc>
          <w:tcPr>
            <w:tcW w:w="2140" w:type="dxa"/>
            <w:vAlign w:val="bottom"/>
            <w:shd w:val="clear" w:color="auto" w:fill="CCEEFF"/>
          </w:tcPr>
          <w:p>
            <w:pPr>
              <w:jc w:val="center"/>
              <w:ind w:left="57"/>
              <w:spacing w:after="0" w:line="195" w:lineRule="exact"/>
              <w:rPr>
                <w:sz w:val="20"/>
                <w:szCs w:val="20"/>
                <w:color w:val="auto"/>
              </w:rPr>
            </w:pPr>
            <w:r>
              <w:rPr>
                <w:rFonts w:ascii="Times New Roman" w:cs="Times New Roman" w:eastAsia="Times New Roman" w:hAnsi="Times New Roman"/>
                <w:sz w:val="18"/>
                <w:szCs w:val="18"/>
                <w:color w:val="auto"/>
              </w:rPr>
              <w:t>Up to 12,769</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Growth Officer</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12/6/2025</w:t>
            </w: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Douglas Cornille</w:t>
            </w:r>
          </w:p>
        </w:tc>
        <w:tc>
          <w:tcPr>
            <w:tcW w:w="1280" w:type="dxa"/>
            <w:vAlign w:val="bottom"/>
          </w:tcPr>
          <w:p>
            <w:pPr>
              <w:jc w:val="center"/>
              <w:ind w:left="75"/>
              <w:spacing w:after="0" w:line="195" w:lineRule="exact"/>
              <w:rPr>
                <w:sz w:val="20"/>
                <w:szCs w:val="20"/>
                <w:color w:val="auto"/>
              </w:rPr>
            </w:pPr>
            <w:r>
              <w:rPr>
                <w:rFonts w:ascii="Times New Roman" w:cs="Times New Roman" w:eastAsia="Times New Roman" w:hAnsi="Times New Roman"/>
                <w:sz w:val="18"/>
                <w:szCs w:val="18"/>
                <w:color w:val="auto"/>
                <w:w w:val="99"/>
              </w:rPr>
              <w:t>6/4/2025</w:t>
            </w: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Adopt</w:t>
            </w:r>
          </w:p>
        </w:tc>
        <w:tc>
          <w:tcPr>
            <w:tcW w:w="1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Pr>
          <w:p>
            <w:pPr>
              <w:jc w:val="center"/>
              <w:ind w:left="53"/>
              <w:spacing w:after="0" w:line="195" w:lineRule="exact"/>
              <w:rPr>
                <w:sz w:val="20"/>
                <w:szCs w:val="20"/>
                <w:color w:val="auto"/>
              </w:rPr>
            </w:pPr>
            <w:r>
              <w:rPr>
                <w:rFonts w:ascii="Times New Roman" w:cs="Times New Roman" w:eastAsia="Times New Roman" w:hAnsi="Times New Roman"/>
                <w:sz w:val="18"/>
                <w:szCs w:val="18"/>
                <w:color w:val="auto"/>
              </w:rPr>
              <w:t>6/4/2025 to</w:t>
            </w:r>
          </w:p>
        </w:tc>
        <w:tc>
          <w:tcPr>
            <w:tcW w:w="2140" w:type="dxa"/>
            <w:vAlign w:val="bottom"/>
          </w:tcPr>
          <w:p>
            <w:pPr>
              <w:jc w:val="center"/>
              <w:ind w:left="57"/>
              <w:spacing w:after="0" w:line="195" w:lineRule="exact"/>
              <w:rPr>
                <w:sz w:val="20"/>
                <w:szCs w:val="20"/>
                <w:color w:val="auto"/>
              </w:rPr>
            </w:pPr>
            <w:r>
              <w:rPr>
                <w:rFonts w:ascii="Times New Roman" w:cs="Times New Roman" w:eastAsia="Times New Roman" w:hAnsi="Times New Roman"/>
                <w:sz w:val="18"/>
                <w:szCs w:val="18"/>
                <w:color w:val="auto"/>
              </w:rPr>
              <w:t>Up to 15,880</w:t>
            </w:r>
          </w:p>
        </w:tc>
        <w:tc>
          <w:tcPr>
            <w:tcW w:w="0" w:type="dxa"/>
            <w:vAlign w:val="bottom"/>
          </w:tcPr>
          <w:p>
            <w:pPr>
              <w:spacing w:after="0"/>
              <w:rPr>
                <w:sz w:val="1"/>
                <w:szCs w:val="1"/>
                <w:color w:val="auto"/>
              </w:rPr>
            </w:pPr>
          </w:p>
        </w:tc>
      </w:tr>
      <w:tr>
        <w:trPr>
          <w:trHeight w:val="23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Growth Officer</w:t>
            </w: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6/4/2026</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Craig L. Rosenthal</w:t>
            </w:r>
          </w:p>
        </w:tc>
        <w:tc>
          <w:tcPr>
            <w:tcW w:w="1280" w:type="dxa"/>
            <w:vAlign w:val="bottom"/>
            <w:shd w:val="clear" w:color="auto" w:fill="CCEEFF"/>
          </w:tcPr>
          <w:p>
            <w:pPr>
              <w:jc w:val="center"/>
              <w:ind w:left="75"/>
              <w:spacing w:after="0" w:line="195" w:lineRule="exact"/>
              <w:rPr>
                <w:sz w:val="20"/>
                <w:szCs w:val="20"/>
                <w:color w:val="auto"/>
              </w:rPr>
            </w:pPr>
            <w:r>
              <w:rPr>
                <w:rFonts w:ascii="Times New Roman" w:cs="Times New Roman" w:eastAsia="Times New Roman" w:hAnsi="Times New Roman"/>
                <w:sz w:val="18"/>
                <w:szCs w:val="18"/>
                <w:color w:val="auto"/>
                <w:w w:val="99"/>
              </w:rPr>
              <w:t>6/7/2025</w:t>
            </w:r>
          </w:p>
        </w:tc>
        <w:tc>
          <w:tcPr>
            <w:tcW w:w="12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Adopt</w:t>
            </w:r>
          </w:p>
        </w:tc>
        <w:tc>
          <w:tcPr>
            <w:tcW w:w="15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3"/>
              <w:spacing w:after="0" w:line="195" w:lineRule="exact"/>
              <w:rPr>
                <w:sz w:val="20"/>
                <w:szCs w:val="20"/>
                <w:color w:val="auto"/>
              </w:rPr>
            </w:pPr>
            <w:r>
              <w:rPr>
                <w:rFonts w:ascii="Times New Roman" w:cs="Times New Roman" w:eastAsia="Times New Roman" w:hAnsi="Times New Roman"/>
                <w:sz w:val="18"/>
                <w:szCs w:val="18"/>
                <w:color w:val="auto"/>
              </w:rPr>
              <w:t>6/7/2025 to</w:t>
            </w:r>
          </w:p>
        </w:tc>
        <w:tc>
          <w:tcPr>
            <w:tcW w:w="2140" w:type="dxa"/>
            <w:vAlign w:val="bottom"/>
            <w:shd w:val="clear" w:color="auto" w:fill="CCEEFF"/>
          </w:tcPr>
          <w:p>
            <w:pPr>
              <w:jc w:val="center"/>
              <w:ind w:left="57"/>
              <w:spacing w:after="0" w:line="195" w:lineRule="exact"/>
              <w:rPr>
                <w:sz w:val="20"/>
                <w:szCs w:val="20"/>
                <w:color w:val="auto"/>
              </w:rPr>
            </w:pPr>
            <w:r>
              <w:rPr>
                <w:rFonts w:ascii="Times New Roman" w:cs="Times New Roman" w:eastAsia="Times New Roman" w:hAnsi="Times New Roman"/>
                <w:sz w:val="18"/>
                <w:szCs w:val="18"/>
                <w:color w:val="auto"/>
              </w:rPr>
              <w:t>Up to 13,273</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Chief Legal Officer and Chief Compliance</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left="53"/>
              <w:spacing w:after="0" w:line="202" w:lineRule="exact"/>
              <w:rPr>
                <w:sz w:val="20"/>
                <w:szCs w:val="20"/>
                <w:color w:val="auto"/>
              </w:rPr>
            </w:pPr>
            <w:r>
              <w:rPr>
                <w:rFonts w:ascii="Times New Roman" w:cs="Times New Roman" w:eastAsia="Times New Roman" w:hAnsi="Times New Roman"/>
                <w:sz w:val="18"/>
                <w:szCs w:val="18"/>
                <w:color w:val="auto"/>
                <w:w w:val="99"/>
              </w:rPr>
              <w:t>6/7/2026</w:t>
            </w: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3" w:hanging="133"/>
        <w:spacing w:after="0"/>
        <w:tabs>
          <w:tab w:leader="none" w:pos="1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6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1"/>
          </w:tcPr>
          <w:p>
            <w:pPr>
              <w:spacing w:after="0" w:line="195"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9"/>
          </w:tcPr>
          <w:p>
            <w:pPr>
              <w:spacing w:after="0" w:line="169"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BellRing Brands, Inc. Restated Certificate of Incorporation (Incorporated by reference to Exhibit 3.1 to the Company’s</w:t>
              </w:r>
            </w:hyperlink>
          </w:p>
        </w:tc>
      </w:tr>
      <w:tr>
        <w:trPr>
          <w:trHeight w:val="156"/>
        </w:trPr>
        <w:tc>
          <w:tcPr>
            <w:tcW w:w="13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Form 8-K filed on January 31, 2025)</w:t>
              </w:r>
            </w:hyperlink>
          </w:p>
        </w:tc>
        <w:tc>
          <w:tcPr>
            <w:tcW w:w="5900" w:type="dxa"/>
            <w:vAlign w:val="bottom"/>
            <w:tcBorders>
              <w:top w:val="single" w:sz="8" w:color="0000FF"/>
            </w:tcBorders>
            <w:gridSpan w:val="6"/>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BellRing Brands, Inc. amended and restated Bylaws (Incorporated by reference to Exhibit 3.2 to the Company’s Form 8-K</w:t>
              </w:r>
            </w:hyperlink>
          </w:p>
        </w:tc>
      </w:tr>
      <w:tr>
        <w:trPr>
          <w:trHeight w:val="155"/>
        </w:trPr>
        <w:tc>
          <w:tcPr>
            <w:tcW w:w="130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filed on January 31, 2025)</w:t>
              </w:r>
            </w:hyperlink>
          </w:p>
        </w:tc>
        <w:tc>
          <w:tcPr>
            <w:tcW w:w="69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1"/>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5"/>
        </w:trPr>
        <w:tc>
          <w:tcPr>
            <w:tcW w:w="130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 dated August 5, 2025</w:t>
            </w:r>
          </w:p>
        </w:tc>
        <w:tc>
          <w:tcPr>
            <w:tcW w:w="63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2002, dated August 5, 2025</w:t>
            </w:r>
          </w:p>
        </w:tc>
        <w:tc>
          <w:tcPr>
            <w:tcW w:w="6880" w:type="dxa"/>
            <w:vAlign w:val="bottom"/>
            <w:tcBorders>
              <w:top w:val="single" w:sz="8" w:color="0000FF"/>
            </w:tcBorders>
            <w:gridSpan w:val="12"/>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5"/>
        </w:trPr>
        <w:tc>
          <w:tcPr>
            <w:tcW w:w="130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 dated August 5, 2025</w:t>
            </w:r>
          </w:p>
        </w:tc>
        <w:tc>
          <w:tcPr>
            <w:tcW w:w="4360" w:type="dxa"/>
            <w:vAlign w:val="bottom"/>
            <w:tcBorders>
              <w:top w:val="single" w:sz="8" w:color="0000FF"/>
            </w:tcBorders>
            <w:gridSpan w:val="4"/>
          </w:tcPr>
          <w:p>
            <w:pPr>
              <w:spacing w:after="0"/>
              <w:rPr>
                <w:sz w:val="13"/>
                <w:szCs w:val="13"/>
                <w:color w:val="auto"/>
              </w:rPr>
            </w:pPr>
          </w:p>
        </w:tc>
        <w:tc>
          <w:tcPr>
            <w:tcW w:w="220" w:type="dxa"/>
            <w:vAlign w:val="bottom"/>
            <w:gridSpan w:val="10"/>
          </w:tcPr>
          <w:p>
            <w:pPr>
              <w:spacing w:after="0"/>
              <w:rPr>
                <w:sz w:val="13"/>
                <w:szCs w:val="13"/>
                <w:color w:val="auto"/>
              </w:rPr>
            </w:pPr>
          </w:p>
        </w:tc>
      </w:tr>
    </w:tbl>
    <w:p>
      <w:pPr>
        <w:spacing w:after="0" w:line="36" w:lineRule="exact"/>
        <w:rPr>
          <w:sz w:val="20"/>
          <w:szCs w:val="20"/>
          <w:color w:val="auto"/>
        </w:rPr>
      </w:pPr>
    </w:p>
    <w:p>
      <w:pPr>
        <w:ind w:left="1320" w:right="1120" w:hanging="900"/>
        <w:spacing w:after="0" w:line="231"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June 30, 2025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120" w:hanging="900"/>
        <w:spacing w:after="0" w:line="234" w:lineRule="auto"/>
        <w:tabs>
          <w:tab w:leader="none" w:pos="13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June 30, 2025,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20"/>
        <w:spacing w:after="0"/>
        <w:tabs>
          <w:tab w:leader="none" w:pos="700" w:val="left"/>
          <w:tab w:leader="none" w:pos="6980" w:val="left"/>
          <w:tab w:leader="none" w:pos="7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4085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Paul A. Rode</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and Treasurer (Principal</w:t>
      </w:r>
    </w:p>
    <w:p>
      <w:pPr>
        <w:ind w:left="746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80"/>
          </w:cols>
          <w:pgMar w:left="320" w:top="121" w:right="39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2025</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2025</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2025,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2025</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8" w:name="page29"/>
    <w:bookmarkEnd w:id="28"/>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2025,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2025</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39" Type="http://schemas.openxmlformats.org/officeDocument/2006/relationships/hyperlink" Target="https://www.sec.gov/Archives/edgar/data/1772016/000119312521308736/d232418dex21.htm" TargetMode="External"/><Relationship Id="rId40" Type="http://schemas.openxmlformats.org/officeDocument/2006/relationships/hyperlink" Target="https://www.sec.gov/Archives/edgar/data/1772016/000119312522055719/d405795dex21.htm" TargetMode="External"/><Relationship Id="rId41" Type="http://schemas.openxmlformats.org/officeDocument/2006/relationships/hyperlink" Target="https://www.sec.gov/Archives/edgar/data/1772016/000119312525018382/d925487dex31.htm" TargetMode="External"/><Relationship Id="rId42" Type="http://schemas.openxmlformats.org/officeDocument/2006/relationships/hyperlink" Target="https://www.sec.gov/Archives/edgar/data/1772016/000119312525018382/d925487dex32.htm" TargetMode="External"/><Relationship Id="rId43"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2025-08-05T11:38:26Z</dcterms:created>
  <dcterms:modified xsi:type="dcterms:W3CDTF">2025-08-05T11:38:26Z</dcterms:modified>
</cp:coreProperties>
</file>