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CORNILLE DOUGLAS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5"/>
        <w:spacing w:after="0"/>
        <w:rPr>
          <w:sz w:val="20"/>
          <w:szCs w:val="20"/>
          <w:color w:val="auto"/>
        </w:rPr>
      </w:pPr>
      <w:r>
        <w:rPr>
          <w:rFonts w:ascii="Arial" w:cs="Arial" w:eastAsia="Arial" w:hAnsi="Arial"/>
          <w:sz w:val="17"/>
          <w:szCs w:val="17"/>
          <w:color w:val="0000FF"/>
        </w:rPr>
        <w:t>Chief Growth Officer</w:t>
      </w:r>
    </w:p>
    <w:p>
      <w:pPr>
        <w:spacing w:after="0" w:line="402" w:lineRule="exact"/>
        <w:rPr>
          <w:sz w:val="24"/>
          <w:szCs w:val="24"/>
          <w:color w:val="auto"/>
        </w:rPr>
      </w:pPr>
    </w:p>
    <w:p>
      <w:pPr>
        <w:sectPr>
          <w:pgSz w:w="11900" w:h="16838" w:orient="portrait"/>
          <w:cols w:equalWidth="0" w:num="3">
            <w:col w:w="3200" w:space="720"/>
            <w:col w:w="3260" w:space="5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ST. LOUIS</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MO</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63144</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Pr>
          <w:p>
            <w:pPr>
              <w:jc w:val="right"/>
              <w:ind w:right="33"/>
              <w:spacing w:after="0"/>
              <w:rPr>
                <w:sz w:val="20"/>
                <w:szCs w:val="20"/>
                <w:color w:val="auto"/>
              </w:rPr>
            </w:pPr>
            <w:r>
              <w:rPr>
                <w:rFonts w:ascii="Arial" w:cs="Arial" w:eastAsia="Arial" w:hAnsi="Arial"/>
                <w:sz w:val="17"/>
                <w:szCs w:val="17"/>
                <w:color w:val="0000FF"/>
              </w:rPr>
              <w:t>15,767</w:t>
            </w:r>
          </w:p>
        </w:tc>
        <w:tc>
          <w:tcPr>
            <w:tcW w:w="640" w:type="dxa"/>
            <w:vAlign w:val="bottom"/>
          </w:tcPr>
          <w:p>
            <w:pPr>
              <w:ind w:left="280"/>
              <w:spacing w:after="0"/>
              <w:rPr>
                <w:sz w:val="20"/>
                <w:szCs w:val="20"/>
                <w:color w:val="auto"/>
              </w:rPr>
            </w:pPr>
            <w:r>
              <w:rPr>
                <w:rFonts w:ascii="Arial" w:cs="Arial" w:eastAsia="Arial" w:hAnsi="Arial"/>
                <w:sz w:val="17"/>
                <w:szCs w:val="17"/>
                <w:color w:val="0000FF"/>
              </w:rPr>
              <w:t>D</w:t>
            </w:r>
          </w:p>
        </w:tc>
        <w:tc>
          <w:tcPr>
            <w:tcW w:w="540" w:type="dxa"/>
            <w:vAlign w:val="bottom"/>
            <w:gridSpan w:val="2"/>
          </w:tcPr>
          <w:p>
            <w:pPr>
              <w:jc w:val="right"/>
              <w:ind w:right="175"/>
              <w:spacing w:after="0"/>
              <w:rPr>
                <w:sz w:val="20"/>
                <w:szCs w:val="20"/>
                <w:color w:val="auto"/>
              </w:rPr>
            </w:pPr>
            <w:r>
              <w:rPr>
                <w:rFonts w:ascii="Arial" w:cs="Arial" w:eastAsia="Arial" w:hAnsi="Arial"/>
                <w:sz w:val="11"/>
                <w:szCs w:val="11"/>
                <w:color w:val="008000"/>
              </w:rPr>
              <w:t>(1)</w:t>
            </w:r>
          </w:p>
        </w:tc>
        <w:tc>
          <w:tcPr>
            <w:tcW w:w="1200" w:type="dxa"/>
            <w:vAlign w:val="bottom"/>
            <w:gridSpan w:val="2"/>
          </w:tcPr>
          <w:p>
            <w:pPr>
              <w:jc w:val="right"/>
              <w:ind w:right="317"/>
              <w:spacing w:after="0"/>
              <w:rPr>
                <w:sz w:val="20"/>
                <w:szCs w:val="20"/>
                <w:color w:val="auto"/>
              </w:rPr>
            </w:pPr>
            <w:r>
              <w:rPr>
                <w:rFonts w:ascii="Arial" w:cs="Arial" w:eastAsia="Arial" w:hAnsi="Arial"/>
                <w:sz w:val="17"/>
                <w:szCs w:val="17"/>
                <w:color w:val="0000FF"/>
              </w:rPr>
              <w:t>31,245</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5"/>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03/10/2022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31,245</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1"/>
                <w:szCs w:val="11"/>
                <w:color w:val="008000"/>
              </w:rPr>
              <w:t>(1)(2)</w:t>
            </w: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517"/>
              <w:spacing w:after="0"/>
              <w:rPr>
                <w:sz w:val="20"/>
                <w:szCs w:val="20"/>
                <w:color w:val="auto"/>
              </w:rPr>
            </w:pPr>
            <w:r>
              <w:rPr>
                <w:rFonts w:ascii="Arial" w:cs="Arial" w:eastAsia="Arial" w:hAnsi="Arial"/>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8" w:lineRule="auto"/>
        <w:tabs>
          <w:tab w:leader="none" w:pos="17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15" w:lineRule="exact"/>
        <w:rPr>
          <w:rFonts w:ascii="Arial" w:cs="Arial" w:eastAsia="Arial" w:hAnsi="Arial"/>
          <w:sz w:val="12"/>
          <w:szCs w:val="12"/>
          <w:color w:val="008000"/>
        </w:rPr>
      </w:pPr>
    </w:p>
    <w:p>
      <w:pPr>
        <w:ind w:left="40" w:right="38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Transactions, unvested restricted stock units of Old BellRing were assumed by New BellRing and continue to be subject to the same terms and conditions of the Old BellRing awards.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Craig L. Rosenthal,</w:t>
            </w:r>
          </w:p>
        </w:tc>
        <w:tc>
          <w:tcPr>
            <w:tcW w:w="5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03/10/2022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179"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2022-03-10T16:00:04Z</dcterms:created>
  <dcterms:modified xsi:type="dcterms:W3CDTF">2022-03-10T16:00:04Z</dcterms:modified>
</cp:coreProperties>
</file>