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-234950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7047865" cy="5418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41845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4"/>
            <w:vMerge w:val="restart"/>
          </w:tcPr>
          <w:p>
            <w:pPr>
              <w:ind w:left="20"/>
              <w:spacing w:after="0"/>
              <w:rPr>
                <w:rFonts w:ascii="Times New Roman" w:cs="Times New Roman" w:eastAsia="Times New Roman" w:hAnsi="Times New Roman"/>
                <w:sz w:val="20"/>
                <w:szCs w:val="20"/>
                <w:color w:val="0000EE"/>
                <w:w w:val="99"/>
              </w:rPr>
            </w:pPr>
            <w:hyperlink r:id="rId12">
              <w:r>
                <w:rPr>
                  <w:rFonts w:ascii="Times New Roman" w:cs="Times New Roman" w:eastAsia="Times New Roman" w:hAnsi="Times New Roman"/>
                  <w:sz w:val="20"/>
                  <w:szCs w:val="20"/>
                  <w:color w:val="0000EE"/>
                  <w:w w:val="99"/>
                </w:rPr>
                <w:t>Nwamu Chonda J</w:t>
              </w:r>
            </w:hyperlink>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300" w:type="dxa"/>
            <w:vAlign w:val="bottom"/>
            <w:gridSpan w:val="8"/>
          </w:tcPr>
          <w:p>
            <w:pPr>
              <w:spacing w:after="0" w:line="102"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BELLRING BRANDS,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BRBR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X</w:t>
            </w:r>
          </w:p>
        </w:tc>
        <w:tc>
          <w:tcPr>
            <w:tcW w:w="4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40" w:type="dxa"/>
            <w:vAlign w:val="bottom"/>
            <w:gridSpan w:val="7"/>
            <w:vMerge w:val="continue"/>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ind w:left="20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C/O BELLRING BRANDS, INC.</w:t>
            </w:r>
          </w:p>
        </w:tc>
        <w:tc>
          <w:tcPr>
            <w:tcW w:w="1100" w:type="dxa"/>
            <w:vAlign w:val="bottom"/>
          </w:tcPr>
          <w:p>
            <w:pPr>
              <w:spacing w:after="0"/>
              <w:rPr>
                <w:sz w:val="18"/>
                <w:szCs w:val="18"/>
                <w:color w:val="auto"/>
              </w:rPr>
            </w:pPr>
          </w:p>
        </w:tc>
        <w:tc>
          <w:tcPr>
            <w:tcW w:w="140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0000FF"/>
              </w:rPr>
              <w:t>03/10/2022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2503 S. HANLEY ROAD</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300" w:type="dxa"/>
            <w:vAlign w:val="bottom"/>
            <w:gridSpan w:val="8"/>
            <w:vMerge w:val="restart"/>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300" w:type="dxa"/>
            <w:vAlign w:val="bottom"/>
            <w:gridSpan w:val="8"/>
            <w:vMerge w:val="continue"/>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4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ST. LOUIS</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MO</w:t>
            </w: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63144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ind w:left="140"/>
              <w:spacing w:after="0" w:line="139"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880" w:type="dxa"/>
            <w:vAlign w:val="bottom"/>
            <w:tcBorders>
              <w:bottom w:val="single" w:sz="8" w:color="2C2C2C"/>
            </w:tcBorders>
            <w:gridSpan w:val="2"/>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9"/>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2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7"/>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980" w:type="dxa"/>
            <w:vAlign w:val="bottom"/>
            <w:gridSpan w:val="7"/>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34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8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6"/>
                <w:szCs w:val="16"/>
                <w:color w:val="0000FF"/>
              </w:rPr>
              <w:t>03/10/2022</w:t>
            </w:r>
          </w:p>
        </w:tc>
        <w:tc>
          <w:tcPr>
            <w:tcW w:w="6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Borders>
              <w:bottom w:val="single" w:sz="8" w:color="2C2C2C"/>
            </w:tcBorders>
            <w:gridSpan w:val="3"/>
          </w:tcPr>
          <w:p>
            <w:pPr>
              <w:jc w:val="right"/>
              <w:ind w:right="243"/>
              <w:spacing w:after="0" w:line="304" w:lineRule="exact"/>
              <w:rPr>
                <w:sz w:val="20"/>
                <w:szCs w:val="20"/>
                <w:color w:val="auto"/>
              </w:rPr>
            </w:pPr>
            <w:r>
              <w:rPr>
                <w:rFonts w:ascii="Times New Roman" w:cs="Times New Roman" w:eastAsia="Times New Roman" w:hAnsi="Times New Roman"/>
                <w:sz w:val="32"/>
                <w:szCs w:val="32"/>
                <w:color w:val="0000FF"/>
                <w:vertAlign w:val="subscript"/>
              </w:rPr>
              <w:t>7,615</w:t>
            </w:r>
            <w:r>
              <w:rPr>
                <w:rFonts w:ascii="Times New Roman" w:cs="Times New Roman" w:eastAsia="Times New Roman" w:hAnsi="Times New Roman"/>
                <w:sz w:val="11"/>
                <w:szCs w:val="11"/>
                <w:color w:val="008000"/>
              </w:rPr>
              <w:t>(1)(2)</w:t>
            </w:r>
          </w:p>
        </w:tc>
        <w:tc>
          <w:tcPr>
            <w:tcW w:w="2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6"/>
                <w:szCs w:val="16"/>
                <w:color w:val="0000FF"/>
              </w:rPr>
              <w:t>7,615</w:t>
            </w:r>
            <w:r>
              <w:rPr>
                <w:rFonts w:ascii="Times New Roman" w:cs="Times New Roman" w:eastAsia="Times New Roman" w:hAnsi="Times New Roman"/>
                <w:sz w:val="21"/>
                <w:szCs w:val="21"/>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8"/>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40" w:type="dxa"/>
            <w:vAlign w:val="bottom"/>
            <w:gridSpan w:val="16"/>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1"/>
                <w:szCs w:val="11"/>
                <w:color w:val="auto"/>
              </w:rPr>
            </w:pP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5"/>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2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BellRing</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Brands,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Inc.</w:t>
            </w:r>
          </w:p>
        </w:tc>
        <w:tc>
          <w:tcPr>
            <w:tcW w:w="5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260" w:type="dxa"/>
            <w:vAlign w:val="bottom"/>
          </w:tcPr>
          <w:p>
            <w:pPr>
              <w:spacing w:after="0"/>
              <w:rPr>
                <w:sz w:val="17"/>
                <w:szCs w:val="17"/>
                <w:color w:val="auto"/>
              </w:rPr>
            </w:pPr>
          </w:p>
        </w:tc>
        <w:tc>
          <w:tcPr>
            <w:tcW w:w="9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0000FF"/>
              </w:rPr>
              <w:t>03/10/2022</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787.063</w:t>
            </w:r>
          </w:p>
        </w:tc>
        <w:tc>
          <w:tcPr>
            <w:tcW w:w="30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787.063</w:t>
            </w:r>
          </w:p>
        </w:tc>
        <w:tc>
          <w:tcPr>
            <w:tcW w:w="6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gridSpan w:val="2"/>
          </w:tcPr>
          <w:p>
            <w:pPr>
              <w:jc w:val="center"/>
              <w:ind w:right="103"/>
              <w:spacing w:after="0" w:line="203" w:lineRule="exact"/>
              <w:rPr>
                <w:sz w:val="20"/>
                <w:szCs w:val="20"/>
                <w:color w:val="auto"/>
              </w:rPr>
            </w:pPr>
            <w:r>
              <w:rPr>
                <w:rFonts w:ascii="Times New Roman" w:cs="Times New Roman" w:eastAsia="Times New Roman" w:hAnsi="Times New Roman"/>
                <w:sz w:val="13"/>
                <w:szCs w:val="13"/>
                <w:color w:val="0000FF"/>
              </w:rPr>
              <w:t>787.063</w:t>
            </w:r>
            <w:r>
              <w:rPr>
                <w:rFonts w:ascii="Times New Roman" w:cs="Times New Roman" w:eastAsia="Times New Roman" w:hAnsi="Times New Roman"/>
                <w:sz w:val="21"/>
                <w:szCs w:val="21"/>
                <w:color w:val="008000"/>
                <w:vertAlign w:val="superscript"/>
              </w:rPr>
              <w:t>(3)</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gridSpan w:val="3"/>
          </w:tcPr>
          <w:p>
            <w:pPr>
              <w:ind w:left="60"/>
              <w:spacing w:after="0" w:line="76" w:lineRule="exact"/>
              <w:rPr>
                <w:sz w:val="20"/>
                <w:szCs w:val="20"/>
                <w:color w:val="auto"/>
              </w:rPr>
            </w:pPr>
            <w:r>
              <w:rPr>
                <w:rFonts w:ascii="Times New Roman" w:cs="Times New Roman" w:eastAsia="Times New Roman" w:hAnsi="Times New Roman"/>
                <w:sz w:val="8"/>
                <w:szCs w:val="8"/>
                <w:color w:val="0000FF"/>
              </w:rPr>
              <w:t>Common</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Equivalents</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BellRing</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Brands,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Inc.</w:t>
            </w:r>
          </w:p>
        </w:tc>
        <w:tc>
          <w:tcPr>
            <w:tcW w:w="5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260" w:type="dxa"/>
            <w:vAlign w:val="bottom"/>
          </w:tcPr>
          <w:p>
            <w:pPr>
              <w:spacing w:after="0"/>
              <w:rPr>
                <w:sz w:val="16"/>
                <w:szCs w:val="16"/>
                <w:color w:val="auto"/>
              </w:rPr>
            </w:pPr>
          </w:p>
        </w:tc>
        <w:tc>
          <w:tcPr>
            <w:tcW w:w="9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0000FF"/>
              </w:rPr>
              <w:t>04/01/2022</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487.435</w:t>
            </w:r>
          </w:p>
        </w:tc>
        <w:tc>
          <w:tcPr>
            <w:tcW w:w="300" w:type="dxa"/>
            <w:vAlign w:val="bottom"/>
          </w:tcPr>
          <w:p>
            <w:pPr>
              <w:spacing w:after="0"/>
              <w:rPr>
                <w:sz w:val="16"/>
                <w:szCs w:val="16"/>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487.435</w:t>
            </w:r>
          </w:p>
        </w:tc>
        <w:tc>
          <w:tcPr>
            <w:tcW w:w="60" w:type="dxa"/>
            <w:vAlign w:val="bottom"/>
          </w:tcPr>
          <w:p>
            <w:pPr>
              <w:spacing w:after="0"/>
              <w:rPr>
                <w:sz w:val="16"/>
                <w:szCs w:val="16"/>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23.08</w:t>
            </w:r>
          </w:p>
        </w:tc>
        <w:tc>
          <w:tcPr>
            <w:tcW w:w="880" w:type="dxa"/>
            <w:vAlign w:val="bottom"/>
            <w:gridSpan w:val="2"/>
          </w:tcPr>
          <w:p>
            <w:pPr>
              <w:jc w:val="right"/>
              <w:ind w:right="143"/>
              <w:spacing w:after="0"/>
              <w:rPr>
                <w:sz w:val="20"/>
                <w:szCs w:val="20"/>
                <w:color w:val="auto"/>
              </w:rPr>
            </w:pPr>
            <w:r>
              <w:rPr>
                <w:rFonts w:ascii="Times New Roman" w:cs="Times New Roman" w:eastAsia="Times New Roman" w:hAnsi="Times New Roman"/>
                <w:sz w:val="13"/>
                <w:szCs w:val="13"/>
                <w:color w:val="0000FF"/>
              </w:rPr>
              <w:t>1,274.498</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3"/>
          </w:tcPr>
          <w:p>
            <w:pPr>
              <w:ind w:left="60"/>
              <w:spacing w:after="0" w:line="103" w:lineRule="exact"/>
              <w:rPr>
                <w:sz w:val="20"/>
                <w:szCs w:val="20"/>
                <w:color w:val="auto"/>
              </w:rPr>
            </w:pPr>
            <w:r>
              <w:rPr>
                <w:rFonts w:ascii="Times New Roman" w:cs="Times New Roman" w:eastAsia="Times New Roman" w:hAnsi="Times New Roman"/>
                <w:sz w:val="11"/>
                <w:szCs w:val="11"/>
                <w:color w:val="0000FF"/>
              </w:rPr>
              <w:t>Common</w:t>
            </w: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ind w:left="16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23" w:lineRule="auto"/>
        <w:rPr>
          <w:sz w:val="20"/>
          <w:szCs w:val="20"/>
          <w:color w:val="auto"/>
        </w:rPr>
      </w:pPr>
      <w:r>
        <w:rPr>
          <w:rFonts w:ascii="Times New Roman" w:cs="Times New Roman" w:eastAsia="Times New Roman" w:hAnsi="Times New Roman"/>
          <w:sz w:val="13"/>
          <w:szCs w:val="13"/>
          <w:color w:val="0000FF"/>
        </w:rPr>
        <w:t>Stock</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Equivalents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320" w:hanging="1"/>
        <w:spacing w:after="0" w:line="234"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acquired 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Such securities were originally included on the Form 3 filed by the Reporting Person on March 10, 2022.</w:t>
      </w:r>
    </w:p>
    <w:p>
      <w:pPr>
        <w:spacing w:after="0" w:line="25" w:lineRule="exact"/>
        <w:rPr>
          <w:rFonts w:ascii="Times New Roman" w:cs="Times New Roman" w:eastAsia="Times New Roman" w:hAnsi="Times New Roman"/>
          <w:sz w:val="13"/>
          <w:szCs w:val="13"/>
          <w:color w:val="008000"/>
        </w:rPr>
      </w:pPr>
    </w:p>
    <w:p>
      <w:pPr>
        <w:ind w:left="40" w:right="30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restricted stock units ("RSUs"), which awards continue to be subject to the same terms and conditions of the Old BellRing awards. In connection with the Transactions, unvested RSUs of Old BellRing were assumed by Issuer and continue to be subject to the same terms and conditions of the Old BellRing awards.</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equity awards may be adjusted to account for the Cash Consideration paid to holders of Old Bell Ring common stock in the Transactions.</w:t>
      </w:r>
    </w:p>
    <w:p>
      <w:pPr>
        <w:spacing w:after="0" w:line="40" w:lineRule="exact"/>
        <w:rPr>
          <w:rFonts w:ascii="Times New Roman" w:cs="Times New Roman" w:eastAsia="Times New Roman" w:hAnsi="Times New Roman"/>
          <w:sz w:val="13"/>
          <w:szCs w:val="13"/>
          <w:color w:val="008000"/>
        </w:rPr>
      </w:pPr>
    </w:p>
    <w:p>
      <w:pPr>
        <w:jc w:val="both"/>
        <w:ind w:left="40" w:right="2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Person's retainer earned as a Director of Issuer is deferred into Issuer Common Stock equivalents under the Issuer's Deferred Compensation Plan for Directors. Reporting Person is credited with stock equivalents on a quarterly basis as soon as administratively practical following the quarter in which such retainer is earned. The value of these stock equivalents is distributed (on a one-for-one basis) in the form of Issuer Common Stock upon Reporting Person's retirement from the Board of Directors.</w:t>
      </w:r>
    </w:p>
    <w:p>
      <w:pPr>
        <w:spacing w:after="0" w:line="26"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equivalents have no fixed exercisable or expiration dates.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Craig L. Rosenthal,</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04/05/2022</w:t>
            </w:r>
          </w:p>
        </w:tc>
        <w:tc>
          <w:tcPr>
            <w:tcW w:w="0" w:type="dxa"/>
            <w:vAlign w:val="bottom"/>
          </w:tcPr>
          <w:p>
            <w:pPr>
              <w:spacing w:after="0"/>
              <w:rPr>
                <w:sz w:val="1"/>
                <w:szCs w:val="1"/>
                <w:color w:val="auto"/>
              </w:rPr>
            </w:pPr>
          </w:p>
        </w:tc>
      </w:tr>
      <w:tr>
        <w:trPr>
          <w:trHeight w:val="86"/>
        </w:trPr>
        <w:tc>
          <w:tcPr>
            <w:tcW w:w="1480" w:type="dxa"/>
            <w:vAlign w:val="bottom"/>
            <w:tcBorders>
              <w:top w:val="single" w:sz="8" w:color="auto"/>
              <w:bottom w:val="single" w:sz="8" w:color="auto"/>
            </w:tcBorders>
            <w:gridSpan w:val="2"/>
            <w:vMerge w:val="restart"/>
          </w:tcPr>
          <w:p>
            <w:pPr>
              <w:spacing w:after="0" w:line="183" w:lineRule="exact"/>
              <w:rPr>
                <w:sz w:val="20"/>
                <w:szCs w:val="20"/>
                <w:color w:val="auto"/>
              </w:rPr>
            </w:pPr>
            <w:r>
              <w:rPr>
                <w:rFonts w:ascii="Times New Roman" w:cs="Times New Roman" w:eastAsia="Times New Roman" w:hAnsi="Times New Roman"/>
                <w:sz w:val="16"/>
                <w:szCs w:val="16"/>
                <w:color w:val="0000FF"/>
              </w:rPr>
              <w:t>Attorney-in-Fact</w:t>
            </w:r>
          </w:p>
        </w:tc>
        <w:tc>
          <w:tcPr>
            <w:tcW w:w="7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4398"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2022-04-05T16:32:57Z</dcterms:created>
  <dcterms:modified xsi:type="dcterms:W3CDTF">2022-04-05T16:32:57Z</dcterms:modified>
</cp:coreProperties>
</file>