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02"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-177800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7" w:lineRule="exact"/>
        <w:rPr>
          <w:sz w:val="24"/>
          <w:szCs w:val="24"/>
          <w:color w:val="auto"/>
        </w:rPr>
      </w:pPr>
    </w:p>
    <w:p>
      <w:pPr>
        <w:jc w:val="center"/>
        <w:ind w:left="4080" w:right="1560" w:hanging="2516"/>
        <w:spacing w:after="0" w:line="246" w:lineRule="auto"/>
        <w:tabs>
          <w:tab w:leader="none" w:pos="1779"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2020</w:t>
      </w: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 w:lineRule="exact"/>
        <w:rPr>
          <w:rFonts w:ascii="MS PGothic" w:cs="MS PGothic" w:eastAsia="MS PGothic" w:hAnsi="MS PGothic"/>
          <w:sz w:val="18"/>
          <w:szCs w:val="18"/>
          <w:color w:val="auto"/>
        </w:rPr>
      </w:pPr>
    </w:p>
    <w:p>
      <w:pPr>
        <w:ind w:left="1600" w:hanging="200"/>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12065</wp:posOffset>
            </wp:positionV>
            <wp:extent cx="136271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BellRing Brands,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34"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83-4096323</w:t>
      </w:r>
    </w:p>
    <w:p>
      <w:pPr>
        <w:spacing w:after="0" w:line="50" w:lineRule="exact"/>
        <w:rPr>
          <w:sz w:val="24"/>
          <w:szCs w:val="24"/>
          <w:color w:val="auto"/>
        </w:rPr>
      </w:pPr>
    </w:p>
    <w:p>
      <w:pPr>
        <w:sectPr>
          <w:pgSz w:w="11900" w:h="16838" w:orient="portrait"/>
          <w:cols w:equalWidth="0" w:num="2">
            <w:col w:w="7120" w:space="720"/>
            <w:col w:w="3400"/>
          </w:cols>
          <w:pgMar w:left="320" w:top="233" w:right="33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25" w:lineRule="exact"/>
        <w:rPr>
          <w:sz w:val="24"/>
          <w:szCs w:val="24"/>
          <w:color w:val="auto"/>
        </w:rPr>
      </w:pPr>
    </w:p>
    <w:p>
      <w:pPr>
        <w:sectPr>
          <w:pgSz w:w="11900" w:h="16838" w:orient="portrait"/>
          <w:cols w:equalWidth="0" w:num="2">
            <w:col w:w="6460" w:space="720"/>
            <w:col w:w="4060"/>
          </w:cols>
          <w:pgMar w:left="320" w:top="233"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2503 S. Hanley Road St. Louis, Missouri 63144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60"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(314) 644-7600</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3460" w:type="dxa"/>
            <w:vAlign w:val="bottom"/>
            <w:gridSpan w:val="2"/>
          </w:tcPr>
          <w:p>
            <w:pPr>
              <w:jc w:val="center"/>
              <w:ind w:right="2300"/>
              <w:spacing w:after="0"/>
              <w:rPr>
                <w:sz w:val="20"/>
                <w:szCs w:val="20"/>
                <w:color w:val="auto"/>
              </w:rPr>
            </w:pPr>
            <w:r>
              <w:rPr>
                <w:rFonts w:ascii="Arial" w:cs="Arial" w:eastAsia="Arial" w:hAnsi="Arial"/>
                <w:sz w:val="16"/>
                <w:szCs w:val="16"/>
                <w:color w:val="auto"/>
                <w:w w:val="90"/>
              </w:rPr>
              <w:t>Title of each class</w:t>
            </w:r>
          </w:p>
        </w:tc>
        <w:tc>
          <w:tcPr>
            <w:tcW w:w="2680" w:type="dxa"/>
            <w:vAlign w:val="bottom"/>
            <w:gridSpan w:val="2"/>
          </w:tcPr>
          <w:p>
            <w:pPr>
              <w:jc w:val="center"/>
              <w:ind w:right="1460"/>
              <w:spacing w:after="0"/>
              <w:rPr>
                <w:sz w:val="20"/>
                <w:szCs w:val="20"/>
                <w:color w:val="auto"/>
              </w:rPr>
            </w:pPr>
            <w:r>
              <w:rPr>
                <w:rFonts w:ascii="Arial" w:cs="Arial" w:eastAsia="Arial" w:hAnsi="Arial"/>
                <w:sz w:val="16"/>
                <w:szCs w:val="16"/>
                <w:color w:val="auto"/>
                <w:w w:val="93"/>
              </w:rPr>
              <w:t>Trading Symbol(s)</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50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0"/>
              </w:rPr>
              <w:t>Class A Common Stock, $0.01 par value</w:t>
            </w:r>
          </w:p>
        </w:tc>
        <w:tc>
          <w:tcPr>
            <w:tcW w:w="2680" w:type="dxa"/>
            <w:vAlign w:val="bottom"/>
            <w:gridSpan w:val="2"/>
          </w:tcPr>
          <w:p>
            <w:pPr>
              <w:jc w:val="center"/>
              <w:ind w:right="1440"/>
              <w:spacing w:after="0"/>
              <w:rPr>
                <w:sz w:val="20"/>
                <w:szCs w:val="20"/>
                <w:color w:val="auto"/>
              </w:rPr>
            </w:pPr>
            <w:r>
              <w:rPr>
                <w:rFonts w:ascii="Arial" w:cs="Arial" w:eastAsia="Arial" w:hAnsi="Arial"/>
                <w:sz w:val="16"/>
                <w:szCs w:val="16"/>
                <w:b w:val="1"/>
                <w:bCs w:val="1"/>
                <w:color w:val="auto"/>
                <w:w w:val="95"/>
              </w:rPr>
              <w:t>BRBR</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6"/>
        </w:trPr>
        <w:tc>
          <w:tcPr>
            <w:tcW w:w="5000" w:type="dxa"/>
            <w:vAlign w:val="bottom"/>
            <w:gridSpan w:val="3"/>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80" w:type="dxa"/>
            <w:vAlign w:val="bottom"/>
          </w:tcPr>
          <w:p>
            <w:pPr>
              <w:spacing w:after="0"/>
              <w:rPr>
                <w:sz w:val="22"/>
                <w:szCs w:val="22"/>
                <w:color w:val="auto"/>
              </w:rPr>
            </w:pPr>
          </w:p>
        </w:tc>
      </w:tr>
    </w:tbl>
    <w:p>
      <w:pPr>
        <w:spacing w:after="0" w:line="61" w:lineRule="exact"/>
        <w:rPr>
          <w:sz w:val="24"/>
          <w:szCs w:val="24"/>
          <w:color w:val="auto"/>
        </w:rPr>
      </w:pPr>
    </w:p>
    <w:p>
      <w:pPr>
        <w:ind w:right="260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The aggregate market value of the registrant’s Class A Common Stock held by non-affiliates of the registrant as of March 31, 2020, the last business day of the registrant’s most recently completed second fiscal quarter, was $672,257,136</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Class A Common Stock, $0.01 par value outstanding as of November 16, 2020: 39,428,571</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Class B Common Stock, $0.01 par value outstanding as of November 16, 2020: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2021 annual meeting of stockholders, to be filed with the Securities and Exchange Commission within 120 days after September 30,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60" w:type="dxa"/>
            <w:vAlign w:val="bottom"/>
          </w:tcPr>
          <w:p>
            <w:pPr>
              <w:spacing w:after="0"/>
              <w:rPr>
                <w:sz w:val="17"/>
                <w:szCs w:val="17"/>
                <w:color w:val="auto"/>
              </w:rPr>
            </w:pPr>
          </w:p>
        </w:tc>
      </w:tr>
      <w:tr>
        <w:trPr>
          <w:trHeight w:val="831"/>
        </w:trPr>
        <w:tc>
          <w:tcPr>
            <w:tcW w:w="1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70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24"/>
                <w:szCs w:val="24"/>
                <w:color w:val="auto"/>
              </w:rPr>
            </w:pPr>
          </w:p>
        </w:tc>
      </w:tr>
      <w:tr>
        <w:trPr>
          <w:trHeight w:val="135"/>
        </w:trPr>
        <w:tc>
          <w:tcPr>
            <w:tcW w:w="1280" w:type="dxa"/>
            <w:vAlign w:val="bottom"/>
            <w:gridSpan w:val="2"/>
          </w:tcPr>
          <w:p>
            <w:pPr>
              <w:spacing w:after="0"/>
              <w:rPr>
                <w:sz w:val="11"/>
                <w:szCs w:val="11"/>
                <w:color w:val="auto"/>
              </w:rPr>
            </w:pPr>
          </w:p>
        </w:tc>
        <w:tc>
          <w:tcPr>
            <w:tcW w:w="87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30"/>
        </w:trPr>
        <w:tc>
          <w:tcPr>
            <w:tcW w:w="998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Cautionary Statement on Forward-Looking Statements</w:t>
              </w:r>
            </w:hyperlink>
          </w:p>
        </w:tc>
        <w:tc>
          <w:tcPr>
            <w:tcW w:w="1260" w:type="dxa"/>
            <w:vAlign w:val="bottom"/>
            <w:shd w:val="clear" w:color="auto" w:fill="CCEEFF"/>
          </w:tcPr>
          <w:p>
            <w:pPr>
              <w:jc w:val="center"/>
              <w:ind w:left="370"/>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1</w:t>
              </w:r>
            </w:hyperlink>
          </w:p>
        </w:tc>
      </w:tr>
      <w:tr>
        <w:trPr>
          <w:trHeight w:val="229"/>
        </w:trPr>
        <w:tc>
          <w:tcPr>
            <w:tcW w:w="9980" w:type="dxa"/>
            <w:vAlign w:val="bottom"/>
            <w:gridSpan w:val="3"/>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Summary of Risk Factors</w:t>
              </w:r>
            </w:hyperlink>
          </w:p>
        </w:tc>
        <w:tc>
          <w:tcPr>
            <w:tcW w:w="1260" w:type="dxa"/>
            <w:vAlign w:val="bottom"/>
          </w:tcPr>
          <w:p>
            <w:pPr>
              <w:jc w:val="center"/>
              <w:ind w:left="37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3</w:t>
              </w:r>
            </w:hyperlink>
          </w:p>
        </w:tc>
      </w:tr>
      <w:tr>
        <w:trPr>
          <w:trHeight w:val="257"/>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7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0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1260" w:type="dxa"/>
            <w:vAlign w:val="bottom"/>
          </w:tcPr>
          <w:p>
            <w:pPr>
              <w:spacing w:after="0"/>
              <w:rPr>
                <w:sz w:val="19"/>
                <w:szCs w:val="19"/>
                <w:color w:val="auto"/>
              </w:rPr>
            </w:pPr>
          </w:p>
        </w:tc>
      </w:tr>
      <w:tr>
        <w:trPr>
          <w:trHeight w:val="257"/>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7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1260" w:type="dxa"/>
            <w:vAlign w:val="bottom"/>
          </w:tcPr>
          <w:p>
            <w:pPr>
              <w:jc w:val="center"/>
              <w:ind w:left="37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5</w:t>
              </w:r>
            </w:hyperlink>
          </w:p>
        </w:tc>
      </w:tr>
      <w:tr>
        <w:trPr>
          <w:trHeight w:val="229"/>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Item 1A.</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Risk Factors</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14">
              <w:r>
                <w:rPr>
                  <w:rFonts w:ascii="Arial" w:cs="Arial" w:eastAsia="Arial" w:hAnsi="Arial"/>
                  <w:sz w:val="18"/>
                  <w:szCs w:val="18"/>
                  <w:u w:val="single" w:color="auto"/>
                  <w:color w:val="0000FF"/>
                  <w:w w:val="89"/>
                </w:rPr>
                <w:t>13</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1B.</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Unresolved Staff Comments</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r>
      <w:tr>
        <w:trPr>
          <w:trHeight w:val="230"/>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Properties</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3.</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Legal Proceedings</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r>
      <w:tr>
        <w:trPr>
          <w:trHeight w:val="229"/>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4.</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Mine Safety Disclosures</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r>
      <w:tr>
        <w:trPr>
          <w:trHeight w:val="257"/>
        </w:trPr>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7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PART II</w:t>
            </w:r>
          </w:p>
        </w:tc>
        <w:tc>
          <w:tcPr>
            <w:tcW w:w="1260" w:type="dxa"/>
            <w:vAlign w:val="bottom"/>
            <w:shd w:val="clear" w:color="auto" w:fill="CCEEFF"/>
          </w:tcPr>
          <w:p>
            <w:pPr>
              <w:spacing w:after="0"/>
              <w:rPr>
                <w:sz w:val="19"/>
                <w:szCs w:val="19"/>
                <w:color w:val="auto"/>
              </w:rPr>
            </w:pPr>
          </w:p>
        </w:tc>
      </w:tr>
      <w:tr>
        <w:trPr>
          <w:trHeight w:val="256"/>
        </w:trPr>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7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5.</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w w:val="99"/>
              </w:rPr>
            </w:pPr>
            <w:hyperlink w:anchor="page37">
              <w:r>
                <w:rPr>
                  <w:rFonts w:ascii="Arial" w:cs="Arial" w:eastAsia="Arial" w:hAnsi="Arial"/>
                  <w:sz w:val="18"/>
                  <w:szCs w:val="18"/>
                  <w:u w:val="single" w:color="auto"/>
                  <w:color w:val="0000FF"/>
                  <w:w w:val="99"/>
                </w:rPr>
                <w:t>Market for Registrant’s Common Equity, Related Stockholder Matters and Issuer Purchases of Equity Securities</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35</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6.</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Selected Financial Data</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37</w:t>
              </w:r>
            </w:hyperlink>
          </w:p>
        </w:tc>
      </w:tr>
      <w:tr>
        <w:trPr>
          <w:trHeight w:val="230"/>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7.</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39</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7A.</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Quantitative and Qualitative Disclosures About Market Risk</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48</w:t>
              </w:r>
            </w:hyperlink>
          </w:p>
        </w:tc>
      </w:tr>
      <w:tr>
        <w:trPr>
          <w:trHeight w:val="229"/>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8.</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Financial Statements and Supplementary Data</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9.</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Changes in and Disagreements With Accountants on Accounting and Financial Disclosure</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76</w:t>
              </w:r>
            </w:hyperlink>
          </w:p>
        </w:tc>
      </w:tr>
      <w:tr>
        <w:trPr>
          <w:trHeight w:val="229"/>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9A.</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Controls and Procedures</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77</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9B.</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Other Information</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77</w:t>
              </w:r>
            </w:hyperlink>
          </w:p>
        </w:tc>
      </w:tr>
      <w:tr>
        <w:trPr>
          <w:trHeight w:val="257"/>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7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0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1260" w:type="dxa"/>
            <w:vAlign w:val="bottom"/>
          </w:tcPr>
          <w:p>
            <w:pPr>
              <w:spacing w:after="0"/>
              <w:rPr>
                <w:sz w:val="19"/>
                <w:szCs w:val="19"/>
                <w:color w:val="auto"/>
              </w:rPr>
            </w:pPr>
          </w:p>
        </w:tc>
      </w:tr>
      <w:tr>
        <w:trPr>
          <w:trHeight w:val="257"/>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7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10.</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Directors, Executive Officers and Corporate Governance</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78</w:t>
              </w:r>
            </w:hyperlink>
          </w:p>
        </w:tc>
      </w:tr>
      <w:tr>
        <w:trPr>
          <w:trHeight w:val="230"/>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11.</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Executive Compensation</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78</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12.</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Security Ownership of Certain Beneficial Owners and Management and Related Stockholder Matters</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78</w:t>
              </w:r>
            </w:hyperlink>
          </w:p>
        </w:tc>
      </w:tr>
      <w:tr>
        <w:trPr>
          <w:trHeight w:val="230"/>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13.</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Certain Relationships and Related Transactions, and Director Independence</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78</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14.</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Principal Accountant Fees and Services</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78</w:t>
              </w:r>
            </w:hyperlink>
          </w:p>
        </w:tc>
      </w:tr>
      <w:tr>
        <w:trPr>
          <w:trHeight w:val="257"/>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7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00" w:type="dxa"/>
            <w:vAlign w:val="bottom"/>
          </w:tcPr>
          <w:p>
            <w:pPr>
              <w:jc w:val="center"/>
              <w:spacing w:after="0"/>
              <w:rPr>
                <w:sz w:val="20"/>
                <w:szCs w:val="20"/>
                <w:color w:val="auto"/>
              </w:rPr>
            </w:pPr>
            <w:r>
              <w:rPr>
                <w:rFonts w:ascii="Arial" w:cs="Arial" w:eastAsia="Arial" w:hAnsi="Arial"/>
                <w:sz w:val="18"/>
                <w:szCs w:val="18"/>
                <w:b w:val="1"/>
                <w:bCs w:val="1"/>
                <w:color w:val="auto"/>
              </w:rPr>
              <w:t>PART IV</w:t>
            </w:r>
          </w:p>
        </w:tc>
        <w:tc>
          <w:tcPr>
            <w:tcW w:w="1260" w:type="dxa"/>
            <w:vAlign w:val="bottom"/>
          </w:tcPr>
          <w:p>
            <w:pPr>
              <w:spacing w:after="0"/>
              <w:rPr>
                <w:sz w:val="19"/>
                <w:szCs w:val="19"/>
                <w:color w:val="auto"/>
              </w:rPr>
            </w:pPr>
          </w:p>
        </w:tc>
      </w:tr>
      <w:tr>
        <w:trPr>
          <w:trHeight w:val="256"/>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7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15.</w:t>
              </w:r>
            </w:hyperlink>
          </w:p>
        </w:tc>
        <w:tc>
          <w:tcPr>
            <w:tcW w:w="8840" w:type="dxa"/>
            <w:vAlign w:val="bottom"/>
            <w:gridSpan w:val="2"/>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Exhibits and Financial Statement Schedules</w:t>
              </w:r>
            </w:hyperlink>
          </w:p>
        </w:tc>
        <w:tc>
          <w:tcPr>
            <w:tcW w:w="1260" w:type="dxa"/>
            <w:vAlign w:val="bottom"/>
          </w:tcPr>
          <w:p>
            <w:pPr>
              <w:jc w:val="center"/>
              <w:ind w:left="390"/>
              <w:spacing w:after="0"/>
              <w:rPr>
                <w:rFonts w:ascii="Arial" w:cs="Arial" w:eastAsia="Arial" w:hAnsi="Arial"/>
                <w:sz w:val="18"/>
                <w:szCs w:val="18"/>
                <w:u w:val="single" w:color="auto"/>
                <w:color w:val="0000FF"/>
                <w:w w:val="89"/>
              </w:rPr>
            </w:pPr>
            <w:hyperlink w:anchor="page81">
              <w:r>
                <w:rPr>
                  <w:rFonts w:ascii="Arial" w:cs="Arial" w:eastAsia="Arial" w:hAnsi="Arial"/>
                  <w:sz w:val="18"/>
                  <w:szCs w:val="18"/>
                  <w:u w:val="single" w:color="auto"/>
                  <w:color w:val="0000FF"/>
                  <w:w w:val="89"/>
                </w:rPr>
                <w:t>80</w:t>
              </w:r>
            </w:hyperlink>
          </w:p>
        </w:tc>
      </w:tr>
      <w:tr>
        <w:trPr>
          <w:trHeight w:val="230"/>
        </w:trPr>
        <w:tc>
          <w:tcPr>
            <w:tcW w:w="1140" w:type="dxa"/>
            <w:vAlign w:val="bottom"/>
            <w:shd w:val="clear" w:color="auto" w:fill="CCEEFF"/>
          </w:tcPr>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16.</w:t>
              </w:r>
            </w:hyperlink>
          </w:p>
        </w:tc>
        <w:tc>
          <w:tcPr>
            <w:tcW w:w="8840" w:type="dxa"/>
            <w:vAlign w:val="bottom"/>
            <w:gridSpan w:val="2"/>
            <w:shd w:val="clear" w:color="auto" w:fill="CCEEFF"/>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Form 10-K Summary</w:t>
              </w:r>
            </w:hyperlink>
          </w:p>
        </w:tc>
        <w:tc>
          <w:tcPr>
            <w:tcW w:w="1260" w:type="dxa"/>
            <w:vAlign w:val="bottom"/>
            <w:shd w:val="clear" w:color="auto" w:fill="CCEEFF"/>
          </w:tcPr>
          <w:p>
            <w:pPr>
              <w:jc w:val="center"/>
              <w:ind w:left="390"/>
              <w:spacing w:after="0"/>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81</w:t>
              </w:r>
            </w:hyperlink>
          </w:p>
        </w:tc>
      </w:tr>
      <w:tr>
        <w:trPr>
          <w:trHeight w:val="189"/>
        </w:trPr>
        <w:tc>
          <w:tcPr>
            <w:tcW w:w="1140" w:type="dxa"/>
            <w:vAlign w:val="bottom"/>
          </w:tcPr>
          <w:p>
            <w:pPr>
              <w:spacing w:after="0"/>
              <w:rPr>
                <w:sz w:val="16"/>
                <w:szCs w:val="16"/>
                <w:color w:val="auto"/>
              </w:rPr>
            </w:pPr>
          </w:p>
        </w:tc>
        <w:tc>
          <w:tcPr>
            <w:tcW w:w="8840" w:type="dxa"/>
            <w:vAlign w:val="bottom"/>
            <w:gridSpan w:val="2"/>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1260" w:type="dxa"/>
            <w:vAlign w:val="bottom"/>
          </w:tcPr>
          <w:p>
            <w:pPr>
              <w:jc w:val="center"/>
              <w:ind w:left="390"/>
              <w:spacing w:after="0" w:line="189" w:lineRule="exact"/>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82</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Forward-looking statements, within the meaning of Section 27A of the Securities Act of 1933, as amended and Section 21E of the Securities Exchange Act of 1934, as amended, are made throughout this report including statements regarding the effect of the COVID-19 pandemic on our business and our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4" w:lineRule="exact"/>
        <w:rPr>
          <w:sz w:val="20"/>
          <w:szCs w:val="20"/>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manufacturers to manufacture and deliver our products, operating costs, demand for our on-the-go products and our operations generally;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sales from our ready-to-drink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significant volatility in the cost or availability of inputs to our business (including freight, raw materials, packaging energy and other supplies);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changes in weather conditions, natural disasters, agricultural diseases and pests and other events beyond our control;</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allegations that our products cause injury or illness, product recalls and withdrawals and product liability claims and other litigation;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and labeling;</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United States (“U.S.”) and global capital and credit markets, changes in interest rates, volatility in the market value of derivatives and fluctuations in foreign currency exchange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Holdings, Inc. (“Post”), including Post’s control over us;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control the direction of our business, conflicts of interest or disputes that may arise between Post and us and our obligations under various agreements with Post, including under the tax receivable agreement;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public company status, including the additional expenses we will continue to incur to create and maintain the corporate infrastructure to operate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Item 1A of this report.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 investment in our Class A common stock, $0.01 par value per share (the “Class A Common Stock”), involves a high degree of risk. You should carefully consider the risks summarized in Item 1A, “Risk Factors” included in this report. These risks include, but are not limited to, the following:</w:t>
      </w:r>
    </w:p>
    <w:p>
      <w:pPr>
        <w:spacing w:after="0" w:line="367"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negatively impacted and is expected to continue to negatively impact the global economy and capital markets. In addition, the COVID-19 pandemic has and we expect it to continue to impact our financial and operational performance.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dependent on a limited number of third party contract manufacturers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behaviors and develop and offer products to meet these preferences.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of our supply chain, including as a result of the COVID-19 pandemic, and changes in weather conditions could have an adverse effect on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Consolidation in our distribution channels, and competitive, economic and other pressures facing our customers, may hurt our profit margins.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and profit growth are dependent upon 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effectively manage our growth, which could materially harm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pursue acquisitions or other strategic transactions, we may not be able to successfully consummate favorable transactions or successfully integrate acquired businesses.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 may have an adverse impact on our financial condition, results of operations and cash flows.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 significant reduction of purchases by or bankruptcy of a major customer may adversely affect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downturns could limit consumer and customer demand for our products.</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significant debt and high leverage, which could have a negative impact on our financing options and liquidity position and could adversely affect our business.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Despite our level of indebtedness, we may be able to incur substantially more debt, which could further exacerbate the risks described above, and we may in any event be required to maintain a minimum level of indebtedness.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service indebtedness and fund other cash needs, we will require a significant amount of cash, and our ability to generate cash depends on many factors beyond our control.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 controls our Company and has the ability to control the direction of our business.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could prevent us from benefiting from corporate opportunities that might otherwise have been available to us.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preserve the ability of Post to distribute its beneficial retained interest in BellRing Brands, LLC (“BellRing LLC”) on a tax-free basis, we may be prevented from pursuing opportunities to raise capital, to effectuate acquisitions or to provide equity incentives to our employees, which could hurt our ability to grow.</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agreements with Post require us to indemnify Post for certain tax liabilities.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with Post and BellRing LLC requires us to make cash payments to Post for certain tax benefits we may realize in the future, and these payments could be substantial.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be reimbursed for any payments made to Post under the tax receivable agreement in the event that any tax benefits are disallowed.</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sales or distributions of shares of our Class A Common Stock by Post could depress our Class A Common Stock price, impact our operations or result in a change in control of us.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as a separate public company, and our historical financial information is not necessarily representative of the results we will achieve as a separate public company and may not be a reliable indicator of our future results.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expect to declare or pay any dividends on our Class A Common Stock for the foreseeable future.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BellRing Inc.’s only material asset is its interest in BellRing LLC, and accordingly, BellRing Inc. depends on distributions from BellRing LLC to pay taxes and expenses, including payments under the tax receivable agreement. BellRing LLC’s ability to make such distributions may be subject to various limitations and restrictions.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BellRing Inc. received net proceeds from the IPO of approximately $524.4 million, after deducting underwriting discounts and commissions, all of which were contributed to BellRing Brands, LLC, a Delaware limited liability company and BellRing Inc.’s subsidiary (“BellRing LLC”), in exchange for 39.4 million BellRing LLC non-voting membership units (the “BellRing LLC units”). For additional information regarding our history and our organizational structure following the IPO, see “Our History” and “Our Organizational Structure” below in this section.</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Unless otherwise indicated or the context otherwise requires, all references in this report to “BellRing,” “we,” “our,” “us,” “the Company” and “our Company” refer to (1) after the completion of our IPO, BellRing Inc. and its subsidiaries, including BellRing LLC, Premier Nutrition Company, LLC (“Premier Nutrition”), Dymatize Enterprises, LLC (“Dymatize”), Supreme Protein,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 (“Active Nutrition International”), and (2) prior to the completion of our IPO, the active nutrition business of Post Holdings, Inc. (“Post”), which, effective as of Post’s quarter ended June 30, 2015, had been comprised of the operations and business of Premier Nutrition, Dymatize, Supreme Protein, LLC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included Active Nutrition International, and all references in this report to BellRing Inc. or BellRing LLC refer only to such particular entity.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COVID-19 pandemic has caused and continues to cause global economic disruption and uncertainty, including in our business. We are closely monitoring the impact of the COVID-19 pandemic and developments related thereto, including the rising number of cases in the United States, and are taking necessary actions to safeguard the health of our employees, including their economic health, maintain the continuity of our supply chain to serve customers and consumers and preserve financial liquidity to navigate the uncertainty caused by the pandemic. However, we are unable to accurately predict the future impact that the COVID-19 pandemic will have due to various uncertainties, including the ultimate geographic spread of the virus, the severity of the virus, the duration of the outbreak and actions that may be taken by governmental authorities. For discussion regarding the impact of COVID-19 on our business and financial results, see “Market Demand” below, “Management’s Discussion and Analysis of Financial Condition and Results of Operations” in Item 7 and “Risk Factors” in Item 1A of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and compete in all major product forms, including ready-to-drink (“RTD”) protein shakes, other RTD beverages, powders, nutrition bars and nutritional supplements. Our products are distributed across a diverse network of channels including club, food, drug and mass (“FDM”), eCommerce, specialty and convenience.</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organically grown our net sales from $827.5 million in our year ended September 30, 2018 to $988.3 million in our year ended September 30, 2020. Over the same period, net earnings including redeemable noncontrolling interest grew from $96.1 million in our year ended September 30, 2018 to $100.1 million in our year ended September 30,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BellRing Inc. was incorporated in the State of Delaware on March 20, 2019 in connection with our IPO. Upon completion of a series of transactions in connection with the IPO (the “formation transactions”), BellRing LLC became the holder of Post’s active nutrition business, which, effective as of Post’s quarter ended June 30, 2015, and until the completion of our IPO, had been comprised of Premier Nutrition, Dymatize,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its year ended September 30, 2013, Post acquired Premier Nutrition, which, at the time, was a marketer and distributor of high quality protein shakes and nutrition bars under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nutritional supplements under the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brand. Premier Nutrition, Inc. was founded in 1997, and Joint Juice, Inc. was founded in 1999. In 2011, Joint Juice, Inc. acquired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related assets from Premier Nutrition, Inc. via a corporate restructuring, and the resulting entity assumed the name Premier Nutrition Corporation. Effective September 30, 2019, Premier Nutrition Corporation converted to a limited liability company and changed its corporate name to Premier Nutrition Company, LLC.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its year ended September 30, 2014, Post acquired Dymatize,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and nutrition bars under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Dymatize was founded in 1994 and purchased the S</w:t>
      </w:r>
      <w:r>
        <w:rPr>
          <w:rFonts w:ascii="Arial" w:cs="Arial" w:eastAsia="Arial" w:hAnsi="Arial"/>
          <w:sz w:val="18"/>
          <w:szCs w:val="18"/>
          <w:i w:val="1"/>
          <w:iCs w:val="1"/>
          <w:color w:val="auto"/>
        </w:rPr>
        <w:t>upreme Protein</w:t>
      </w:r>
      <w:r>
        <w:rPr>
          <w:rFonts w:ascii="Arial" w:cs="Arial" w:eastAsia="Arial" w:hAnsi="Arial"/>
          <w:sz w:val="18"/>
          <w:szCs w:val="18"/>
          <w:color w:val="auto"/>
        </w:rPr>
        <w:t xml:space="preserve"> brand in 2012.</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its year ended September 30, 2015, Post acquired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was founded in 1986.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IPO and completion of the formation transactions:</w:t>
      </w:r>
    </w:p>
    <w:p>
      <w:pPr>
        <w:spacing w:after="0" w:line="117"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Premier Nutrition, Dymatize, Supreme Protein, LLC and Active Nutrition International, the entities that formerly comprised the active nutrition business of Post, became direct or indirect subsidiaries of BellRing LLC.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BellRing Inc. became a holding company, and has no material assets other than its ownership of BellRing LLC units.</w:t>
      </w:r>
    </w:p>
    <w:p>
      <w:pPr>
        <w:spacing w:after="0" w:line="117"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members of BellRing LLC consist of Post and BellRing Inc. As of September 30, 2020, Post owns 71.2% of the economic interests in BellRing LLC, and BellRing Inc. (and, indirectly, the holders of our Class A Common Stock) owns 28.8% of the economic interests in BellRing LLC.</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 holds one share of BellRing Inc. Class B common stock, $0.01 par value per share (the “Class B Common Stock”). For so long as Post or its affiliates (other than us) directly own more than 50% of BellRing LLC units, the share of Class B Common Stock represents 67% and the outstanding shares of Class A Common Stock represent 33%, respectively, of the combined voting power of the common stock of BellRing Inc. By virtue of its ownership of the Class B Common Stock, Post controls BellRing Inc.</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BellRing Inc. holds the voting membership unit of BellRing LLC (which represents the power to appoint and remove the members of the board of managers of BellRing LLC (the “Board of Managers”) and no economic interest in BellRing LLC). BellRing Inc. has the authority to appoint the members of the BellRing LLC Board of Managers and, therefore, controls BellRing LLC.</w:t>
      </w:r>
    </w:p>
    <w:p>
      <w:pPr>
        <w:spacing w:after="0" w:line="75"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financial results of BellRing LLC and its subsidiaries are consolidated with BellRing Inc., and a portion of the consolidated net earnings are allocated to the redeemable noncontrolling interest (the “NCI”) to reflect the entitlement of Post to a portion of the consolidated net earnings.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within “Notes to Consolidated Financial Statements” included in Part II, Item 8 of this report for more information about the above-mentioned transactions as well as the IPO and formation transactions.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the global convenient nutrition category, a rapidly-growing and on-trend category within the food and beverage industry. The United States (the “U.S.”) is our primary market and is the largest and most developed market in the world for our category. We believe the U.S. convenient nutrition category can be broken down into four key consumer need states as defined by our management: everyday nutrition, adult nutrition, sports nutrition and weight management.</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While we believe most brands in the convenient nutrition category are positioned to appeal to consumers primarily in one need state,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 consumed throughout the day as part of a healthy lifestyle.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brands are focused primarily on sports nutrition, which we define as consumers looking to supplement sports endurance and body building needs.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primary brands, based on fiscal 2020 sales,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Together our brands cover the major product forms in the convenient nutrition category and appeal to a broad range of consumer need states. Our net sales by brand for our year ended September 30, 2020 were as follows: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83.7%;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11.1%; </w:t>
      </w:r>
      <w:r>
        <w:rPr>
          <w:rFonts w:ascii="Arial" w:cs="Arial" w:eastAsia="Arial" w:hAnsi="Arial"/>
          <w:sz w:val="18"/>
          <w:szCs w:val="18"/>
          <w:i w:val="1"/>
          <w:iCs w:val="1"/>
          <w:color w:val="auto"/>
        </w:rPr>
        <w:t>PowerBar</w:t>
      </w:r>
      <w:r>
        <w:rPr>
          <w:rFonts w:ascii="Arial" w:cs="Arial" w:eastAsia="Arial" w:hAnsi="Arial"/>
          <w:sz w:val="18"/>
          <w:szCs w:val="18"/>
          <w:color w:val="auto"/>
        </w:rPr>
        <w:t>, 3.7%; and other, 1.5%.</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Three product forms accounted for the majority of our fiscal 2020 net sales. In our year ended September 30, 2020, RTD protein shakes and other RTD beverages were 82.0% of our net sales, powders were 12.3% of our net sales and nutrition bars were 5.0% of our net sales.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a leading mainstream, lifestyle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product portfolio consists of RTD protein shakes, refreshing protein beverages, nutrition bars and protein powders. </w:t>
      </w:r>
      <w:r>
        <w:rPr>
          <w:rFonts w:ascii="Arial" w:cs="Arial" w:eastAsia="Arial" w:hAnsi="Arial"/>
          <w:sz w:val="18"/>
          <w:szCs w:val="18"/>
          <w:i w:val="1"/>
          <w:iCs w:val="1"/>
          <w:color w:val="auto"/>
        </w:rPr>
        <w:t>Premier Protein</w:t>
      </w:r>
      <w:r>
        <w:rPr>
          <w:rFonts w:ascii="Arial" w:cs="Arial" w:eastAsia="Arial" w:hAnsi="Arial"/>
          <w:sz w:val="18"/>
          <w:szCs w:val="18"/>
          <w:color w:val="auto"/>
        </w:rPr>
        <w:t>’s flagship RTD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protein shakes are available in 10 flavors and contain 30 grams of protein with only one gram of sugar and 160 calories. They are gluten- and soy-free, low fat and fortified with 24 vitamins and minerals.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new shake line, </w:t>
      </w:r>
      <w:r>
        <w:rPr>
          <w:rFonts w:ascii="Arial" w:cs="Arial" w:eastAsia="Arial" w:hAnsi="Arial"/>
          <w:sz w:val="16"/>
          <w:szCs w:val="16"/>
          <w:i w:val="1"/>
          <w:iCs w:val="1"/>
          <w:color w:val="auto"/>
        </w:rPr>
        <w:t>Premier Protein with Oats</w:t>
      </w:r>
      <w:r>
        <w:rPr>
          <w:rFonts w:ascii="Arial" w:cs="Arial" w:eastAsia="Arial" w:hAnsi="Arial"/>
          <w:sz w:val="16"/>
          <w:szCs w:val="16"/>
          <w:color w:val="auto"/>
        </w:rPr>
        <w:t xml:space="preserve">, adds more balanced nutrition with 20 grams of protein plus 7 grams of fiber and can be enjoyed both hot and cold. Our RTD protein shakes are formulated to deliver great-tasting, leading protein levels while maintaining one of the leanest nutritional profiles in the category (as measured by sugar and calorie content). </w:t>
      </w:r>
      <w:r>
        <w:rPr>
          <w:rFonts w:ascii="Arial" w:cs="Arial" w:eastAsia="Arial" w:hAnsi="Arial"/>
          <w:sz w:val="16"/>
          <w:szCs w:val="16"/>
          <w:i w:val="1"/>
          <w:iCs w:val="1"/>
          <w:color w:val="auto"/>
        </w:rPr>
        <w:t>Premier Protein</w:t>
      </w:r>
      <w:r>
        <w:rPr>
          <w:rFonts w:ascii="Arial" w:cs="Arial" w:eastAsia="Arial" w:hAnsi="Arial"/>
          <w:sz w:val="16"/>
          <w:szCs w:val="16"/>
          <w:color w:val="auto"/>
        </w:rPr>
        <w:t>’s powder portfolio consists of 100% whey protein products. We believe the product profile appeals to consumers across age ranges in all four need states.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brand is a market leader targeting fitness enthusiasts who value the brand for its science-based product development and athletic performance focus. The brand’s portfolio includes an assortment of sports nutrition products, including primarily protein powders as well as nutritional supplements. The majority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’s sales are generated through protein powders. Our protein powder portfolio consists of three primary products: </w:t>
      </w:r>
      <w:r>
        <w:rPr>
          <w:rFonts w:ascii="Arial" w:cs="Arial" w:eastAsia="Arial" w:hAnsi="Arial"/>
          <w:sz w:val="16"/>
          <w:szCs w:val="16"/>
          <w:i w:val="1"/>
          <w:iCs w:val="1"/>
          <w:color w:val="auto"/>
        </w:rPr>
        <w:t xml:space="preserve">ISO.100 </w:t>
      </w:r>
      <w:r>
        <w:rPr>
          <w:rFonts w:ascii="Arial" w:cs="Arial" w:eastAsia="Arial" w:hAnsi="Arial"/>
          <w:sz w:val="16"/>
          <w:szCs w:val="16"/>
          <w:color w:val="auto"/>
        </w:rPr>
        <w:t>made with hydrolyzed 100% Whey Protein Isolate,</w:t>
      </w:r>
      <w:r>
        <w:rPr>
          <w:rFonts w:ascii="Arial" w:cs="Arial" w:eastAsia="Arial" w:hAnsi="Arial"/>
          <w:sz w:val="16"/>
          <w:szCs w:val="16"/>
          <w:i w:val="1"/>
          <w:iCs w:val="1"/>
          <w:color w:val="auto"/>
        </w:rPr>
        <w:t xml:space="preserve"> Elite 100% </w:t>
      </w:r>
      <w:r>
        <w:rPr>
          <w:rFonts w:ascii="Arial" w:cs="Arial" w:eastAsia="Arial" w:hAnsi="Arial"/>
          <w:sz w:val="16"/>
          <w:szCs w:val="16"/>
          <w:color w:val="auto"/>
        </w:rPr>
        <w:t>Whey Protein and</w:t>
      </w:r>
      <w:r>
        <w:rPr>
          <w:rFonts w:ascii="Arial" w:cs="Arial" w:eastAsia="Arial" w:hAnsi="Arial"/>
          <w:sz w:val="16"/>
          <w:szCs w:val="16"/>
          <w:i w:val="1"/>
          <w:iCs w:val="1"/>
          <w:color w:val="auto"/>
        </w:rPr>
        <w:t xml:space="preserve"> Super Mass Gainer. ISO.100</w:t>
      </w:r>
      <w:r>
        <w:rPr>
          <w:rFonts w:ascii="Arial" w:cs="Arial" w:eastAsia="Arial" w:hAnsi="Arial"/>
          <w:sz w:val="16"/>
          <w:szCs w:val="16"/>
          <w:color w:val="auto"/>
        </w:rPr>
        <w:t>, the brand’s flagship product, has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global reach with sales in more than 50 countries. In addition to powders,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offers a suite of products to meet the needs of athletes, including pre-workout and post-workout recovery products.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are sold in a variety of retail channels including specialty, FDM, club and online.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targets a range of consumers from committed athletes to active individuals. The brand delivers nutrient dense products to fuel consumers with ambitious, athletic lifestyles.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’s product portfolio ranges from protein and energy snacks for fitness enthusiasts to highly functional and technical energy products for competitive athletes’ in-game usage.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internationally and has a notable presence in Western Europe. In North America, the PowerBar product portfolio is focused on its most successful product offering,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Plus </w:t>
      </w:r>
      <w:r>
        <w:rPr>
          <w:rFonts w:ascii="Arial" w:cs="Arial" w:eastAsia="Arial" w:hAnsi="Arial"/>
          <w:sz w:val="18"/>
          <w:szCs w:val="18"/>
          <w:color w:val="auto"/>
        </w:rPr>
        <w:t>20 gram protein bar that is gluten-free and a good source of fiber.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customers are predominantly club stores, FDM customers, online retailers, specialty retailers, convenience stores and distributors. We sell our products domestically and in more than fifty countries globally. Our U.S. business represented 88.9% of our net sales in our year ended September 30, 2020 and our international business represented 11.1% of our net sales in our year ended September 30, 2020.</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largest customers, Costco and Walmart (which includes its affiliates, including Sam’s Club), accounted for approximately 67.3% of our net sales in our year ended September 30, 2020. No other customer accounted for more than 10% of our fiscal 2020 net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U.S., we utilize a direct sales force in multiple channels, including club, FDM, convenience, specialty and eCommerce. We also sell through a broker network for customers in the convenience, grocery and mass channels, and through distributors for the specialty channel. In international markets, we sell our products through a combination of direct sales to retailers and to third party distributors. We utilize a direct sales force in key markets in the European Union (the “E.U.”) and the United Kingdom (the “U.K.”) for multiple channels, including FDM, convenience, specialty and eCommerce. We also sell through distributors in the specialty channel.</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b w:val="1"/>
          <w:bCs w:val="1"/>
          <w:i w:val="1"/>
          <w:iCs w:val="1"/>
          <w:color w:val="auto"/>
        </w:rPr>
        <w:t>Premier Protein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’s marketing strategy is aimed at accelerating the brand’s positioning as a lifestyle brand for mainstream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’s marketing initiatives are focused on increasing awareness to drive product trial and adoption as well as expanding household penetration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among this group of consumers.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employs a broad media strategy, which includes digital media, search marketing, television, in-store marketing and demos and online dedicated programming. As part of its marketing strategy,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leverages its fans’ enthusiasm for the brand to spread the word of our products. The brand utilizes an influencer marketing program called “Premier Shakers” that leverages micro-influencers, content creators and top-tier influencers to generate further awareness of </w:t>
      </w:r>
      <w:r>
        <w:rPr>
          <w:rFonts w:ascii="Arial" w:cs="Arial" w:eastAsia="Arial" w:hAnsi="Arial"/>
          <w:sz w:val="17"/>
          <w:szCs w:val="17"/>
          <w:i w:val="1"/>
          <w:iCs w:val="1"/>
          <w:color w:val="auto"/>
        </w:rPr>
        <w:t>Premier Protein</w:t>
      </w:r>
      <w:r>
        <w:rPr>
          <w:rFonts w:ascii="Arial" w:cs="Arial" w:eastAsia="Arial" w:hAnsi="Arial"/>
          <w:sz w:val="17"/>
          <w:szCs w:val="17"/>
          <w:color w:val="auto"/>
        </w:rPr>
        <w:t>.</w:t>
      </w:r>
    </w:p>
    <w:p>
      <w:pPr>
        <w:spacing w:after="0" w:line="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’s core fitness-focused consumers. The brand also utilizes a social media influencer model, “Team Dymatize,” engaging with athletes. This team promotes product usage via personal social media channels to drive awareness for the brand among its target demographic.</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PowerBar</w:t>
      </w:r>
      <w:r>
        <w:rPr>
          <w:rFonts w:ascii="Arial" w:cs="Arial" w:eastAsia="Arial" w:hAnsi="Arial"/>
          <w:sz w:val="18"/>
          <w:szCs w:val="18"/>
          <w:color w:val="auto"/>
        </w:rPr>
        <w:t>. Similar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color w:val="auto"/>
        </w:rPr>
        <w:t>’s marketing efforts include retailer programs, online and specialty print media and social media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sports marketing through events and activations to reach not only its core sports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enthusiast consumers but also active lifestyle consumers. The brand’s social media content strategy is supported by seasonal cross-channel marketing and influencer campaigns. Sponsorships of sports events drive product trial.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continue to improve and expand our product offerings with new flavors, ingredients and packaging technologies. We leverage our dedicated innovation team, supplemented by leading design firms, product development companies, third party flavor houses and consultants.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Raw Materials</w:t>
      </w:r>
      <w:r>
        <w:rPr>
          <w:rFonts w:ascii="Arial" w:cs="Arial" w:eastAsia="Arial" w:hAnsi="Arial"/>
          <w:sz w:val="16"/>
          <w:szCs w:val="16"/>
          <w:color w:val="auto"/>
        </w:rPr>
        <w:t>. Raw materials used in our business consist of ingredients and packaging materials purchased from local, regional and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Our principal ingredients include milk-based, whey-based and soy-based proteins, protein blends, sweeteners and vitamin and mineral blends. Our primary packaging materials include aseptic foil and plastic lined cardboard cartons, flexible and rigid plastic film and containers, beverage packaging and corrugate. We purchase our raw materials in accordance with rigorous standards to assure food quality and safety. Supply availability and prices paid for raw materials can fluctuate widely due to external factors, such as pandemics (including the COVID-19 pandemic), weather conditions, labor disputes, governmental programs, regulations and trade and tariff policies, industry consolidation, economic climate, energy shortages, transportation delays, commodity market prices, currency fluctuations and other unforeseen circumstances. We regularly monitor supply and cost trends of these raw materials to enable us to obtain ingredients and packaging needed for our products. Although the prices of the principal raw materials can be expected to fluctuate, we believe such raw materials to be in adequate supply and generally available to us from several sources.</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the terms of an agreement with a significant protein powder supplier, Premier Nutrition is required to purchase a minimum periodic volume of protein powder and has the right (but not the obligation) to order quantities in excess of such minimum amount provided the supplier has the capacity and the ability to produce such additional quantities. The agreement also contains detailed provisions regarding the product specifications and quality standards for the raw materials to be provided by the supplier, the rights of a party in the event the other party does not comply with its obligations under the agreement and other customary contractual terms and conditions. The agreement expires on October 30, 2024.</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We primarily engage third party contract manufacturers in North America and the E.U. to produce our products. We receive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our contract manufacturers for an agreed-upon tolling charge for each item produced as well other minor costs. We own a manufacturing plant in Voerde, Germany that supplies nutrition bars and gels primarily for the E.U. and the U.K.</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From three separate and geographically diverse manufacturing locations, our largest contract manufacturer provided approximately 71.3% of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 supply for our year ended September 30, 2020. Under the terms of a manufacturing agreement with the manufacturer, Premier</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is required to purchase a minimum annual order volume of RTD protein shakes and has the right (but not the obligation) to order quantities in excess of a monthly minimum amount provided the manufacturer has the capacity and the ability to produce such additional quantities. In addition, under the terms of the manufacturing agreement, the manufacturer has committed to produce an annual minimum volume of RTD protein shakes. The manufacturing agreement also contains detailed provisions regarding the product specifications and quality standards for the products to be manufactured and packaged by the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The manufacturing agreement expires on December 31, 2022.</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SMETA 4-pillars (Labour, Environment, Health and Safety, Business Ethics) and OHSAS 18001 (Health and Safety).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In North America, our products typically are shipped directly from our contract manufacturing partners to a network of third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one third party warehouse location in Germany, which receives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compete with other brands in the convenient nutrition category, including private label and store brand products, and with many nutritional food and beverage players. We have numerous competitors of varying sizes, including manufacturers of other branded food and beverage products, as well as manufacturers of private label products. Some of our competitors have substantially more financial, marketing and other resources than us.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Our principal strategies for competing in our industry include strong and impactful marketing to build awareness of our products, effective customer relationship management, category insights, superior product quality and food safety, product innovation, an efficient supply chain and competitive pricing. We expect the industry we operate in to remain highly competitive for the foreseeable future.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in the past, and expect to continue to experience, seasonal fluctuations in our sales and earnings before interest and taxes (“EBIT”) margins because of consumer spending patterns and timing of our key retailers’ promotional activity. Historically, our first quarter of the fiscal year is seasonally low for net sales for all brands driven by a slowdown of consumption of our products during the holiday season. Sales are typically higher throughout the remainder of the fiscal year as a result of stronger consumer demand in our second quarter of the fiscal year, promotional activity at key retailers and organic growth of the business. Seasonal fluctuations in our sales and EBIT margins may not be the same in the future as they have been historically.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Demand</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Demand for our products is impacted by changes in consumer behaviors and preferences. When the effects of the COVID-19 pandemic, including the actions of public health and other governmental officials in response to the pandemic, began to impact the global convenient nutrition category, our products sold through the FDM, club and eCommerce channels generally experienced an increase in sales as a result of consumer pantry loading in the second quarter of fiscal 2020. During the third quarter of fiscal 2020, our products experienced category-wide slower sales primarily resulting from changes in consumer behavior, including lower on-the-go consumption and, for Dymatize, decreased access to sports nutrition products due to closures of specialty retail stores and gyms both in the U.S. and internationally. During the fourth quarter of fiscal 2020, the liquid and powders sub-categories returned to growth relatively in line with their pre-COVID-19 pandemic growth rates. However, the bar sub-category continues to experience year-over-year declines. International net sales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improved when compared to the third quarter of fiscal 2020, but continue to be negatively impacted by specialty retail store and gym closures. For further discussion regarding the impact of the COVID-19 pandemic on our business refer to the “COVID-19 Pandemic” section above, the “Management’s Discussion and Analysis of Financial Condition and Results of Operations” and the “Risk Factors” sections included in this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Premier Nutrition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w:t>
      </w:r>
      <w:r>
        <w:rPr>
          <w:rFonts w:ascii="Arial" w:cs="Arial" w:eastAsia="Arial" w:hAnsi="Arial"/>
          <w:sz w:val="18"/>
          <w:szCs w:val="18"/>
          <w:i w:val="1"/>
          <w:iCs w:val="1"/>
          <w:color w:val="auto"/>
        </w:rPr>
        <w:t xml:space="preserve"> PowerBar</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8"/>
          <w:szCs w:val="18"/>
          <w:color w:val="auto"/>
        </w:rPr>
        <w:t>®,</w:t>
      </w:r>
      <w:r>
        <w:rPr>
          <w:rFonts w:ascii="Arial" w:cs="Arial" w:eastAsia="Arial" w:hAnsi="Arial"/>
          <w:sz w:val="18"/>
          <w:szCs w:val="18"/>
          <w:i w:val="1"/>
          <w:iCs w:val="1"/>
          <w:color w:val="auto"/>
        </w:rPr>
        <w:t xml:space="preserve"> Supreme Protein</w:t>
      </w:r>
      <w:r>
        <w:rPr>
          <w:rFonts w:ascii="Arial" w:cs="Arial" w:eastAsia="Arial" w:hAnsi="Arial"/>
          <w:sz w:val="18"/>
          <w:szCs w:val="18"/>
          <w:color w:val="auto"/>
        </w:rPr>
        <w:t>®,</w:t>
      </w:r>
      <w:r>
        <w:rPr>
          <w:rFonts w:ascii="Arial" w:cs="Arial" w:eastAsia="Arial" w:hAnsi="Arial"/>
          <w:sz w:val="18"/>
          <w:szCs w:val="18"/>
          <w:i w:val="1"/>
          <w:iCs w:val="1"/>
          <w:color w:val="auto"/>
        </w:rPr>
        <w:t xml:space="preserve"> BellRing</w:t>
      </w:r>
      <w:r>
        <w:rPr>
          <w:rFonts w:ascii="Arial" w:cs="Arial" w:eastAsia="Arial" w:hAnsi="Arial"/>
          <w:sz w:val="18"/>
          <w:szCs w:val="18"/>
          <w:color w:val="auto"/>
        </w:rPr>
        <w:t>® and</w:t>
      </w:r>
      <w:r>
        <w:rPr>
          <w:rFonts w:ascii="Arial" w:cs="Arial" w:eastAsia="Arial" w:hAnsi="Arial"/>
          <w:sz w:val="18"/>
          <w:szCs w:val="18"/>
          <w:i w:val="1"/>
          <w:iCs w:val="1"/>
          <w:color w:val="auto"/>
        </w:rPr>
        <w:t xml:space="preserve"> BellRing Brands</w:t>
      </w:r>
      <w:r>
        <w:rPr>
          <w:rFonts w:ascii="Arial" w:cs="Arial" w:eastAsia="Arial" w:hAnsi="Arial"/>
          <w:sz w:val="18"/>
          <w:szCs w:val="18"/>
          <w:color w:val="auto"/>
        </w:rPr>
        <w:t>®. Our owned trademarks are,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protected through registration in the U.S. or 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8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Food and Drug Administration (the “FDA”), the U.S. Department of Agriculture (the “USDA”), the Federal Trade Commission and state and local agencies 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which applies to certain aspects of our business and deal with the collection and use of personal information obtained from data subjects of the E.U. As a company with international operations, we also are subject to laws, rules and regulations in the U.S. and other countries related to anti-corruption, antitrust and competition and economic sanctions.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approximately 390 employees as of November 1, 2020. Of these employees, approximately 220 are in the U.S., approximately 160 are in Germany and approximately 10 are in other countries. Our people are critical to our success and we prioritize providing a safe, rewarding and respectful workplace where our people are provided with opportunities to pursue career paths based on skills, performance and potential. We adhere to our Code of Conduct, which sets forth a commitment to our stakeholders, including our employees, to operate with integrity and mutual respect.</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strive to recruit, hire and retain a talented and diverse team of people. Our employees are supported with training and development opportunities to pursue their career paths and to ensure compliance with our policies. In managing our business, we strive to develop and implement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We provide our employees with competitive fixed and/or variable pay and, for eligible employees, we currently provide access to medical, dental and life insurance benefits, disability coverage, a 401(k) plan and employee assistance programs, among other benefits.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COVID-19 pandemic, we are taking necessary actions to safeguard the health of our employees. Steps we have taken include enhancing facility safety measures, encouraging hygiene practices advised by health authorities, restricting business travel and site visitors and implementing remote working for certain office employees. We continue to monitor our practices to remain aligned with federal, state, local and international laws, regulations and guidelines.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section below provides information regarding our executive officers as of November 20, 2020:</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Robert V. Vitale</w:t>
      </w:r>
      <w:r>
        <w:rPr>
          <w:rFonts w:ascii="Arial" w:cs="Arial" w:eastAsia="Arial" w:hAnsi="Arial"/>
          <w:sz w:val="18"/>
          <w:szCs w:val="18"/>
          <w:color w:val="auto"/>
        </w:rPr>
        <w:t>, age 54, has served as our Executive Chairman since September 2019 and serves as our co-principal executive officer. Mr. Vitale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the President and Chief Executive Officer of Post, and as a member of Post’s board of directors, since November 2014. Previously, Mr. Vitale served as Chief Financial Officer of Post from October 2011 until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is a member of the board of directors of 8th Avenue Food &amp; Provisions, Inc., a private brand-centric consumer products holding company owned by Post and other third parties. Mr. Vitale also has served on the board of directors of Energizer Holdings, Inc., a publicly traded manufacturer and distributor of primary batteries, portable lighting products and automotive, appearance, performance, refrigerant and fragrance products, since August 2017. Mr. Vitale earned his undergraduate degree from St. Louis University and his MBA from Washington University.</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Darcy H. Davenport</w:t>
      </w:r>
      <w:r>
        <w:rPr>
          <w:rFonts w:ascii="Arial" w:cs="Arial" w:eastAsia="Arial" w:hAnsi="Arial"/>
          <w:sz w:val="16"/>
          <w:szCs w:val="16"/>
          <w:color w:val="auto"/>
        </w:rPr>
        <w:t>, age 47, has served as our President and Chief Executive Officer since September 2019, has served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the completion of our IPO and serves as our co-principal executive officer. Until the completion of the IPO, Ms. Davenport served as President of Post’s active nutrition business since October 2017 and as President of Premier Nutrition, which became a subsidiary of BellRing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earned her undergraduate degree from Princeton University and her MBA from New York University’s Leonard N. Stern School of Business.</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Douglas J. Cornille</w:t>
      </w:r>
      <w:r>
        <w:rPr>
          <w:rFonts w:ascii="Arial" w:cs="Arial" w:eastAsia="Arial" w:hAnsi="Arial"/>
          <w:sz w:val="17"/>
          <w:szCs w:val="17"/>
          <w:color w:val="auto"/>
        </w:rPr>
        <w:t>, age 48, has served as Senior Vice President, Marketing of Premier Nutrition, which became a subsidiary of BellRing Inc. upon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our IPO,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R. Lee Partin</w:t>
      </w:r>
      <w:r>
        <w:rPr>
          <w:rFonts w:ascii="Arial" w:cs="Arial" w:eastAsia="Arial" w:hAnsi="Arial"/>
          <w:sz w:val="18"/>
          <w:szCs w:val="18"/>
          <w:color w:val="auto"/>
        </w:rPr>
        <w:t>, age 67, has served as Senior Vice President, Sales of Premier Nutrition, which became a subsidiary of BellRing Inc. upon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IPO, since March 2012. Prior to joining Premier Nutrition, Mr. Partin was Director of Sales of Joint Juice, Inc., a liquid dietary supplement manufacturer that combined with Premier Nutrition in October 2011, from September 2008 to March 2012. Mr. Partin previously was a general manager of Dreyer’s Grand Ice Cream Holdings, Inc., a manufacturer of ice cream and frozen yogurt, from November 1982 to September 2008. Mr. Partin is a graduate of Virginia Commonwealth University - School of Business.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Paul A. Rode</w:t>
      </w:r>
      <w:r>
        <w:rPr>
          <w:rFonts w:ascii="Arial" w:cs="Arial" w:eastAsia="Arial" w:hAnsi="Arial"/>
          <w:sz w:val="17"/>
          <w:szCs w:val="17"/>
          <w:color w:val="auto"/>
        </w:rPr>
        <w:t>, age 50, has served as our Chief Financial Officer since September 2019 and serves as our principal financial officer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Mr. Rode served as Chief Financial Officer of Post’s active nutrition business from May 2015 until the completion of our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Craig L. Rosenthal</w:t>
      </w:r>
      <w:r>
        <w:rPr>
          <w:rFonts w:ascii="Arial" w:cs="Arial" w:eastAsia="Arial" w:hAnsi="Arial"/>
          <w:sz w:val="18"/>
          <w:szCs w:val="18"/>
          <w:color w:val="auto"/>
        </w:rPr>
        <w:t>, age 49, has served as our Senior Vice President and General Counsel since August 2019. Prior to joining BellRing Inc., Mr.</w:t>
      </w:r>
      <w:r>
        <w:rPr>
          <w:rFonts w:ascii="Arial" w:cs="Arial" w:eastAsia="Arial" w:hAnsi="Arial"/>
          <w:sz w:val="18"/>
          <w:szCs w:val="18"/>
          <w:i w:val="1"/>
          <w:iCs w:val="1"/>
          <w:color w:val="auto"/>
        </w:rPr>
        <w:t xml:space="preserve"> </w:t>
      </w:r>
      <w:r>
        <w:rPr>
          <w:rFonts w:ascii="Arial" w:cs="Arial" w:eastAsia="Arial" w:hAnsi="Arial"/>
          <w:sz w:val="18"/>
          <w:szCs w:val="18"/>
          <w:color w:val="auto"/>
        </w:rPr>
        <w:t>Rosenthal was an attorney at Husch Blackwell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Previously, Mr. Rosenthal was an attorney at Husch &amp; Eppenberger LLC (now Husch Blackwell LLP). Mr. Rosenthal earned his undergraduate degree from the University of Missouri and juris doctorate from Washington University School of Law.</w:t>
      </w:r>
    </w:p>
    <w:p>
      <w:pPr>
        <w:spacing w:after="0" w:line="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Robin Singh, </w:t>
      </w:r>
      <w:r>
        <w:rPr>
          <w:rFonts w:ascii="Arial" w:cs="Arial" w:eastAsia="Arial" w:hAnsi="Arial"/>
          <w:sz w:val="18"/>
          <w:szCs w:val="18"/>
          <w:color w:val="auto"/>
        </w:rPr>
        <w:t>age 51, has served as Senior Vice President, Operations of Premier Nutrition, which became a subsidiary of BellRing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our IPO, since March 2019. Prior to joining Premier Nutrition, Mr. Singh held various senior leadership positions at Mondelez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January 2014 to January 2016. Mr. Singh attended The University of Western Ontario - Richard Ivey School of Business and the University of Guelph, Ontario.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company with less than $1.07 billion in gross revenue during our last fiscal year, we qualify as an “emerging growth company” as defined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Jumpstart Our Business Startups Act of 2012 (the “JOBS Act”). We will continue to be an emerging growth company until the earliest to occur of:</w:t>
      </w:r>
    </w:p>
    <w:p>
      <w:pPr>
        <w:spacing w:after="0" w:line="1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Securities Exchange Act of 1934, as amended, which would occur if the market value of our common stock that is held by non-affiliates exceeds $700.0 million as of the prior March 31 and we have been publicly reporting for at least 12 months; or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7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report;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our SEC filings as a public company;</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requiring mandatory audit firm rotation or a supplement to our auditor’s report in which the auditor would be required to provide additional information about the audit and our financial statements;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elected to take advantage of certain of the reduced disclosure obligations in this report,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report,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 information about BellRing, including its annual reports on Form 10-K, quarterly reports on Form 10-Q, current reports on Form 8-K and amendments to those reports filed or furnished pursuant to Section 13(a) or 15(d) of the Exchange Act, press releases and other important announcements is available, free of charge, at our website at www.bellring.com as soon as reasonably practicable after their electronic filing with the SEC or their release, as applicable, or the SEC’s website at www.sec.gov (for securities filings only). The SEC maintains an internet site containing these reports, proxy and information statements and other information regarding issuers that file electronically with the SEC at http://www.sec.gov. The information and other content contained on BellRing’s website are not part of (or incorporated by reference in) this report or any other document BellRing files with the SEC. BellRing’s Corporate Governance Guidelines, its Code of Conduct and the charters of its Audit and Corporate Governance and Compensation Committees of its Board of Directors also are available on its website, where they can be printed free of charge. All of these documents also are available to stockholders at no charge upon request sent to BellRing’s corporate secretary (2503 S. Hanley Road, St. Louis, Missouri 63144-2503, Telephone: 314-644-7600).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information discussed elsewhere in this report, the following risks and uncertainties, some of which have occurred and any of which may occur in the future, could have a material adverse effect on our business, financial condition, results of operations and cash flows. The enumerated risks have been or may be heightened, or in some cases manifested, by the impacts of the COVID-19 pandemic and are not the only risks we face. Additional risks and uncertainties not presently known to us or that we currently deem immaterial also may impair our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negatively impacted and is expected to continue to negatively impact the global economy and capital markets. In addition, the COVID-19 pandemic has and we expect it to continue to impact our financial and operational performance.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COVID-19 pandemic has and is likely to continue to negatively impact the global economy and capital markets, which could result in a prolonged economic downturn or a global economic recession. These impacts could limit our ability to satisfy our debt obligations or the cost or availability of additional capital transactions. As of September 30, 2020, we had $703.7 million in aggregate principal amount debt and $48.7 million in cash and cash equivalents.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the regional or global impact of the outbreak, including official or unofficial quarantines and governmental restrictions on activities taken in response to such event, could limit our ability and the ability of our third party manufacturers to manufacture and deliver our products, which would have a material adverse impact on our business, financial condition, results of operations and cash flows. The impact of the COVID-19 pandemic could include voluntary or mandatory closures of our facilities, interruptions in our supply chain, which could impact the cost or availability of materials, restrictions on our ability to deliver our products, closures of our customers and labor shortages. We believe the COVID-19 pandemic has reduced consumer demand for our products due to, among other things, changing consumer behaviors, quarantines and governmental restrictions on activities and that the closure of certain specialty stores where our products are sold has decreased the sale of our products. Additional voluntary or mandatory closure of clubs, FDM, eCommerce and other retailers where our products are sold could result in a decrease in the sale of our products. We may incur additional expenses to comply with new requirements imposed by governmental authorities, including purchases of equipment or supplies that are in high demand, as well as engaging third party resources.</w:t>
      </w:r>
    </w:p>
    <w:p>
      <w:pPr>
        <w:spacing w:after="0" w:line="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These and other impacts of the COVID-19 pandemic have heightened, or in some cases manifested, many of the other risks disclosed herein, any of which could have a material effect on us. This situation is changing rapidly and additional impacts may arise that we are not aware of as of the date hereof. The extent and potential short and long term impact of the COVID-19 pandemic on our business, financial condition, results of operations and cash flows, which could be material, will depend on future developments, including the duration, severity and spread of the pandemic, actions that have and may be taken by governmental authorities in response to the pandemic, changing consumer behaviors and the impact on our supply chain, operations, workforce and the financial markets, all of which are highly uncertain and cannot be predicted.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substantial amount of our net sales is derived from our RTD protein shakes. Sales of our RTD protein shakes represented approximately 80.7% of our net sales in our year ended September 30, 2020.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convenient nutrition category is highly competitive. We compete with other brands in the convenient nutrition category and with many nutritional food and beverage players, as well as manufacturers of private label and store brand products. Many of our competitors offer products similar to our products, or a wider range of products than we offer, and may offer their products at more competitive prices than we do.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w:t>
      </w:r>
    </w:p>
    <w:p>
      <w:pPr>
        <w:spacing w:after="0" w:line="5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For our year ended September 30, 2020, approximately 71.3%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manufacturer and approximately 39.3% from a single facility of that manufacturer. Although we have added additional contract manufacturers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We are currently in litigation with a former third party contract manufacturer, which we had expected to produce less than 10% of our RTD protein shakes for our year ended September 30, 2019, that resulted in our termination of our agreement with it.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including as a result of pandemics (such as the COVID-19 pandemic) or other outbreaks of contagious diseases, increases in manufacturing costs, errors in complying with product specifications, insufficient quality control and failure to meet production deadlines.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 Additionally, our business could be adversely affected if any of these third parties fail to comply with governmental regulations applicable to the manufacturing of our products or if any of these third parties cease doing business with us or go out of business.</w:t>
      </w:r>
    </w:p>
    <w:p>
      <w:pPr>
        <w:spacing w:after="0" w:line="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better than expected volume growth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and delays in planned incremental production capacity by our third party contract manufacturer network, our customer demand exceeded our available capacity and resulted in inventory below acceptable levels at September 30, 2018. If we need to replace an existing third party contract manufacturer, our products may not be available when required on acceptable terms, or at all. Also, if demand for our products is significantly below our expectations, we may be obligated to pay penalties to our third party manufacturers for failing to purchase contracted minimum purchase quantities,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rely on a limited number of third party suppliers to provide certain ingredients used in our business. The primary ingredients used in our business include milk-based, whey-based and soy-based proteins, protein blends, sweeteners and vitamin and mineral blends, and one supplier provides the majority of our milk-based protein. The supply and price of these ingredients are subject to market conditions and are influenced by many factors beyond our control, including pandemics (such as the COVID-19 pandemic) or other outbreaks of contagious diseases, animal feed costs, weather patterns affecting ingredient production, governmental programs and regulations, insects, plant diseases and inflation. Our primary packaging materials include aseptic foil and plastic lined cardboard cartons, flexible and rigid plastic film and containers, beverage packaging and corrugate. We utilize a sole supplier for the aseptic packaging for, and our third party contract manufacturers use equipment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from the same sole supplier to manufacture,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pandemics (such as the COVID-19 pandemic) or other outbreaks of contagious diseases, weather conditions and natural disasters, as well as other factors outside of our control. Our freight costs may increase due to factors such as limited carrier availability, increased fuel costs, increased compliance costs associated with new or changing government regulations, pandemics (such as the COVID-19 pandemic) or other outbreaks of contagious diseases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identify changing consumer and customer preferences and behaviors and develop and offer products to meet these preferences.</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12529"/>
        </w:rPr>
        <w:t>Consumer and customer preferences and behaviors evolve over time due to a variety of factors. The success of our business depends on our ability to identify these changing preferences and behaviors and to continue to develop and offer products that appeal to consumers and customers through the sales channels that they prefer. Consumer preference and behavior changes include dietary trends, attention to different nutritional aspects of foods and beverages, consumer in-home and on-the-go consumption patterns, preferences for certain sales channels, such as eCommerce, concerns regarding the health effects of certain foods and beverages, sourcing practices relating to ingredients and environmental concerns regarding packaging. Several of our customers have announced goals to transition to recyclable, compostable or reusable packaging. These changing preferences and requirements could require us to use specially sourced ingredients and packaging types that may be more difficult to source or entail a higher cost or incremental capital investment which we may not be able to pass on to customers.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12529"/>
        </w:rPr>
        <w:t xml:space="preserve">For instance, during the third quarter and, to a lesser extent the fourth quarter, of fiscal 2020, sales of our products were negatively impacted by lower demand resulting from the impact of the COVID-19 pandemic on various channels. If these trends continue into the future and we are unable to adapt our business in response to these consumer behaviors, or if we fail to quickly respond if and as they moderate or reverse, our business, financial condition, results of operations and cash flows could be adversely impacted. </w:t>
      </w:r>
      <w:r>
        <w:rPr>
          <w:rFonts w:ascii="Arial" w:cs="Arial" w:eastAsia="Arial" w:hAnsi="Arial"/>
          <w:sz w:val="16"/>
          <w:szCs w:val="16"/>
          <w:color w:val="000000"/>
        </w:rPr>
        <w:t>Consumers are increasingly shopping through eCommerce websites and mobile</w:t>
      </w:r>
      <w:r>
        <w:rPr>
          <w:rFonts w:ascii="Arial" w:cs="Arial" w:eastAsia="Arial" w:hAnsi="Arial"/>
          <w:sz w:val="16"/>
          <w:szCs w:val="16"/>
          <w:color w:val="212529"/>
        </w:rPr>
        <w:t xml:space="preserve"> </w:t>
      </w:r>
      <w:r>
        <w:rPr>
          <w:rFonts w:ascii="Arial" w:cs="Arial" w:eastAsia="Arial" w:hAnsi="Arial"/>
          <w:sz w:val="16"/>
          <w:szCs w:val="16"/>
          <w:color w:val="000000"/>
        </w:rPr>
        <w:t>commerce applications, particularly during the COVID-19 pandemic, and this trend is significantly altering the retail landscape in our category. If we are unable to effectively compete in the expanding eCommerce market or develop the data analytics capabilities needed to generate actionable commercial insights, our business performance may be impacted, which may negatively impact our financial condition, results of operations and cash flows.</w:t>
      </w:r>
    </w:p>
    <w:p>
      <w:pPr>
        <w:spacing w:after="0" w:line="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we strive to respond to consumer preferences and social expectations, we may not be successful in these efforts. Any significant changes in consumer or customer preferences or our inability to anticipate or react, or effectively introduce new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products in response, to such changes could negatively impact our business,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products, packaging or ingredients,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and beverage industry generally on social or digital media (whether factual or not) or security breaches related to use of our social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of our supply chain, including as a result of the COVID-19 pandemic, and changes in weather conditions could have an adverse effect on our business, financial condition, results of operations and cash flows.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pandemics (such as the COVID-19 pandemic) or other outbreaks of contagious diseases, fire, explosion, cyber-attacks, terrorism, strikes, repairs or enhancements at facilities manufacturing or delivering our products or other reasons could impair our ability to manufacture, sell or timely deliver our products.</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Changes in weather conditions and natural disasters, such as fires, floods, droughts, frosts, hurricanes, earthquakes, tornadoes, insect infestations and plant disease, also may affect the cost and supply of commodities used as raw materials, including milk-based, whey-based and soy-based proteins, protein blends, sweeteners and vitamin and mineral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our year ended September 30, 2020, approximately 71.3%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supply came from our largest contract manufacturer, with approximately 39.3% of our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 supply manufactured at its Joplin, Missouri facility. In 2011, a major tornado struck Joplin, Missouri, but our supply of product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Joplin, Missouri facility was not impacted.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Our supply of packaging for our 11 ounce RTD protein shakes from this supplier comes primarily from three of its locations. Competitors can be affected differently by weather conditions and natural disasters depending on the location of their suppliers and operations.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Failure to take adequate steps to reduce the likelihood or mitigate the potential impact of such events, or to effectively manage such events if they occur, particularly when an ingredient or packaging material is sourced from a single location or supplier, could adversely affect our business, financial condition, results of operations and cash flows and/or require additional resources to restore our supply chain. </w:t>
      </w:r>
      <w:r>
        <w:rPr>
          <w:rFonts w:ascii="Arial" w:cs="Arial" w:eastAsia="Arial" w:hAnsi="Arial"/>
          <w:sz w:val="18"/>
          <w:szCs w:val="18"/>
          <w:color w:val="212529"/>
        </w:rPr>
        <w:t>During fiscal 2020, the COVID-19 pandemic</w:t>
      </w:r>
      <w:r>
        <w:rPr>
          <w:rFonts w:ascii="Arial" w:cs="Arial" w:eastAsia="Arial" w:hAnsi="Arial"/>
          <w:sz w:val="18"/>
          <w:szCs w:val="18"/>
          <w:color w:val="auto"/>
        </w:rPr>
        <w:t xml:space="preserve"> </w:t>
      </w:r>
      <w:r>
        <w:rPr>
          <w:rFonts w:ascii="Arial" w:cs="Arial" w:eastAsia="Arial" w:hAnsi="Arial"/>
          <w:sz w:val="18"/>
          <w:szCs w:val="18"/>
          <w:color w:val="212529"/>
        </w:rPr>
        <w:t>has impacted, and we expect will continue to impact</w:t>
      </w:r>
      <w:r>
        <w:rPr>
          <w:rFonts w:ascii="Arial" w:cs="Arial" w:eastAsia="Arial" w:hAnsi="Arial"/>
          <w:sz w:val="18"/>
          <w:szCs w:val="18"/>
          <w:color w:val="00FF00"/>
        </w:rPr>
        <w:t>,</w:t>
      </w:r>
      <w:r>
        <w:rPr>
          <w:rFonts w:ascii="Arial" w:cs="Arial" w:eastAsia="Arial" w:hAnsi="Arial"/>
          <w:sz w:val="18"/>
          <w:szCs w:val="18"/>
          <w:color w:val="212529"/>
        </w:rPr>
        <w:t xml:space="preserve"> our operations. We continue to actively monitor the COVID-19 pandemic and its impact on our supply chain.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in our distribution channels, and competitive, economic and other pressures facing our customers, may hurt our profit margins.</w:t>
      </w:r>
    </w:p>
    <w:p>
      <w:pPr>
        <w:spacing w:after="0" w:line="14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including as a result of the COVID-19 pandemic, would have a material adverse effect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and profit growth are dependent upon our ability to expand existing market penetration and enter into new markets.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12529"/>
        </w:rPr>
        <w:t>Successful growth depends on our ability to add new customers, enter into new markets, expand the number of products sold through existing customers and enhance our product portfolio</w:t>
      </w:r>
      <w:r>
        <w:rPr>
          <w:rFonts w:ascii="Arial" w:cs="Arial" w:eastAsia="Arial" w:hAnsi="Arial"/>
          <w:sz w:val="18"/>
          <w:szCs w:val="18"/>
          <w:color w:val="000000"/>
        </w:rPr>
        <w:t>. This growth would include expanding the number of our products retailers offer for sale, our product</w:t>
      </w:r>
      <w:r>
        <w:rPr>
          <w:rFonts w:ascii="Arial" w:cs="Arial" w:eastAsia="Arial" w:hAnsi="Arial"/>
          <w:sz w:val="18"/>
          <w:szCs w:val="18"/>
          <w:color w:val="212529"/>
        </w:rPr>
        <w:t xml:space="preserve"> </w:t>
      </w:r>
      <w:r>
        <w:rPr>
          <w:rFonts w:ascii="Arial" w:cs="Arial" w:eastAsia="Arial" w:hAnsi="Arial"/>
          <w:sz w:val="18"/>
          <w:szCs w:val="18"/>
          <w:color w:val="000000"/>
        </w:rPr>
        <w:t xml:space="preserve">placement and our ability to secure additional shelf or retail space for our products, as well as increased access to online platforms to sell our products. The expansion of our business depends on our ability to obtain new, or expand our business with existing, customers, such as club, FDM, eCommerce, convenience and specialty customers. Our failure </w:t>
      </w:r>
      <w:r>
        <w:rPr>
          <w:rFonts w:ascii="Arial" w:cs="Arial" w:eastAsia="Arial" w:hAnsi="Arial"/>
          <w:sz w:val="18"/>
          <w:szCs w:val="18"/>
          <w:color w:val="212529"/>
        </w:rPr>
        <w:t>to successfully add new customers, enter into new markets, expand the number of products sold through</w:t>
      </w:r>
      <w:r>
        <w:rPr>
          <w:rFonts w:ascii="Arial" w:cs="Arial" w:eastAsia="Arial" w:hAnsi="Arial"/>
          <w:sz w:val="18"/>
          <w:szCs w:val="18"/>
          <w:color w:val="000000"/>
        </w:rPr>
        <w:t xml:space="preserve"> </w:t>
      </w:r>
      <w:r>
        <w:rPr>
          <w:rFonts w:ascii="Arial" w:cs="Arial" w:eastAsia="Arial" w:hAnsi="Arial"/>
          <w:sz w:val="18"/>
          <w:szCs w:val="18"/>
          <w:color w:val="212529"/>
        </w:rPr>
        <w:t xml:space="preserve">existing customers and enhance our product portfolio </w:t>
      </w:r>
      <w:r>
        <w:rPr>
          <w:rFonts w:ascii="Arial" w:cs="Arial" w:eastAsia="Arial" w:hAnsi="Arial"/>
          <w:sz w:val="18"/>
          <w:szCs w:val="18"/>
          <w:color w:val="000000"/>
        </w:rPr>
        <w:t>could have a material adverse effect on our business, financial condition, results of operations and</w:t>
      </w:r>
      <w:r>
        <w:rPr>
          <w:rFonts w:ascii="Arial" w:cs="Arial" w:eastAsia="Arial" w:hAnsi="Arial"/>
          <w:sz w:val="18"/>
          <w:szCs w:val="18"/>
          <w:color w:val="212529"/>
        </w:rPr>
        <w:t xml:space="preserve"> </w:t>
      </w:r>
      <w:r>
        <w:rPr>
          <w:rFonts w:ascii="Arial" w:cs="Arial" w:eastAsia="Arial" w:hAnsi="Arial"/>
          <w:sz w:val="18"/>
          <w:szCs w:val="18"/>
          <w:color w:val="000000"/>
        </w:rPr>
        <w:t>cash flows.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products become contaminated or adulterated, or if they are misbranded or mislabeled, we might need to recall or withdraw those items and we may experience product liability claims.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spoilage and contamination by naturally occurring molds and pathogens, such as salmonella, and pests. We may need to recall or withdraw some or all of our products if they become contaminated,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or a loss of consumer confidence could have an adverse effect on our business, financial condition, results of operations and cash flows.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a variety of laws and regulations administered by federal, state and local government authorities in the U.S., as well as government authorities outside the U.S., including requirements related to food safety, quality, manufacturing, processing, storage, marketing, advertising, labeling, distribution and worker health and workplace safety. Our activities, both inside and outside of the U.S., are subject to extensive regulation. In the U.S., we are regulated by, and our activities are affected by, among other federal, state and local authorities and regulations, the FDA, the USDA, the Federal Trade Commission, the Occupational Safety and Health Administration and California’s Safe Drinking Water and Toxic Enforcement Act of 1986 (Proposition 65). In Europe, we are regulated by, among other authorities, the U.K.’s Food Standards Agency, Health and Safety Executive, Environment Agency, Environmental Health, the Information Commissioners Office and the Trading Standards Office and their equivalents in E.U. member states. We also are regulated by similar authorities elsewhere in the world where our products are distributed. Governmental regulations also affect taxes and levies, tariffs, import and export restrictions,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impact of current laws and regulations, changes in, or changes in interpretations of, these laws or regulations or the introduction of new laws or regulations could increase the costs of doing business for us or our customers or suppliers,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5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It also is possible that federal, state, local or foreign enforcement authorities might take regulatory or enforcement action, which could result in significant fines or penalties</w:t>
      </w:r>
      <w:r>
        <w:rPr>
          <w:rFonts w:ascii="Arial" w:cs="Arial" w:eastAsia="Arial" w:hAnsi="Arial"/>
          <w:sz w:val="17"/>
          <w:szCs w:val="17"/>
          <w:color w:val="212529"/>
        </w:rPr>
        <w:t>, revocations of required licenses or injunctions, as well as potential criminal sanctions</w:t>
      </w:r>
      <w:r>
        <w:rPr>
          <w:rFonts w:ascii="Arial" w:cs="Arial" w:eastAsia="Arial" w:hAnsi="Arial"/>
          <w:sz w:val="17"/>
          <w:szCs w:val="17"/>
          <w:color w:val="auto"/>
        </w:rPr>
        <w:t xml:space="preserve">.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w:t>
      </w:r>
      <w:r>
        <w:rPr>
          <w:rFonts w:ascii="Arial" w:cs="Arial" w:eastAsia="Arial" w:hAnsi="Arial"/>
          <w:sz w:val="17"/>
          <w:szCs w:val="17"/>
          <w:color w:val="212529"/>
        </w:rPr>
        <w:t>Any of these events would negatively impact our revenues and costs of operations.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12529"/>
        </w:rPr>
        <w:t xml:space="preserve">We also may be impacted by changes to administrative policies, such as business restrictions, tariffs and trade agreements, in markets in which we or our third party manufacturers manufacture, sell or distribute our products. The COVID-19 pandemic has resulted in </w:t>
      </w:r>
      <w:r>
        <w:rPr>
          <w:rFonts w:ascii="Arial" w:cs="Arial" w:eastAsia="Arial" w:hAnsi="Arial"/>
          <w:sz w:val="18"/>
          <w:szCs w:val="18"/>
          <w:color w:val="000000"/>
        </w:rPr>
        <w:t>quarantines, import and export</w:t>
      </w:r>
      <w:r>
        <w:rPr>
          <w:rFonts w:ascii="Arial" w:cs="Arial" w:eastAsia="Arial" w:hAnsi="Arial"/>
          <w:sz w:val="18"/>
          <w:szCs w:val="18"/>
          <w:color w:val="212529"/>
        </w:rPr>
        <w:t xml:space="preserve"> </w:t>
      </w:r>
      <w:r>
        <w:rPr>
          <w:rFonts w:ascii="Arial" w:cs="Arial" w:eastAsia="Arial" w:hAnsi="Arial"/>
          <w:sz w:val="18"/>
          <w:szCs w:val="18"/>
          <w:color w:val="000000"/>
        </w:rPr>
        <w:t xml:space="preserve">restrictions, price controls, governmental and regulatory actions, mandatory business closures and other restrictions </w:t>
      </w:r>
      <w:r>
        <w:rPr>
          <w:rFonts w:ascii="Arial" w:cs="Arial" w:eastAsia="Arial" w:hAnsi="Arial"/>
          <w:sz w:val="18"/>
          <w:szCs w:val="18"/>
          <w:color w:val="212529"/>
        </w:rPr>
        <w:t>that could adversely impact our</w:t>
      </w:r>
      <w:r>
        <w:rPr>
          <w:rFonts w:ascii="Arial" w:cs="Arial" w:eastAsia="Arial" w:hAnsi="Arial"/>
          <w:sz w:val="18"/>
          <w:szCs w:val="18"/>
          <w:color w:val="000000"/>
        </w:rPr>
        <w:t xml:space="preserve"> </w:t>
      </w:r>
      <w:r>
        <w:rPr>
          <w:rFonts w:ascii="Arial" w:cs="Arial" w:eastAsia="Arial" w:hAnsi="Arial"/>
          <w:sz w:val="18"/>
          <w:szCs w:val="18"/>
          <w:color w:val="212529"/>
        </w:rPr>
        <w:t>operations.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Certain of our products are regulated by the FDA as dietary supplements, which are subject to FDA regulations and levels of regulatory scrutiny different from those applicable to conventional food. Internationally, the convenient nutrition category is regulated as food and dietary supplements and, in some cases, may be regulated as drug products. Such heightened regulatory scrutiny results in increased costs of operations and the potential for delays in product sales. In addition,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growth has placed, and we expect that our continued growth may place, a significant demand on our management, personnel, systems and resources.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may evaluate potential acquisitions or other strategic transactions.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 Companies or operations we acquire or joint ventures we enter into may not be profitable or may not achieve the anticipated profitability that justify our investments.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other risks related to our international business disclosed herein, we are subject to a number of risks related to doing business internationally, any of which could significantly harm our business. These risks include restrictions on the transfer of funds to and from foreign countries, including potentially negative tax consequences; increased exposure to general market and economic conditions outside of the U.S.; political and economic uncertainty and volatility; the difficulty and costs of designing and implementing an effective control environment across diverse regions and employee bases; and unfavorable and/or changing foreign tax treaties and policies.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 limited number of customer accounts represents a large percentage of our combined net sales. Our largest customers, Costco and Walmart and its affiliates (which includes Sam’s Club), accounted for approximately 67.3% of our net sales in our year ended September 30, 2020.</w:t>
      </w:r>
    </w:p>
    <w:p>
      <w:pPr>
        <w:spacing w:after="0" w:line="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success of our business depends, in part, on our ability to maintain our level of sales and product distribution through the club, FDM, eCommerce, specialty and convenience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litigation and claims may impair our reputation or lead us to incur significant costs.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infringement, product recalls, product liability, false or deceptive advertising, employment matters, environmental matters or other aspects of our business. There has been a recent increase in lawsuits filed against food and beverage companies alleging deceptive advertising and labeling. Lawsuits and claims could be expensive and time consuming to defend and could divert management’s attention and resources and negative publicity resulting from allegations made in lawsuits or claims asserted against us, whether or not valid, may adversely affect our reputation. We may be required to pay damage awards or settlements, become subject to injunctions or other equitable remedies, be required to modify our business processes, practices or products or be required to stop selling certain of our products. In addition, intellectual property infringement litigation or claims could cause us to cease making, licensing or using products that incorporate the challenged intellectual property, require us to redesign or rebrand our products or packaging, if feasible, or require us to enter into royalty or licensing agreements in order to obtain the right to use a third party’s intellectual property. Any or all of these consequences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Although we have various insurance programs in place, the potential liabilities associated with lawsuits and claims could be excluded from coverage or, if covered, could exceed the coverage provided by such programs. In addition, insurance carriers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size and related estimates may prove to be inaccurate.</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 independent sources, proprietary research studies and management’s knowledge of the industry. While these estimates are made in good faith and are based on assumptions and estimates we believe to be reasonable, they may not be accurate.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 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currency exchange rates may adversely affect our business, financial condition, results of operations and cash flows.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operations and assets in the U.S. as well as foreign jurisdictions, and a portion of our contracts and revenues are denominated in foreign currencies. Our financial statements are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them could reduce the value of our products and brands.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 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rely on information technology networks and systems to process, transmit and store operating and financial information, to manage and support a variety of business processes and activities and to comply with regulatory, legal and tax requirements. Our reliance on information technology networks and systems has increased as a result of remote working we have implemented for certain office employees as a result of the COVID-19 pandemic. Our and our third party manufacturing and distribution facilities and inventory management utilize information technology to increase efficiencies and control costs. Our and our third party vendors’ information technology systems may be vulnerable to a variety of interruptions due to events beyond our or their control, including, but not limited to, natural disasters, terrorist attacks, telecommunications failures, power outages, computer viruses, ransomware and malware, hardware or software failures, cybersecurity incidents, hackers and other security issues. Such interruptions could negatively impact our business.</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also are subject to an evolving body of federal, state and foreign laws, regulations, guidelines and principles regarding data privacy, data protection and data security. Several foreign governments, including the E.U., have laws and regulations dealing with the collection and use of personal information obtained from their data subjects, and we could incur substantial penalties or litigation related to violations of such laws and regulations.</w:t>
      </w:r>
    </w:p>
    <w:p>
      <w:pPr>
        <w:spacing w:after="0" w:line="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 and amortization (“EBITDA”) and revenue multiples, changes in discount rates based on changes in cost of capital (interest rates, etc.) or the loss or bankruptcy of a significant customer. These factors, along with other internal and external factors, could have a significant negative impact on our fair value determination, which could then result in a material impairment charge in our results of operations. No impairments were recorded in the years ended September 30, 2020, 2019 and 2018. However, we could have impairments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 Certain environmental 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Failure to comply with environmental laws and regulations could result in severe fines and penalties by governments or courts of law.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the discovery of currently unknown environmental conditions requiring responsive action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or legal or market measures to address climate change, may negatively affect our business and operations.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protein blends, sweeteners and vitamin and mineral blends. In addition, increases in the frequency and severity of extreme weather and natural disasters may result in damage and disruptions to our manufacturing operations and distribution channels or our third party manufacturers’ operations, particularly where a product is primarily sourced from a single location. Also, the impacts of these climate changes may cause unpredictable water availability or exacerbate water scarcity. Water is critical to our business, and the lack of available water of acceptable quality may lead to, among other things, adverse effects on our operations. The increasing concern over climate change and related environmental sustainability matters also may result in more federal, state, local and foreign legal requirements to reduce or mitigate the effects of greenhouse gases or conserve and replenish water. If such laws are enacted, we may experience significant increases in our costs of operation and delivery. Further, our business could be adversely affected if we are unable to effectively address increased concerns from the media, stockholders and other stakeholders on climate change and related environmental sustainability and governance matters. As a result, climate change could negatively affect our business, financial condition, results of operations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significant amount of debt. As of September 30, 2020, we had $703.7 million in aggregate principal amount of total debt. Additionally, our secured revolving credit facility has a remaining borrowing capacity of $170.0 million as of September 30, 2020 (all of which would be secured when drawn).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17"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our level of indebtedness, we may be able to incur substantially more debt, which could further exacerbate the risks described above, and we may in any event be required to maintain a minimum level of indebtedness.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order to preserve its intended tax treatment in connection with the formation transactions that were undertaken as part of our IPO, we expect that, so long as Post has the ability to control us, Post will require that BellRing LLC maintain a minimum level of outstanding indebtedness equal to approximately $660.0 million, which takes into consideration the estimated amount of undistributed taxable income of BellRing LLC and its subsidiaries allocable to Post for the fiscal year ended September 30, 2020. See “Post controls our Company and has the ability to control the direction of our business” and “Post’s interests may conflict with our interests and the interests of our other stockholders. Conflicts of interest or disputes between Post and our Company could be resolved in a manner unfavorable to our Company and our other stockholders.”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 borrow money or guarantee debt; create liens; make investments and acquisitions; enter into, or permit to exist, contractual limits on the ability of our subsidiaries to pay dividends to us; enter into new lines of business; enter into transactions with affiliates; and sell assets or merge with other companies.</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in our existing or future financing arrangements could result in a default under those arrangements and under other arrangements that may contain cross-default provisions. 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credit agreement contains customary financial covenants, including a covenant requiring BellRing LLC to maintain a total net leverage ratio (as defined in our credit agreement) not to exceed 6.00:1.00, as measured as of the last day of each fiscal quarter.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ability to pay principal and interest on its debt obligations and to fund any planned capital expenditures and other cash needs will depend in part upon the future financial and operating performance of BellRing LLC and its subsidiaries. Prevailing economic conditions and financial, business, competitive, legislative, regulatory and other factors, many of which are beyond our control, will affect BellRing LLC’s ability to make these payments.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BellRing LLC is unable to make payments or we are unable to refinance our debt or obtain new financing under these circumstances, we may consider other options, including: sales of assets; sales of equity; reductions or delays of capital expenditures, strategic acquisitions, investments and alliances; or negotiations with our lenders to restructure the applicable debt.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negatively affect our earnings.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September 30, 2020, the aggregate principal amount of our debt instruments with exposure to interest rate risk was $703.7 million. As a result, higher interest rates will increase the cost of servicing our financial instruments with exposure to interest rate risk and could materially reduce our profitability and cash flows. As of September 30, 2020, each one hundred basis points change in LIBOR rates would result in an approximate $4.0 million change in the annual cash interest expense, before any principal payment, on our financial instruments with exposure to interest rate risk, including the impact of the $350.0 million in interest rate swap agreements and excluding the impact of any interest rate floors (as defined in our credit agreement).</w:t>
      </w:r>
    </w:p>
    <w:p>
      <w:pPr>
        <w:spacing w:after="0" w:line="5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U.K. Financial Conduct Authority announced that it intends to phase out LIBOR by the end of 2021. Certain of our variable rate debt use LIBOR as a benchmark for establishing interest rates. In addition, certain hedging transactions reference LIBOR as a benchmark rate in order to determine the applicable interest rate or payment amount. In the event LIBOR is discontinued, replaced or significantly changed, or ceases to be recognized as an acceptable benchmark, there may be uncertainty or differences in the calculation of the applicable interest rate or payment amount depending on the terms of the governing instrument. This could result in different financial performance for existing transactions, require different hedging strategies and require renegotiation for existing instruments. In addition, the transition from LIBOR could have a significant impact on the overall interest rate environment. While we do not expect the transition from LIBOR and the risks thereto to have a material adverse effect on us, it remains uncertain at this time.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controls our Company and has the ability to control the direction of our business.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Post owns the share of our Class B Common Stock, which, for so long as Post or its affiliates (other than us) directly own more than 50% of the BellRing LLC units, represents 67% of the total voting power of both classes of our outstanding common stock.</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long as Post or its affiliates (other than us) owns more than 50% of the BellRing LLC units, it will be able to control nearly all corporate actions that require a stockholder vote, regardless of the vote of any other stockholder. As a result, Post has the ability to control significant matters involving us, including:</w:t>
      </w:r>
    </w:p>
    <w:p>
      <w:pPr>
        <w:spacing w:after="0" w:line="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determinations with respect to mergers, business combinations, dispositions of assets or other extraordinary corporate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 our Class A Common Stock available for issuance under our equity incentive plans for our prospective and existing employees;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LLC units, Post will have the ability to substantially influence these matters for as long as it owns a significant portion of the voting power.</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an investment in us to decline.</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Post is acquired or otherwise experiences a change in control, any acquirer or successor will be entitled to exercise Post’s voting control with respect to us. Post, if it has redeemed BellRing LLC units for shares of our Class A Common Stock, generally has the right at any time to sell or otherwise dispose of the shares of our Class A Common Stock that it owns, including the ability to transfer a controlling interest in us to a third party, without the approval of any other stockholder and without providing for a purchase of any other stockholder’s shares of Class A Common Stock. Post and its affiliates may also directly transfer their BellRing LLC units to third parties without the consent or approval of the Board of Managers of BellRing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LLC units held by such third party in the event that Post or its applicable affiliate, as the holder of the share of our Class B Common Stock, holds in the aggregate 50% or less of the BellRing LLC units. In addition, Post may determine to distribute its beneficial retained interest in BellRing LLC by means of a spin-off to its shareholders.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Potential conflicts of interest or disputes may arise between Post and us in a number of areas relating to our past or ongoing relationships, including:</w:t>
      </w:r>
    </w:p>
    <w:p>
      <w:pPr>
        <w:spacing w:after="0" w:line="14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our IPO;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LLC;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various ancillary agreements that we entered into with Post in connection with our IPO are of varying durations and may be amended upon agreement of the parties. The terms of these agreements were primarily determined by Post, and, therefore, may not be representative of the terms we could have obtained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amended and restated certificate of incorporation includes certain provisions regulating and defining the conduct of our affairs to the extent that they may involve Post and its directors, officers, employees, agents and affiliates (except that we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Moreover, our amended and restated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renunciation does not extend to corporate opportunities expressly offered to one of our directors, officers, managers, employees or agents, solely in his or her capacity as a director, officer, manager, employee or agent of us.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80"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In order to preserve the ability of Post to distribute its beneficial retained interest in BellRing LLC on a tax-free basis, we may be prevented from pursuing opportunities to raise capital, to effectuate acquisitions or to provide equity incentives to our employees, which could hurt our ability to grow.</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current laws, in order to effect certain tax-free distributions of its beneficial retained interest in BellRing LLC, Post may wish to ensure that the aggregate value of the BellRing LLC assets owned indirectly by the holders of our Class A Common Stock does not exceed the value of Post’s beneficial retained interest in BellRing LLC. While Post has advised us that it does not have any definitive plans to undertake a tax-free distribution of its beneficial retained interest in BellRing LLC, Post may use its majority voting interest in us to retain its ability to engage in such a transaction in the future. This may cause Post to not support transactions we wish to pursue that involve issuing shares of our Class A Common Stock, including for capital raising purposes, as consideration for an acquisition or as equity incentives to our employees. The inability to pursue such transactions, if it occurs, may adversely affect our Company. See “Post controls our Company and has the ability to control the direction of our business” and “Post’s interests may conflict with our interests and the interests of our other stockholders. Conflicts of interest or disputes between Post and our Company could be resolved in a manner unfavorable to our Company and our other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Post require us to indemnify Post for certain tax liabilities.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our IPO, BellRing Inc. and BellRing LLC entered into a tax matters agreement with Post. Under the tax matters agreement, Post is responsible for all taxes for Post’s historical active nutrition business which relate to pre-IPO periods, and BellRing LLC generally is responsible for (i) all taxes imposed with respect to any consolidated, combined or unitary tax return of Post or any of its subsidiaries that includes BellRing LLC or any of its subsidiaries to the extent such taxes relate to post-IPO periods and are attributable to BellRing LLC or any of its subsidiaries, as determined under the tax matters agreement, and (ii) all taxes that relate to post-IPO periods imposed with respect to any consolidated, combined, unitary or separate tax returns of BellRing LLC or any of its subsidiaries, as determined under the tax matters agreement. To the extent Post fails to pay taxes imposed with respect to any consolidated, combined or unitary tax return of Post or any of its subsidiaries that includes BellRing Inc. or any of its subsidiaries, the relevant taxing authority could seek to collect such taxes (including taxes for which Post is responsible under the tax matters agreement) from BellRing Inc. or its subsidiaries.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LLC requires us to make cash payments to Post for certain tax benefits we may realize in the future, and these payments could be substantial.</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Post (or certain of its transferees or assignees) may redeem BellRing LLC units for, at the option of BellRing LLC (as determined by its Board of Managers), shares of our Class A Common Stock or cash pursuant to the amended and restated limited liability company agreement of BellRing LLC (the “BellRing LLC Limited Liability Company Agreement”). These redemptions, the formation transactions that were undertaken in connection with our IPO and certain actual or deemed distributions from BellRing LLC to Post (or certain of its transferees or assignees) or deemed sales by Post (or certain of its transferees or assignees) to BellRing Inc. or BellRing LLC of BellRing LLC units or assets, may result in increases in our pro rata share of the tax basis of BellRing LLC’s assets that otherwise would not have been available. Such increases in tax basis are likely to increase (for tax purposes) depreciation and amortization deductions allocable to us and therefore reduce the amount of income tax attributable to BellRing LLC’s operations we would otherwise be required to pay in the future and also may decrease gain (or increase loss) otherwise allocable to us from BellRing LLC on future dispositions of certain of BellRing LLC’s assets to the extent the increased tax basis is allocated to those assets. Furthermore, under Section 704(c) of the Internal Revenue Code (the “Code”), we will be entitled to certain tax benefits generated by the pre-existing, contributed tax basis in BellRing LLC’s assets in excess of our pro rata share of such basis at the time of the partnership’s formation. The Internal Revenue Service (the “IRS”) may challenge all or part of these tax basis increases and tax benefits and no assurances can be made regarding the availability of these tax basis increases or other tax benefits.</w:t>
      </w:r>
    </w:p>
    <w:p>
      <w:pPr>
        <w:spacing w:after="0" w:line="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IPO, BellRing Inc. entered into the tax receivable agreement with Post and BellRing LLC. Under the tax receivable agreement, BellRing Inc. is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Inc.), that we realize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(or, in some circumstances, we are deemed to realize) as a result of (a) the increase in the tax basis of the assets of BellRing LLC attributable to (i) the redemption of BellRing LLC units by Post (or certain of its transferees or assignees) pursuant to the BellRing LLC Limited Liability Company Agreement,</w:t>
      </w:r>
    </w:p>
    <w:p>
      <w:pPr>
        <w:jc w:val="both"/>
        <w:ind w:firstLine="8"/>
        <w:spacing w:after="0" w:line="285" w:lineRule="auto"/>
        <w:tabs>
          <w:tab w:leader="none" w:pos="2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deemed sales by Post (or certain of its transferees or assignees) of BellRing LLC units or assets to BellRing Inc. or BellRing LLC, (iii) certain actual or deemed distributions from BellRing LLC to Post (or certain of its transferees or assignees) and (iv) certain formation transactions that were undertaken in connection with our IPO, (b) disproportionate allocations of tax benefits to BellRing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Inc. to calculate tax benefits. Payments under the tax receivable agreement are not conditioned on Post’s continued ownership of BellRing LLC units or our Class A Common Stock or Class B Common Stock. The payment obligation is a payment obligation of BellRing Inc. and not of BellRing LLC.</w:t>
      </w:r>
    </w:p>
    <w:p>
      <w:pPr>
        <w:spacing w:after="0" w:line="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Post (or its transferees or assignees) may determine to redeem any or all of its BellRing LLC units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LLC at the time of the redemption, the extent to which such redemptions are taxable, the tax rates then applicable and the amount and timing of our income.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not be reimbursed for any payments made to Post under the tax receivable agreement in the event that any tax benefits are disallowed.</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tax receivable agreement provides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LLC units are actually redeemed. Such obligations under the tax receivable agreement, however, would not arise if Post distributes its beneficial retained interest in BellRing LLC by means of a spin-off to its shareholders.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organizational structure, including the fact that Post owns more than 50% of the voting power of our outstanding common stock and holds its economic interest in BellRing LLC directly, confers certain benefits upon Post that will not benefit the holders of our Class A Common Stock to the same extent as they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on a base equal to the U.S. federal taxable income of BellRing Inc.) that we realize (or, in some circumstances, we are deemed to realize) as a result of (a) the increase in the tax basis of assets of BellRing LLC attributable to (i) the redemption of BellRing LLC units by Post (or certain of its transferees or assignees) pursuant to the BellRing LLC Limited Liability Company Agreement, (ii) deemed sales by Post (or certain of its transferees or assignees) of BellRing LLC units or assets to BellRing Inc., (iii) certain actual or deemed distributions from BellRing LLC to Post (or certain of its transferees or assignees) and (iv) certain formation transactions that were undertaken in connection with our IPO, (b) disproportionate allocations of tax benefits to BellRing Inc. as a result of Section 704(c) of the Code and (c) certain tax benefits (e.g., basis adjustments, deductions,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6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event Post is acquired or otherwise experiences a change in control, any acquirer or successor will generally succeed to the rights and obligations of BellRing LLC (including under the tax receivable agreement), and the same considerations described above apply to any such successor parties.</w:t>
      </w:r>
    </w:p>
    <w:p>
      <w:pPr>
        <w:spacing w:after="0" w:line="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the BellRing LLC Board of Managers elects to make cash payments rather than issue shares of our Class A Common Stock in future redemptions of BellRing LLC units, such cash payments may reduce the amount of overall cash flow that would otherwise be available to us.</w:t>
      </w:r>
    </w:p>
    <w:p>
      <w:pPr>
        <w:spacing w:after="0" w:line="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Subject to the terms of the BellRing LLC Limited Liability Company Agreement, BellRing LLC units may be redeemed at any time for, at the option of BellRing LLC (as determined by its Board of Managers), (i) shares of our Class A Common Stock or (ii) cash (based on the market price of the shares of our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LLC, and also may negatively affect our ability to successfully execute our growth strategy.</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Post generally has the right at any time, if it has redeemed BellRing LLC units for shares of our Class A Common Stock, to sell or otherwise dispose of all or a portion of the shares of our Class A Common Stock that it owns to third parties. Post and its affiliates may also directly transfer their BellRing LLC units to third parties without the consent or approval of the Board of Managers of BellRing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LLC units, will provide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LLC units held by such third party. In addition, Post may determine to distribute its beneficial retained interest in BellRing LLC by means of a spin-off to its shareholders. A sale of a controlling interest in us to a third party would result in persons other than Post controlling us and could result in a change of management or changes in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and policies. Sales by Post in the public market of substantial amounts of our Class A Common Stock or a spin-off to its shareholders also could depress the price of our Class A Common Stock.</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Post has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services that Post provides to us may not be sufficient to meet our needs, which may result in increased costs and otherwise adversely affect our business.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connection with our IPO, BellRing Inc., BellRing LLC and Post entered into a master services agreement (the “MSA”) pursuant to which Post provides certain services to us, such as legal, finance, internal audit, treasury, information technology, support, human resources, insurance and tax matters. Post is not obligated to provide these services in a manner that differs from the nature of the services it provided to us prior to our IPO,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as a separate public company, and our historical financial information is not necessarily representative of the results we will achieve as a separate public company and may not be a reliable indicator of our future results.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historical financial information we have included in this report related to periods prior to our IPO in October 2019 does not reflect what our financial position, results of operations or cash flows would have been had we been a separate public company during those historical periods, or what our financial position, results of operations or cash flows will be in the future as a separate public company.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and will continue to incur additional expenses to create and maintain the corporate infrastructure to operate as a public company, and we have and will continue to experience increased ongoing costs in connection with being a public company.</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After our IPO, except as described below, we no longer have access to Post’s infrastructure or services, and we have had to establish our own. The services historically provided to us by Post included finance, information technology, legal, human resources, quality, supply chain and purchasing functions. Following our IPO, we continue to receive some of these services pursuant to the MSA with Post. There can be no assurance that all of the functions provided to us by Post under the MSA will be successfully executed by Post or that we will not have to expend significant efforts or costs materially in excess of those estimated in the MSA. Any interruption in these services could have a material adverse effect on our business, financial condition, results of operations and cash flows. In addition, upon termination of the MSA, we will need to perform these functions ourselves or hire third parties to perform these functions on our behalf.</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continue to satisfy the requirements of Section 404 of the Sarbanes-Oxley Act, or our internal control over financial reporting is not effective, the reliability of our financial statements may be questioned, and the price of our Class A Common Stock could decline.</w:t>
      </w:r>
    </w:p>
    <w:p>
      <w:pPr>
        <w:spacing w:after="0" w:line="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Section 404 of the Sarbanes-Oxley Act of 2002 (“SOX”) requires any company subject to the reporting requirements of the U.S. securities laws to do a comprehensive evaluation of its and its consolidated subsidiaries’ internal control over financial reporting. To comply with this statute, we are required to document and test our internal control procedures and our management is required to assess and issue a report concerning our internal control over financial reporting. At such time as we are no longer an “emerging growth company” under the JOBS Act and qualify as an “accelerated filer” or “large accelerated filer” as defined under SEC rules, our independent registered public accounting firm will be required to formally attest to the effectiveness of our internal control over financial reporting. For these reasons, our auditors’ report on internal controls is not contained in this report.</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significant deficiencies which may not be remedied in time to meet the deadlines imposed by SOX and SEC rules. If, at such time as each is required, our management cannot favorably assess the effectiveness of our internal control over financial reporting or our auditors identify material weaknesses in our internal controls, investor confidence in our financial results may weaken, the price of our Class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may suffer, and we could be subject to sanctions or investigations by the SEC or other regulatory authorities. In addition, in the event we do not maintain effective internal control over financial reporting, we might fail to timely prevent or detect potential financial misstatements.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operating results may differ significantly from our guidance.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the Company's historical financial statements. It does not extend to any guidance and should not be read to do so.</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market price of our Class A Common Stock could fluctuate significantly for many reasons, including in response to the risk factors listed in this report or for reasons unrelated to our specific performance, such as reports by industry analysts, our failure to meet analysts’ earnings estimates, investor perceptions, or negative developments relating to our customers, competitors or suppliers, as well as general economic and industry conditions including those resulting from the COVID-19 pandemic.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our stockholders to sell their shares of our Class A Common Stock at a time and price they consider appropriate, and could impair our ability to raise equity capital or use our Class A Common Stock as consideration for acquisitions of other businesses, investments or other corporate purposes.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authorizes us to issue up to 500.0 million shares of Class A Common Stock, one share of Class B Common Stock and up to 50.0 million shares of preferred stock with such rights and preferences as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may be determined by our Board of Directors. Subject to compliance with applicable law and various ancillary agreements we entered into with Post and its affiliates (other than us) in connection with our IPO,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intend to pay cash dividends on our Class A Common Stock for the foreseeable future. Consequently, our stockholders must rely on sales of their shares of our Class A Common Stock after price appreciation, which may never occur, as the only way to realize any future gains on their investment. Any future determination to pay dividends, including timing and amount,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Our ability to pay dividends depends on our receipt of cash dividends from our operating subsidiaries, including BellRing LLC, and our ability to pay dividends may be further restricted as a result of the laws of our subsidiaries’ jurisdictions of organization or their agreements, including agreements governing indebtedness.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79"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LLC units;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 takeover law (as further described below);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elected in our amended and restated certificate of incorporation not to be subject to Section 203 of the Delaware General Corporation Law. Nevertheless, our amended and restated certificate of incorporation contains provisions that have the same effect as Section 203 of the Delaware General Corporation Law, except that they provide that Post and its various successors and affiliates (and certain transferees of any of them designated in writing by Post) are not deemed to be “interested stockholders,” regardless of the percentage of our stock owned by them, and accordingly are not subject to such restrictions.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qualify as an “emerging growth company” as defined in the JOBS Act. For so long as we remain an emerging growth company, we are permitted and currently rely on certain provisions of the JOBS Act that contain exceptions from disclosure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and other requirements that otherwise are applicable to companies that file periodic reports with the SEC. These JOBS Act provisions: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report;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our SEC filings;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w:t>
      </w:r>
    </w:p>
    <w:p>
      <w:pPr>
        <w:spacing w:after="0" w:line="6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requiring mandatory audit firm rotation or a supplement to our auditor’s report in which the auditor would be required to provide additional information about the audit and our financial statements;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could be an emerging growth company for up to five years from the closing date of our IPO, or until the earliest of (i) the last day of the fiscal year in which we have more than $1.07 billion in annual gross revenue; (ii) the last day of the fiscal year in which we are deemed to be a “large accelerated filer” as defined in Rule 12b-2 under the Securities Exchange Act of 1934, as amended, which would occur if the market value of our Class A Common Stock that is held by non-affiliates exceeds $700.0 million as of the prior March 31 and we have been publicly reporting for at least 12 months; or (iii) the date on which we have issued more than $1.0 billion of non-convertible debt during the prior three-year period. Some investors may find our Class A Common Stock less attractive if we rely on these provisions, which could result in a less active trading market for our Class A Common Stock and higher volatility in our stock price.</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(the “NYSE”) corporate governance standards and we qualify for exemption from certain corporate governance requirements. We do not currently rely on any of these exemptions, but there can be no assurance that we will not rely on these exemptions in the future.</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Since Post owns more than 50% of the voting power of all of our outstanding common stock, we are a “controlled company” under the NYSE corporate governance standards and are eligible to rely on exemptions from the following NYSE corporate governance requirements:</w:t>
      </w:r>
    </w:p>
    <w:p>
      <w:pPr>
        <w:spacing w:after="0" w:line="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do not currently rely on any of these exemptions, but there can be no assurance that we will not rely on these exemptions in the future. If we were to utilize some or all of these exemptions, holders of our Class A Common Stock may not have the same protections afforded to stockholders of companies that are subject to all of the NYSE rules regarding corporate governance.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BellRing Inc.’s only material asset is its interest in BellRing LLC, and accordingly, BellRing Inc. depends on distributions from BellRing LLC to pay taxes and expenses, including payments under the tax receivable agreement. BellRing LLC’s ability to make such distributions may be subject to various limitations and restrictions.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BellRing Inc. is a holding company, and has no material assets other than BellRing Inc.’s ownership of BellRing LLC units and has no independent means of generating revenue or cash flow. BellRing LLC is treated as a partnership for U.S. federal income tax purposes and, as such, is generally not, with the exception of certain of its subsidiaries, subject to any entity-level U.S. federal income tax. Recently enacted legislation that is effective for taxable years beginning after December 31, 2017 may impute liability for adjustments to a partnership’s tax return on the partnership itself in certain circumstances, absent an election to the contrary. BellRing LLC has and in the future may elect out of the application of these rules (but certain of its subsidiaries will likely not), but there can be no assurance that it will be eligible to do so in each tax year or that such election will be made. BellRing LLC (or its subsidiaries that are partnerships) may be subject to material liabilities pursuant to this legislation and related guidance if, for example, its calculations of taxable income are incorrect. Its members may be required to reimburse BellRing LLC for taxes, interest, and penalties resulting from an audit. Taxable income is allocated to holders of BellRing LLC units, including BellRing Inc. As a result, BellRing Inc. incurs U.S. federal, state and local income taxes on its allocable share of any net taxable income of BellRing LLC. Under the terms of the BellRing LLC Limited Liability Company Agreement, BellRing LLC is obligated to make tax distributions pro rata to holders of the BellRing LLC units, including, in the case of BellRing Inc., in an amount sufficient to allow BellRing Inc. to pay its tax obligations in respect of taxable income allocated to it from BellRing LLC and to make any payments required under the tax receivable agreement. In addition to tax expenses, and expenses under the tax receivable agreement, which could be significant, BellRing Inc. also incurs expenses related to its operations. We expect that BellRing LLC will make distributions pro rata to holders of the BellRing LLC units in an amount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sufficient to allow BellRing Inc. to pay its operating expenses. In addition, the BellRing LLC Limited Liability Company Agreement provides that BellRing LLC will reimburse BellRing Inc. for any reasonable out-of-pocket expenses incurred on behalf of BellRing Inc., including all fees, costs and expenses of BellRing Inc. associated with being a public company and maintaining its corporate existence. However, BellRing LLC’s ability to make such distributions or reimbursement payments may be subject to various limitations and restrictions including, but not limited to, restrictions on distributions that would either violate any contract or agreement to which BellRing LLC is then a party, including any debt agreements, or any applicable law, or that would have the effect of rendering BellRing LLC insolvent. If BellRing LLC does not distribute sufficient funds for BellRing Inc. to pay its taxes or other liabilities, BellRing Inc. may have to borrow funds, which could adversely affect its liquidity and subject it to various restrictions imposed by any such lenders. To the extent that BellRing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may adversely affect us, which may result in adverse effects on our financial condition or the value of our common stock.</w:t>
      </w:r>
    </w:p>
    <w:p>
      <w:pPr>
        <w:spacing w:after="0" w:line="14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approximately 390 employees as of November 1, 2020, our profitability 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6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Post provides us space for our principal executive offices in St. Louis, Missouri pursuant to the MSA among BellRing Inc., BellRing LLC and Post. Our other administrative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“Business - Supply Chain” in Item 1 of this report.</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also lease administrative offices in Rogers, Arkansas; Munich, Germany and Worb, Switzerland. We lease warehouse space in Tagelswangen, Switzerland and, through third party logistics firms, a distribution center with warehouse space in Kleve, Germany and warehouse space in Farmers Branch, Texas. We also manufacture protein and energy bars and gels and conduct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through an owned facility in Voerde, Germany. Management believes our facilities generally are in good operating condition and, taken as a whole, are suitable, adequate and of sufficient capacity for our current operations.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required under this Item 3 is set forth in Note 15 within “Notes to Consolidated Financial Statements” included in Part II, Item 8 of this report and is incorporated herein by this reference.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Class A common stock, $0.01 par value per share (the “Class A Common Stock”) is traded on the New York Stock Exchange (the “NYSE”) under the symbol “BRBR”. Our Class B common stock, $0.01 par value per share (the “Class B Common Stock”) is not traded on any established public trading market. There were approximately 110 stockholders of record of our Class A Common Stock and 1 stockholder of record of our Class B Common Stock as of November 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intend to pay cash dividends on our Class A Common Stock for the foreseeable future. Any future determination to pay dividends, and the amount and timing of any such payment,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under this Item 5 concerning equity compensation plan information is set out below under Item 12 of this report and is incorporated herein by this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performance graph compares the changes for the period beginning October 17, 2019, the first day our Class A Common Stock began trading on the NYSE, through September 30, 2020 in the cumulative total value of $100 hypothetically invested in each of (i) BellRing Class A Common Stock; (ii) the Russell 2000 index; and (iii) the S&amp;P 1500 Packaged Foods &amp; Meats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57150</wp:posOffset>
            </wp:positionV>
            <wp:extent cx="5486400" cy="3257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$100 invested on October 17, 2019 in stock or index.</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erformance Graph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xml:space="preserve">BellRing Brands, Inc.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1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Russell 2000 Index ($)</w:t>
            </w:r>
          </w:p>
        </w:tc>
        <w:tc>
          <w:tcPr>
            <w:tcW w:w="1840" w:type="dxa"/>
            <w:vAlign w:val="bottom"/>
          </w:tcPr>
          <w:p>
            <w:pPr>
              <w:jc w:val="right"/>
              <w:ind w:right="133"/>
              <w:spacing w:after="0"/>
              <w:rPr>
                <w:sz w:val="20"/>
                <w:szCs w:val="20"/>
                <w:color w:val="auto"/>
              </w:rPr>
            </w:pPr>
            <w:r>
              <w:rPr>
                <w:rFonts w:ascii="Arial" w:cs="Arial" w:eastAsia="Arial" w:hAnsi="Arial"/>
                <w:sz w:val="16"/>
                <w:szCs w:val="16"/>
                <w:b w:val="1"/>
                <w:bCs w:val="1"/>
                <w:color w:val="auto"/>
              </w:rPr>
              <w:t>S&amp;P 1500 Packaged</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w w:val="95"/>
              </w:rPr>
              <w:t>Foods &amp; Meats Index ($)</w:t>
            </w:r>
          </w:p>
        </w:tc>
        <w:tc>
          <w:tcPr>
            <w:tcW w:w="0" w:type="dxa"/>
            <w:vAlign w:val="bottom"/>
          </w:tcPr>
          <w:p>
            <w:pPr>
              <w:spacing w:after="0"/>
              <w:rPr>
                <w:sz w:val="1"/>
                <w:szCs w:val="1"/>
                <w:color w:val="auto"/>
              </w:rPr>
            </w:pP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10/17/2019</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12/31/2019</w:t>
            </w:r>
          </w:p>
        </w:tc>
        <w:tc>
          <w:tcPr>
            <w:tcW w:w="1840" w:type="dxa"/>
            <w:vAlign w:val="bottom"/>
          </w:tcPr>
          <w:p>
            <w:pPr>
              <w:jc w:val="right"/>
              <w:spacing w:after="0"/>
              <w:rPr>
                <w:sz w:val="20"/>
                <w:szCs w:val="20"/>
                <w:color w:val="auto"/>
              </w:rPr>
            </w:pPr>
            <w:r>
              <w:rPr>
                <w:rFonts w:ascii="Arial" w:cs="Arial" w:eastAsia="Arial" w:hAnsi="Arial"/>
                <w:sz w:val="18"/>
                <w:szCs w:val="18"/>
                <w:color w:val="auto"/>
              </w:rPr>
              <w:t>129.03</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108.57</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3/31/2020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6/30/2020</w:t>
            </w:r>
          </w:p>
        </w:tc>
        <w:tc>
          <w:tcPr>
            <w:tcW w:w="1840" w:type="dxa"/>
            <w:vAlign w:val="bottom"/>
          </w:tcPr>
          <w:p>
            <w:pPr>
              <w:jc w:val="right"/>
              <w:spacing w:after="0"/>
              <w:rPr>
                <w:sz w:val="20"/>
                <w:szCs w:val="20"/>
                <w:color w:val="auto"/>
              </w:rPr>
            </w:pPr>
            <w:r>
              <w:rPr>
                <w:rFonts w:ascii="Arial" w:cs="Arial" w:eastAsia="Arial" w:hAnsi="Arial"/>
                <w:sz w:val="18"/>
                <w:szCs w:val="18"/>
                <w:color w:val="auto"/>
              </w:rPr>
              <w:t>120.85</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94.47</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9/30/2020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sales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988.3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827.5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 (b)</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(c)</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Less: Net earnings attributable to redeemable noncontrolling interest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Cash Flows Data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w w:val="92"/>
              </w:rPr>
              <w:t>Working capital (excluding cash, cash equivalents and current portion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of long-term debt)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Debt, including current portion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stockholders’ equity (e)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340" w:hanging="332"/>
        <w:spacing w:after="0" w:line="257" w:lineRule="auto"/>
        <w:tabs>
          <w:tab w:leader="none" w:pos="3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October 1, 2018, the Company adopted Accounting Standards Update (“ASU”) 2014-09, “Revenue from Contracts with Customers (Topic 606),” using the modified retrospective method of adoption. Therefore, “Net sales” for the years ended September 30, 2020 and 2019 are presented under Accounting Standards Codification (“ASC”) Topic 606, “Revenue from Contracts with Customers,” and “Net sales” for the years ended September 30, 2018, 2017 and 2016 are presented under ASC Topic 605, “Revenue Recognition.” For additional information about the adoption of ASU 2014-09, see Note 2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hanging="332"/>
        <w:spacing w:after="0" w:line="254"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year ended September 30, 2017, the Company recorded a charge of $26.5 million for the impairment of goodwill. The impairment charge related to the Dymatize reporting unit. In fiscal 2017, consistent with fiscal 2016, the specialty channel, from which the Dymatize reporting unit derived the majority of its sales, continued to experience weak sales, which resulted in management lowering its long-term expectations for the Dymatize reporting unit. After conducting the impairment analysis, it was determined that the carrying value of the Dymatize reporting unit exceeded its fair value by $76.6 million, and the Company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86"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fiscal 2018, the effective tax rate was impacted by the Tax Cuts and Jobs Act, which was enacted on December 22, 2017. For information about income tax expense, see Note 7 within “Notes to Consolidated Financial Statements.”</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1, 2019, the Company adopted ASU 2016-02, “Leases (Topic 842)” and ASU 2018-11, “Leases (Topic 842): Targeted Improvements” using the modified retrospective method of adoption. Therefore, “Total assets” and “Other liabilities” for the year ended September 30, 2020 are presented under ASC Topic 842, “Leases,” and “Total assets” and “Other liabilities” for the years ended September 30, 2019, 2018 and 2017 are presented under ASC Topic 840, “Leases.” For additional information about the adoption of these ASUs, see Notes 3 and 11 within “Notes to Consolidated Financial Statements.”</w:t>
      </w:r>
    </w:p>
    <w:p>
      <w:pPr>
        <w:spacing w:after="0" w:line="79"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21, 2019, the Company closed its initial public offering (the “IPO”). For additional information about the IPO, see Note 1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the financial statements under Item 8 of this report and the “Cautionary Statement On Forward-Looking Statements” on page 1. The terms “our,” “we,” “us,” “the Company” and “BellRing” as used herein refer to BellRing Brands, Inc. and its consolidated subsidiaries.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periods presented prior to our initial public offering (the “IPO”), these consolidated financial statements present the historical results of operations, comprehensive income, financial condition, cash flows and stockholders’ equity of the active nutrition business of Post Holdings, Inc (“Post”) prepared on a stand-alone basis. These consolidated financial statements also include the allocation of certain Post corporate expenses related to the active nutrition business of Post for the periods presented prior to our IPO. In the opinion of management, the assumptions underlying the historical consolidated financial statements of the active nutrition business of Post, including the basis on which the expenses have been allocated from Post, are reasonable. However, the allocations may not reflect the expenses that we may have incurred as a separate company for the periods presented prior to the IPO. For additional information, see “Risk Factors” in Item 1A and Note 5 within “Notes to Consolidated Financial Statements.”</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We are a consumer products holding company operating in the global convenient nutrition category and a provider of ready-to-drink (“RTD”) protein shakes, other RTD beverages, powders, nutrition bars and nutritional supplements. Our primary brands are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w:t>
      </w:r>
    </w:p>
    <w:p>
      <w:pPr>
        <w:spacing w:after="0" w:line="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BellRing Brands, Inc. (“BellRing Inc.”) closed its IPO of 39.4 million shares of its Class A common stock, $0.01 par value per share (the “Class A Common Stock”), which number of shares included the underwriters’ exercise in full of their option to purchase up to an additional 5.1 million shares of Class A Common Stock. BellRing Inc. received net proceeds from the IPO of approximately $524.4 million, after deducting underwriting discounts and commissions, all of which were contributed to BellRing Brands, LLC, a Delaware limited liability company and BellRing Inc.’s subsidiary (“BellRing LLC”) in exchange for 39.4 million BellRing LLC non-voting membership units (the “BellRing LLC units”).</w:t>
      </w:r>
    </w:p>
    <w:p>
      <w:pPr>
        <w:spacing w:after="0" w:line="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As a result of the IPO and certain other transactions completed in connection with the IPO (the “formation transactions”), BellRing Inc. became the holder of the active nutrition business of Post, which until the completion of the IPO, had been comprised of Premier Nutrition Company, LLC, Dymatize Enterprises, LLC, Supreme Protein, LLC,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Active Nutrition International GmbH. As a holding company, BellRing Inc. has no material assets other than its ownership of BellRing LLC units and its indirect interests in the subsidiaries of BellRing LLC and has no independent means of generating revenue or cash flow. For additional information on the IPO, see Note 1 within “Notes to Consolidated Financial Statements.”</w:t>
      </w:r>
    </w:p>
    <w:p>
      <w:pPr>
        <w:spacing w:after="0" w:line="5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BellRing Inc. owned 28.8% of the outstanding BellRing LLC units. The financial results of BellRing LLC and its subsidiaries were consolidated with BellRing Inc., and effective as of October 21, 2019, 71.2% of the consolidated net earnings were allocated to the redeemable noncontrolling interest (the “NCI”) to reflect the entitlement of Post to a portion of the consolidated net earnings. Prior to October 21, 2019, 100% of the consolidated net earnings of BellRing LLC were allocated to the NCI.</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Company Trends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the convergence of several factors to support the continued growth of the convenient nutrition category, including:</w:t>
      </w:r>
    </w:p>
    <w:p>
      <w:pPr>
        <w:spacing w:after="0" w:line="10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1940" w:hanging="8"/>
        <w:spacing w:after="0" w:line="422" w:lineRule="auto"/>
        <w:tabs>
          <w:tab w:leader="none" w:pos="65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rise in snacking and the desire for products that can be consumed on-the-go as nutritious snacks or meal replacements. Nonetheless, the consumer food and beverage industry faces a number of challenges and uncertainties, including:</w:t>
      </w:r>
    </w:p>
    <w:p>
      <w:pPr>
        <w:ind w:lef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highly competitive nature of the industry, which involves competition from a host of nutritional food and beverage companies, including manufacturers of other branded food and beverage products as well as manufacturers of private label and store brand products; and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changing consumer preferences which require food manufacturers to identify changing preferences and to offer products that appeal to consumers.</w:t>
      </w:r>
    </w:p>
    <w:p>
      <w:pPr>
        <w:spacing w:after="0" w:line="1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addition to the trends described above, we also experienced short-term supply constraints for our RTD protein shakes during the year ended September 30, 2019. Due to a combination of better than expected volume growth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and delays in planned incremental production capacity by our third party contract manufacturer network, our customer demand exceeded our available capacity and resulted in inventory below acceptable levels at September 30, 2018. To increase inventory and to minimize the overall impact to customers and consumers, we temporarily reduced our available RTD protein shake flavors in the first quarter of fiscal 2019 from seven to our two best-selling flavors, chocolate and vanilla. This decision adversely impacted the year-over-year growth rate for the year ended September 30, 2019 compared to growth trends experienced in fiscal 2018. During the second quarter of fiscal 2019, all flavors were re-introduced and we had significantly increased our RTD shake inventory levels by September 30,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in the past, and expect to continue to experience, seasonal fluctuations in our sales and operating profit margins because of customer spending patterns and timing of our key retailers’ promotional activity. Historically, our first fiscal quarter is seasonally low for all brands driven by a slowdown of consumption of our products during the holiday season. Sales are typically higher throughout the remainder of the fiscal year as a result of promotional activity at key retailers as well as organic growth of the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COVID-19 pandemic has created, and continues to create, economic disruption and uncertainty both globally and in our business during the year ended September 30, 2020. We continue to closely monitor the impact of the COVID-19 pandemic and developments related thereto, including the rising number of cases in the United States, and are taking necessary actions to safeguard the health of our employees, including their economic health, maintain the continuity of our supply chain to serve customers and consumers and preserve our financial liquidity to navigate the uncertainty caused by the pandemic. Examples of actions we have taken in response to the pandemic include implementing remote work arrangements and restrictions on business travel, enhancing facility safety measures and working closely with public health officials to follow additional health and safety guidelines. In addition, we drew an additional $65.0 million of our revolving credit facility to further enhance liquidity at the end of the second quarter of fiscal 2020 as a precautionary measure. This $65.0 million was subsequently repaid in May 2020.</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When the effects of the COVID-19 pandemic, including the actions of public health and other governmental officials in response to the pandemic, began to impact the global convenient nutrition category, our products sold through the food, drug and mass, club and eCommerce channels generally experienced an increase in sales as a result of consumer pantry loading in the second quarter of fiscal 2020. During the third quarter of fiscal 2020, our products experienced category-wide slower sales primarily resulting from changes in consumer behavior, including lower on-the-go consumption and, for Dymatize</w:t>
      </w:r>
      <w:r>
        <w:rPr>
          <w:rFonts w:ascii="Arial" w:cs="Arial" w:eastAsia="Arial" w:hAnsi="Arial"/>
          <w:sz w:val="17"/>
          <w:szCs w:val="17"/>
          <w:i w:val="1"/>
          <w:iCs w:val="1"/>
          <w:color w:val="auto"/>
        </w:rPr>
        <w:t>,</w:t>
      </w:r>
      <w:r>
        <w:rPr>
          <w:rFonts w:ascii="Arial" w:cs="Arial" w:eastAsia="Arial" w:hAnsi="Arial"/>
          <w:sz w:val="17"/>
          <w:szCs w:val="17"/>
          <w:color w:val="auto"/>
        </w:rPr>
        <w:t xml:space="preserve"> decreased access to sports nutrition products due to closures of specialty retail stores and gyms both in the U.S. and internationally. During the fourth quarter of fiscal 2020, the liquid and powders sub-categories returned to growth relatively in line with their pre-COVID-19 pandemic growth rates. However, the bar sub-category continues to experience year-over-year declines. International net sales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improved when compared to the third quarter of fiscal 2020, but continue to be negatively impacted by specialty retail store and gym closures. For additional discussion, refer to “Liquidity and Capital Resources” within this section, as well as and “Cautionary Statement on Forward-Looking Statements” and “Risk Factors” in Part I of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years ended September 30, 2020, 2019 and 2018, net sales and/or operating profit was impacted by the following items:</w:t>
      </w:r>
    </w:p>
    <w:p>
      <w:pPr>
        <w:spacing w:after="0" w:line="117" w:lineRule="exact"/>
        <w:rPr>
          <w:sz w:val="20"/>
          <w:szCs w:val="20"/>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short-term supply constraints for our RTD protein shakes, which resulted in smaller volume increases in the year ended September 30, 2019 as compared to the year ended September 30, 2018 (see “Industry &amp; Company Trends” above for further discussion);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left="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28"/>
        <w:spacing w:after="0" w:line="277" w:lineRule="auto"/>
        <w:tabs>
          <w:tab w:leader="none" w:pos="6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separation costs of $1.9 million and $6.7 million related to our separation from Post for the years ended September 30, 2020 and 2019, respectively;</w:t>
      </w:r>
    </w:p>
    <w:p>
      <w:pPr>
        <w:spacing w:after="0" w:line="62" w:lineRule="exact"/>
        <w:rPr>
          <w:rFonts w:ascii="Arial" w:cs="Arial" w:eastAsia="Arial" w:hAnsi="Arial"/>
          <w:sz w:val="18"/>
          <w:szCs w:val="18"/>
          <w:color w:val="auto"/>
        </w:rPr>
      </w:pPr>
    </w:p>
    <w:p>
      <w:pPr>
        <w:jc w:val="both"/>
        <w:ind w:left="680" w:hanging="328"/>
        <w:spacing w:after="0" w:line="263" w:lineRule="auto"/>
        <w:tabs>
          <w:tab w:leader="none" w:pos="6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of $8.8 million from selling, general and administrative expenses to net sales in the year ended September 30, 2019, in connection with the adoption of Accounting Standards Update (“ASU”) 2014-09, “Revenue from Contracts with Customers (Topic 606);” and</w:t>
      </w:r>
    </w:p>
    <w:p>
      <w:pPr>
        <w:spacing w:after="0" w:line="75" w:lineRule="exact"/>
        <w:rPr>
          <w:rFonts w:ascii="Arial" w:cs="Arial" w:eastAsia="Arial" w:hAnsi="Arial"/>
          <w:sz w:val="18"/>
          <w:szCs w:val="18"/>
          <w:color w:val="auto"/>
        </w:rPr>
      </w:pPr>
    </w:p>
    <w:p>
      <w:pPr>
        <w:ind w:left="680" w:hanging="32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settlement accruals of $9.0 million in the year ended September 30, 2018.</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further discussion, refer to “Results of Operations” within this section.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3"/>
              </w:rPr>
              <w:t>Fiscal 2020 compared to 2019</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3"/>
              </w:rPr>
              <w:t>Fiscal 2019 compared to 2018</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favorable/(unfavorable)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0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8"/>
                <w:szCs w:val="18"/>
                <w:color w:val="auto"/>
              </w:rPr>
            </w:pPr>
          </w:p>
        </w:tc>
        <w:tc>
          <w:tcPr>
            <w:tcW w:w="6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2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Less: Net earnings</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38 %</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attributable to NCI</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Earnings Available to</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Class A Common</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left="20" w:firstLine="324"/>
        <w:spacing w:after="0" w:line="271" w:lineRule="auto"/>
        <w:rPr>
          <w:sz w:val="20"/>
          <w:szCs w:val="20"/>
          <w:color w:val="auto"/>
        </w:rPr>
      </w:pPr>
      <w:r>
        <w:rPr>
          <w:rFonts w:ascii="Arial" w:cs="Arial" w:eastAsia="Arial" w:hAnsi="Arial"/>
          <w:sz w:val="17"/>
          <w:szCs w:val="17"/>
          <w:color w:val="auto"/>
        </w:rPr>
        <w:t xml:space="preserve">Net sales increased $133.9 million, or 16%, during the year ended September 30, 2020 compared to the prior year.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$148.2 million, or 22%, with volume up 23%. Volume increases were driven by higher RTD protein shake product volumes which primarily related to distribution gains, lapping short-term capacity constraints in the prior year, incremental promotional activity and new product introductions, partially offset by lower other RTD beverages volumes.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down $4.0 million, or 4%, with volume down 1%. Volumes decreased primarily due to lower international and specialty channel volumes, largely resulting from consumer reaction to the COVID-19 pandemic, partially offset by higher eCommerce volumes. Sales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were down $9.1 million, or 20%, with volume down 29%, driven by strategic sales reductions of low performing products within our North American portfolio and lower international channel volumes resulting from consumer reaction to the COVID-19 pandemic. Sales of all other products were down $1.2 million.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Fiscal 2019 compared to 2018</w:t>
      </w:r>
    </w:p>
    <w:p>
      <w:pPr>
        <w:spacing w:after="0" w:line="117" w:lineRule="exact"/>
        <w:rPr>
          <w:sz w:val="20"/>
          <w:szCs w:val="20"/>
          <w:color w:val="auto"/>
        </w:rPr>
      </w:pPr>
    </w:p>
    <w:p>
      <w:pPr>
        <w:jc w:val="both"/>
        <w:ind w:left="20" w:firstLine="324"/>
        <w:spacing w:after="0" w:line="291" w:lineRule="auto"/>
        <w:rPr>
          <w:sz w:val="20"/>
          <w:szCs w:val="20"/>
          <w:color w:val="auto"/>
        </w:rPr>
      </w:pPr>
      <w:r>
        <w:rPr>
          <w:rFonts w:ascii="Arial" w:cs="Arial" w:eastAsia="Arial" w:hAnsi="Arial"/>
          <w:sz w:val="16"/>
          <w:szCs w:val="16"/>
          <w:color w:val="auto"/>
        </w:rPr>
        <w:t xml:space="preserve">Net sales increased $26.9 million, or 3%, during the year ended September 30, 2019 compared to the prior 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$43.8 million, or 7%, with volume up 5%, driven by higher average net selling prices resulting from targeted price increases and higher RTD protein shake product volumes, partially offset by lower bar volumes.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up $4.3 million, or 4%, with volume up 3%, primarily due to distribution gains in the mass channel and organic growth in the eCommerce channel, partially offset by declines in the domestic specialty channel.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$15.6 million, or 26%, with volume down 29%, driven by distribution losses and strategic sales reductions of low performing products within our North American portfolio. Sales of all other products were down $5.6 million. Fiscal 2019 net sales were impacted by the reclassification of certain payments to customers of $8.8 million from selling expenses to net sales in connection with the adoption of ASU 2014-09.</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left="20" w:firstLine="324"/>
        <w:spacing w:after="0" w:line="259" w:lineRule="auto"/>
        <w:rPr>
          <w:sz w:val="20"/>
          <w:szCs w:val="20"/>
          <w:color w:val="auto"/>
        </w:rPr>
      </w:pPr>
      <w:r>
        <w:rPr>
          <w:rFonts w:ascii="Arial" w:cs="Arial" w:eastAsia="Arial" w:hAnsi="Arial"/>
          <w:sz w:val="18"/>
          <w:szCs w:val="18"/>
          <w:color w:val="auto"/>
        </w:rPr>
        <w:t>Operating profit increased $1.5 million, or 1%, during the year ended September 30, 2020 compared to the prior year. This increase was primarily driven by higher net sales, as previously discussed, and lower costs related to the separation from Post of $4.8 million. These positive impacts were partially offset by higher net product costs of $17.4 million, as unfavorable raw materials costs were partially offset by lower manufacturing and freight costs, as well as increased advertising and promotional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spending of $13.1 million, incremental public company costs of $8.7 million (including higher stock-based compensation expense of $2.9 million), higher employee-related expenses of $5.0 million and higher warehousing costs of $3.7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compared to 2018</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Operating profit increased $42.7 million, or 36%, during the year ended September 30, 2019 compared to the prior year. Operating profit for the year ended September 30, 2019 was impacted by separation costs of $6.7 million and the year ended September 30, 2018 was impacted by litigation settlement accruals of $9.0 million. Excluding these impacts, operating profit increased $40.4 million, or 31%. This increase was primarily driven by higher net sales, as previously discussed, lower net product costs of $19.6 million, as favorable raw materials and freight costs were partially offset by increased manufacturing costs, and reduced advertising and promotional spending of $5.4 million. These positive impacts were partially offset by higher employee-related expenses of $6.6 million and increased brokerage and warehousing costs of $2.2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net was $54.7 million during the year ended September 30, 2020, compared to zero during each of the years ended September 30, 2019 and 2018. The increase in interest expense compared to each of the prior years was primarily due to the issuance of debt in the first quarter of fiscal 2020. Additionally, we recognized net hedging losses of $2.8 million on interest rate swaps during the year ended September 30, 2020. We had no debt outstanding or interest rate swaps during either of the years ended September 30, 2019 and 2018. See Note 14 for additional information on our debt and Note 12 for additional information on our interest rate swaps.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effective income tax rate for fiscal 2020 was 8.4% compared to 24.2% for fiscal 2019 and 19.8% for fiscal 2018. A reconciliation of income tax expense with amounts computed at the federal statutory tax rate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 (a)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Enacted tax law and changes, including the Tax Act (a)</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NCI</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State income taxes, net of effect on federal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Tax-deductible transaction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Uncertain tax position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(none in excess of 5% of computed tax)</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000" w:type="dxa"/>
            <w:vAlign w:val="bottom"/>
          </w:tcPr>
          <w:p>
            <w:pPr>
              <w:ind w:left="1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Fiscal 2020 and 2019 federal corporate income taxes were computed at the federal statutory tax rate of 21%, and fiscal 2018 federal corporate income tax was computed using a blended United States (the “U.S.”) federal corporate income tax rate of 24.5%. The fiscal 2018 federal corporate income tax rate was impacted by the Tax Cuts and Jobs Act (the “Tax Act”), as discussed below.</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decrease in our effective income tax rate for fiscal 2020 compared to each of the prior years was primarily due to us taking into account for U.S. federal, state and local income tax purposes our 28.8% distributive share of the items of income, gain, loss and deduction of BellRing LLC in the period subsequent to the IPO. Prior to the IPO and formation transactions, we reported 100% of the income, gain, loss and deduction of BellRing LLC.</w:t>
      </w:r>
    </w:p>
    <w:p>
      <w:pPr>
        <w:spacing w:after="0" w:line="4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Additionally, in fiscal 2018, the effective income tax rate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was prorated with the pre-December 22, 2017 U.S. federal corporate income tax rate of 35% for the 2018 tax year. This proration resulted in a blended U.S. federal corporate income tax rate of 24.5% for fiscal 2018. During the year ended September 30, 2018, BellRing LLC:</w:t>
      </w:r>
    </w:p>
    <w:p>
      <w:pPr>
        <w:spacing w:after="0" w:line="4" w:lineRule="exact"/>
        <w:rPr>
          <w:sz w:val="20"/>
          <w:szCs w:val="20"/>
          <w:color w:val="auto"/>
        </w:rPr>
      </w:pPr>
    </w:p>
    <w:p>
      <w:pPr>
        <w:jc w:val="both"/>
        <w:ind w:firstLine="8"/>
        <w:spacing w:after="0" w:line="255"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remeasured its existing deferred tax assets and liabilities considering both the 2018 fiscal blended rate and the 21% rate for future periods and recorded a tax benefit of $9.9 million and (ii) calculated the one-time transition tax and recorded tax expense of $0.5 million. Full expensing of certain depreciable assets will result in a temporary difference as assets are placed in service.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21, 2019, BellRing Inc. closed its IPO of 39.4 million shares of Class A Common Stock, which number of shares included the underwriters’ exercise in full of their option to purchase up to an additional 5.1 million shares of Class A Common Stock. BellRing Inc. received net proceeds from the IPO of $524.4 million, after deducting underwriting discounts and commissions.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11, 2019, in connection with the IPO and the formation transactions, Post entered into a $1,225.0 million Bridge Facility Agreement (the “Bridge Loan Facility”) and borrowed $1,225.0 million under the Bridge Loan Facility (the “Bridge Loan”). Certain of Post’s domestic subsidiaries (other than BellRing Inc. but including BellRing LLC and its domestic subsidiaries) guaranteed the Bridge Loan. On October 21, 2019, BellRing LLC entered into a Borrower Assignment and Assumption Agreement with Post and the administrative agent under the Bridge Loan Facility, under which (i) BellRing LLC became the borrower under the Bridge Loan and assumed all interest of $2.2 million thereunder, and Post and its subsidiary guarantors (other than BellRing LLC and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BellRing LLC’s assets and substantially all of the assets of its subsidiary guarantors (other than real property). BellRing LLC did not receive any of the proceeds of the Bridge Loan.</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October 21, 2019, BellRing LLC entered into a credit agreement (the “Credit Agreement”) which provides for a term B loan facility in an aggregate principal amount of $700.0 million (the “Term B Facility”), and a revolving credit facility in an aggregate principal amount of $200.0 million (the “Revolving Credit Facility”). In connection with the IPO, BellRing LLC borrowed the full amount under the Term B Facility and $120.0 million under the Revolving Credit Facility and used the proceeds, together with the net proceeds of the IPO that were contributed to it by BellRing Inc.,</w:t>
      </w:r>
    </w:p>
    <w:p>
      <w:pPr>
        <w:spacing w:after="0" w:line="2" w:lineRule="exact"/>
        <w:rPr>
          <w:sz w:val="20"/>
          <w:szCs w:val="20"/>
          <w:color w:val="auto"/>
        </w:rPr>
      </w:pPr>
    </w:p>
    <w:p>
      <w:pPr>
        <w:jc w:val="both"/>
        <w:ind w:firstLine="8"/>
        <w:spacing w:after="0" w:line="273" w:lineRule="auto"/>
        <w:tabs>
          <w:tab w:leader="none" w:pos="21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repay in full the $1,225.0 million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certain borrowings under the Revolving Credit Facility.</w:t>
      </w:r>
    </w:p>
    <w:p>
      <w:pPr>
        <w:spacing w:after="0" w:line="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September 30, 2020, BellRing LLC borrowed $195.0 million under the Revolving Credit Facility and repaid $165.0 million on the Revolving Credit Facility. BellRing LLC had $170.0 million of borrowing capacity and no outstanding letters of credit under the Revolving Credit Facility as of September 30, 2020. Letters of credit are available under the Revolving Credit Facility in an aggregate amount of up to $20.0 million. The Credit Agreement provides for potential incremental revolving and term facilities at BellRing LLC’s request and at the discretion of the lenders thereunder or other persons providing such incremental facilities, in each case on terms to be determined, and also permits BellRing LLC to incur other secured or unsecured debt, in all cases subject to conditions and limitations on the amount as specified in the Credit Agreement.</w:t>
      </w:r>
    </w:p>
    <w:p>
      <w:pPr>
        <w:spacing w:after="0" w:line="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Additionally, we entered into a tax receivable agreement with Post and BellRing LLC that provides for the payment by us or one of our subsidiaries to Post (or certain of its transferees or other assignees) of 85% of the amount of cash savings, if any, in U.S. federal income tax, as well as state and local income tax and franchise tax (using an assumed tax rate) and foreign tax that we realize (or, in some circumstances, are deemed to realize) as a result of (a) the increase in the tax basis of assets of BellRing LLC attributable to (i) the redemption of Post’s (or certain transferees’ or assignees’) BellRing LLC units for shares of our Class A Common Stock or cash, (ii) deemed sales by Post (or certain of its transferees or assignees) of BellRing LLC units or assets to us,</w:t>
      </w:r>
    </w:p>
    <w:p>
      <w:pPr>
        <w:spacing w:after="0" w:line="2" w:lineRule="exact"/>
        <w:rPr>
          <w:sz w:val="20"/>
          <w:szCs w:val="20"/>
          <w:color w:val="auto"/>
        </w:rPr>
      </w:pPr>
    </w:p>
    <w:p>
      <w:pPr>
        <w:jc w:val="both"/>
        <w:ind w:firstLine="8"/>
        <w:spacing w:after="0" w:line="255" w:lineRule="auto"/>
        <w:tabs>
          <w:tab w:leader="none" w:pos="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actual or deemed distributions from BellRing LLC to Post (or certain transferees or assignees) and (iv) certain formation transactions, (b) disproportionate allocations of tax benefits to us as a result of Section 704(c) of the Internal Revenue Code and (c) certain tax benefits (e.g., imputed interest, basis adjustments, etc.) attributable to payments under the tax receivable agreement.</w:t>
      </w:r>
    </w:p>
    <w:p>
      <w:pPr>
        <w:spacing w:after="0" w:line="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additional information on the IPO, the formation transactions, the tax receivable agreement and the Credit Agreement, see Notes 1, 7 and 14 within “Notes to Consolidated Financial Statements.”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2021. Our ability to generate positive cash flows from operations is dependent on general economic conditions, competitive pressures and other business risk factors. As a result of uncertainties in the near-term outlook for our business caused by the COVID-19 pandemic, we have taken steps to limit spending on travel and other operating expenses, and we continue to focus on cash flow generation. If we are unable to generate sufficient cash flows from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operations, or otherwise to comply with the terms of BellRing LLC’s credit facilities, we may be required to seek additional financing alternatives.</w:t>
      </w:r>
    </w:p>
    <w:p>
      <w:pPr>
        <w:spacing w:after="0" w:line="1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its amended and restated limited liability company agreement (the “BellRing LLC agreement”), BellRing LLC may make distributions to its members from time to time at the discretion of the Board of Managers. Such distributions are made to the members on a pro rata basis in proportion to the number of BellRing LLC units held by each member, except that the Board of Managers may cause BellRing LLC to make non-proportionate distributions to BellRing Inc. in connection with any cash redemption of BellRing Inc.’s Class A Common Stock. The BellRing LLC agreement provides, to the extent cash is available, for distributions pro rata to the holders of BellRing LLC units such that members receive an amount of cash sufficient to cover the estimated taxes payable by them including, in the case of BellRing Inc., an amount sufficient to allow BellRing Inc. to make any payments required under the tax receivable agreement. In addition, the BellRing LLC agreement provides that BellRing LLC will reimburse BellRing Inc. for any reasonable out-of-pocket expenses incurred on behalf of BellRing LLC, including all fees, costs and expenses of BellRing Inc. associated with being a public company and maintaining its corporate existence.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select cash flow data, which is discussed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0"/>
              </w:rPr>
              <w:t>Year Ended September 30,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12"/>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7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2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29"/>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760" w:type="dxa"/>
            <w:vAlign w:val="bottom"/>
          </w:tcPr>
          <w:p>
            <w:pPr>
              <w:ind w:left="10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provided by operating activities for the year ended September 30, 2020 decreased $1.1 million compared to the prior year. The decrease was primarily driven by higher interest payments of $48.8 million due to the increase in the principal balance of our outstanding debt and incremental income tax payments of $9.8 million. These higher payments were partially offset by favorable working capital changes of $26.2 million primarily due to the build up of inventory in the prior year related to short-term supply constraints, partially offset by fluctuations in the timing of sales and collections of trade receivables and the timing of purchases and payments of trade payables.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compared to 2018</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Cash provided by operating activities for the year ended September 30, 2019 decreased $42.9 million compared to the year ended September 30, 2018. The decrease was driven by unfavorable working capital changes of $86.7 million, partially offset by higher operating profit. Changes in working capital were driven by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 as well as the impacts of fluctuations in the timing of sales, largely connected with the timing of promotional activity, and payments of legal settlements.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year ended September 30, 2020 decreased $1.1 million compared to the prior year, resulting from a decrease in capital expenditures.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compared to 2018</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year ended September 30, 2019 decreased $1.8 million compared to the year ended September 30, 2018, resulting from a decrease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financing activities for the year ended September 30, 2020 was $52.6 million. BellRing LLC received proceeds of $686.0 million, net of discount, related to the issuance of the Term B Facility and drew an aggregate of $195.0 million on the Revolving Credit Facility. In addition, BellRing Inc. received $524.4 million from the issuance of its Class A Common Stock in conjunction with the IPO. BellRing LLC had net cash transfers of $32.1 million to Post which included cash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deposits prior to the IPO, tax distributions to Post pursuant to the BellRing LLC Agreement and state tax withholdings payments on behalf of Post. BellRing LLC also repaid the $1,225.0 million outstanding principal balance of the Bridge Loan assumed from Post, repaid $165.0 million of outstanding borrowings on the Revolving Credit Facility and repaid $26.3 million on the principal balance of the Term B Facility. In connection with the issuance of BellRing LLC’s long-term debt, BellRing LLC paid $9.6 million in debt issuance costs and deferred financing fees.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financing activities for the year ended September 30, 2019 was $100.2 million, which primarily related to cash transfers to and from Post. The components of net transfers included cash deposits to Post and cash borrowings received from Post used to fund operations or capital expenditures and allocations of Post’s corporate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compared to 2018</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Cash used in financing activities for the year ended September 30, 2019 decreased $32.8 million compared to the year ended September 30, 2018. Financing activities primarily related to cash transfers to and from Post. The components of net transfers included cash deposits to Post and cash borrowings received from Post used to fund operations or capital expenditures and allocations of Post’s corporate expenses.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terms of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September 30, 2020, and we do not believe non-compliance is reasonably likely in the foreseeable future.</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provides for potential incremental revolving and term facilities at BellRing LLC’s request and at the discretion of the lenders or other persons providing such incremental facilities, in each case on terms to be determined, and also permits BellRing LLC to incur other secured or unsecured debt, in all cases subject to conditions and limitations on the amount as specified in the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2020. For consideration of the table below, “Less Than 1 Year” refers to obligations due between October 1, 2020 and September 30, 2021, “1-3 Years” refers to obligations due between October 1, 2021 and September 30, 2023, “3-5 Years” refers to obligations due between October 1, 2023 and September 30, 2025 and “More Than 5 Years” refers to any obligations due after September 30, 2025.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80" w:type="dxa"/>
            <w:vAlign w:val="bottom"/>
          </w:tcPr>
          <w:p>
            <w:pPr>
              <w:spacing w:after="0"/>
              <w:rPr>
                <w:sz w:val="16"/>
                <w:szCs w:val="16"/>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14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Less Than 1 Year</w:t>
            </w:r>
          </w:p>
        </w:tc>
        <w:tc>
          <w:tcPr>
            <w:tcW w:w="22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6"/>
                <w:szCs w:val="1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16"/>
                <w:szCs w:val="16"/>
                <w:color w:val="auto"/>
              </w:rPr>
            </w:pP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3"/>
        </w:trPr>
        <w:tc>
          <w:tcPr>
            <w:tcW w:w="4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Interest obligations (b) (c)</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 (d)</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9" w:lineRule="auto"/>
        <w:tabs>
          <w:tab w:leader="none" w:pos="3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obligations included an aggregate principal amount of $673.7 million outstanding on the Term B Facility and an aggregate principal amount of $30.0 million outstanding under the Revolving Credit Facility. A mandatory prepayment of excess cash flow (as defined in our Credit Agreement) in the amount of $28.8 million is required to be paid 95 days after September 30, 2020. Refer to Note 14 within “Notes to Consolidated Financial Statements” for additional information.</w:t>
      </w:r>
    </w:p>
    <w:p>
      <w:pPr>
        <w:spacing w:after="0" w:line="78"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the current outstanding balance based on the weighted average effective interest rate at September 30, 2020 until the maturity date in October 2024.</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September 30, 2020, we had interest rate swaps with a notional value of $350.0 million that obligate us to pay a fixed rate and receive one-month LIBOR, and require monthly cash settlements that began in January 2020 and will end in December 2022. These payments have been excluded from this table. For additional information on our interest rate swaps, refer to “Quantitative and Qualitative Disclosures About Market Risk” in Item 7A of this report and Note 12 within “Notes to Consolidated Financial Statements.”</w:t>
      </w:r>
    </w:p>
    <w:p>
      <w:pPr>
        <w:spacing w:after="0" w:line="78"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(such as “take-or-pay” contracts); fixed, minimum or variable price provisions; and the approximate timing of the transaction.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COMMODITY TRENDS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price fluctuations primarily from purchases of ingredients and packaging materials, transportation costs and energy. Our principal ingredients are milk-based, whey-based and soy-based proteins, protein blends, sweeteners and vitamin and mineral blends. Our principal packaging materials consist of aseptic foil and plastic lined cardboard cartons, flexible and rigid plastic film and containers, beverage packaging and corrugate. These costs have been volatile in recent years, especially in fiscal 2020 due to the market impacts resulting from the COVID-19 pandemic,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2020, 2019 and 2018, but could have a material impact in the future if inflation rates were to significantly exceed our ability to achieve price increases.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2019 and 2018, we did not have any off-balance sheet arrangements as defined in Item 303(a)(4) of Regulation S-K that are likely to have a material impact on our financial position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the IPO, our operations were conducted by and accounted for as part of the active nutrition business of Post. These historical consolidated financial statements were prepared on a stand-alone basis and were derived from the consolidated financial statements and accounting records of Post. The consolidated financial statements reflect the historical results of operations, financial position and cash flows of the active nutrition business of Post and the allocation of certain Post corporate expenses relating to the active nutrition business of Post based on the historical financial statements and accounting records of Post. In the opinion of management, the assumptions underlying the historical consolidated financial statements, including the basis on which the expenses have been allocated from Post, are reasonable. However, the allocations may not reflect the expenses that BellRing Inc. may have incurred as a separate company for the periods presented.</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significant accounting policies are described in Note 2 within “Notes to Consolidated Financial Statements.” Our critical accounting estimates are those that have a meaningful impact on the reporting of our financial condition and results of operations.</w:t>
      </w:r>
    </w:p>
    <w:p>
      <w:pPr>
        <w:spacing w:after="0" w:line="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We recognize revenue when performance obligations have been satisfied by transferring control of the goods to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we primarily use the “expected value” method to determine variable consideration. We do not believe that there will be significant changes to our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 We review long-lived assets, including leasehold improvements, property and equipment and amortized intangible assets,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Goodwill represents the excess of the cost of acquired businesses over the fair market value of their identifiable net assets. We conduct a</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w:t>
      </w:r>
    </w:p>
    <w:p>
      <w:pPr>
        <w:spacing w:after="0" w:line="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fiscal 2020, the Company performed a qualitative test and determined there were no indicators, including adverse trends in the business, that would indicate it was more likely than not that goodwill was impaired. In fiscal 2019 and 2018, the Company elected not to perform a qualitative assessment and instead performed a quantitative impairment test. The quantitative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 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6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did not record a goodwill impairment charge in fiscal 2020, 2019 or 2018, as the Company passed either the qualitative or quantitative impairment test during each fiscal year.</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 We estimate income tax expense based on taxes in each jurisdiction. We estimate current tax exposures together with temporary</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within “Notes to Consolidated Financial Statements” for more information about estimates affecting income taxes.</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within “Notes to Consolidated Financial Statements” for a discussion regarding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COVID-19 pandemic has resulted in significant volatility and uncertainty in the markets in which the Company operates. At the time of this report, the COVID-19 pandemic has not had, and the Company does not currently expect to have, a significant impact on its exposure to market risk from commodity prices, foreign currency exchange rates and interest rates, among others. For additional discussion, refer to “Liquidity and Capital Resources” in Item 7, as well as “Cautionary Statement on Forward-Looking Statements” and “Risk Factors” in Part I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and fuels.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September 30, 2020, BellRing LLC had an aggregate principal amount of $673.7 million outstanding on its Term B Facility and an aggregate principal amount of $30.0 million outstanding under its Revolving Credit Facility. Borrowings under the Term B Facility and the Revolving Credit Facility bear interest at variable rates. Including the impact of interest rate swaps, a hypothetical 10% increase in interest rates would have an immaterial impact on both interest expense and interest paid during the year ended September 30, 2020. BellRing LLC had no outstanding debt as of September 30, 2019. For additional information regarding BellRing LLC’s debt, see Note 14 within “Notes to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the Company had interest rate swaps with a notional value of $350.0 million. A hypothetical 10% adverse change in interest rates would have an immaterial impact on the fair value of the interest rate swaps as of September 30, 2020. The Company held no interest rate swaps as of September 30, 2019. For additional information regarding the Company’s interest rate swap contracts, see Note 12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96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31"/>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6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320" w:type="dxa"/>
            <w:vAlign w:val="bottom"/>
          </w:tcPr>
          <w:p>
            <w:pPr>
              <w:ind w:left="2740"/>
              <w:spacing w:after="0"/>
              <w:rPr>
                <w:sz w:val="20"/>
                <w:szCs w:val="20"/>
                <w:color w:val="auto"/>
              </w:rPr>
            </w:pPr>
            <w:r>
              <w:rPr>
                <w:rFonts w:ascii="Arial" w:cs="Arial" w:eastAsia="Arial" w:hAnsi="Arial"/>
                <w:sz w:val="18"/>
                <w:szCs w:val="18"/>
                <w:b w:val="1"/>
                <w:bCs w:val="1"/>
                <w:color w:val="auto"/>
              </w:rPr>
              <w:t>INDEX TO FINANCIAL STATEMENTS</w:t>
            </w:r>
          </w:p>
        </w:tc>
        <w:tc>
          <w:tcPr>
            <w:tcW w:w="1640" w:type="dxa"/>
            <w:vAlign w:val="bottom"/>
          </w:tcPr>
          <w:p>
            <w:pPr>
              <w:spacing w:after="0"/>
              <w:rPr>
                <w:sz w:val="24"/>
                <w:szCs w:val="24"/>
                <w:color w:val="auto"/>
              </w:rPr>
            </w:pP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b w:val="1"/>
                <w:bCs w:val="1"/>
                <w:color w:val="auto"/>
              </w:rPr>
              <w:t>Audited Consolidated Financial Statements</w:t>
            </w:r>
          </w:p>
        </w:tc>
        <w:tc>
          <w:tcPr>
            <w:tcW w:w="1640" w:type="dxa"/>
            <w:vAlign w:val="bottom"/>
          </w:tcPr>
          <w:p>
            <w:pPr>
              <w:spacing w:after="0"/>
              <w:rPr>
                <w:sz w:val="22"/>
                <w:szCs w:val="22"/>
                <w:color w:val="auto"/>
              </w:rPr>
            </w:pPr>
          </w:p>
        </w:tc>
      </w:tr>
      <w:tr>
        <w:trPr>
          <w:trHeight w:val="229"/>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640" w:type="dxa"/>
            <w:vAlign w:val="bottom"/>
            <w:shd w:val="clear" w:color="auto" w:fill="CCEEFF"/>
          </w:tcPr>
          <w:p>
            <w:pPr>
              <w:jc w:val="right"/>
              <w:ind w:right="13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r>
      <w:tr>
        <w:trPr>
          <w:trHeight w:val="230"/>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Operations for the Fiscal Years Ended September 30, 2020, 2019 and 2018</w:t>
            </w:r>
          </w:p>
        </w:tc>
        <w:tc>
          <w:tcPr>
            <w:tcW w:w="1640" w:type="dxa"/>
            <w:vAlign w:val="bottom"/>
          </w:tcPr>
          <w:p>
            <w:pPr>
              <w:jc w:val="right"/>
              <w:ind w:right="13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r>
      <w:tr>
        <w:trPr>
          <w:trHeight w:val="229"/>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Comprehensive Income for the Fiscal Years Ended September 30, 2020, 2019 and 2018</w:t>
            </w:r>
          </w:p>
        </w:tc>
        <w:tc>
          <w:tcPr>
            <w:tcW w:w="1640" w:type="dxa"/>
            <w:vAlign w:val="bottom"/>
            <w:shd w:val="clear" w:color="auto" w:fill="CCEEFF"/>
          </w:tcPr>
          <w:p>
            <w:pPr>
              <w:jc w:val="right"/>
              <w:ind w:right="13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229"/>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as of September 30, 2020 and 2019</w:t>
            </w:r>
          </w:p>
        </w:tc>
        <w:tc>
          <w:tcPr>
            <w:tcW w:w="1640" w:type="dxa"/>
            <w:vAlign w:val="bottom"/>
          </w:tcPr>
          <w:p>
            <w:pPr>
              <w:jc w:val="right"/>
              <w:ind w:right="13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53</w:t>
              </w:r>
            </w:hyperlink>
          </w:p>
        </w:tc>
      </w:tr>
      <w:tr>
        <w:trPr>
          <w:trHeight w:val="230"/>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 for the Fiscal Years Ended September 30, 2020, 2019 and 2018</w:t>
            </w:r>
          </w:p>
        </w:tc>
        <w:tc>
          <w:tcPr>
            <w:tcW w:w="1640" w:type="dxa"/>
            <w:vAlign w:val="bottom"/>
            <w:shd w:val="clear" w:color="auto" w:fill="CCEEFF"/>
          </w:tcPr>
          <w:p>
            <w:pPr>
              <w:jc w:val="right"/>
              <w:ind w:right="13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r>
      <w:tr>
        <w:trPr>
          <w:trHeight w:val="229"/>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Stockholders’ Equity for the Fiscal Years Ended September 30, 2020, 2019 and 2018</w:t>
            </w:r>
          </w:p>
        </w:tc>
        <w:tc>
          <w:tcPr>
            <w:tcW w:w="1640" w:type="dxa"/>
            <w:vAlign w:val="bottom"/>
          </w:tcPr>
          <w:p>
            <w:pPr>
              <w:jc w:val="right"/>
              <w:ind w:right="13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55</w:t>
              </w:r>
            </w:hyperlink>
          </w:p>
        </w:tc>
      </w:tr>
      <w:tr>
        <w:trPr>
          <w:trHeight w:val="229"/>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640" w:type="dxa"/>
            <w:vAlign w:val="bottom"/>
            <w:shd w:val="clear" w:color="auto" w:fill="CCEEFF"/>
          </w:tcPr>
          <w:p>
            <w:pPr>
              <w:jc w:val="right"/>
              <w:ind w:right="13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BellRing Brands,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audited the accompanying consolidated balance sheets of BellRing Brands, Inc. (the “Company”) as of September 30, 2020 and 2019, and the related consolidated statements of operations, of comprehensive income, of stockholders' equity and of cash flows for each of the three years in the period ended September 30, 2020, including the related notes (collectively referred to as the “consolidated financial statements”). In our opinion, the consolidated financial statements present fairly, in all material respects, the financial position of the Company as of September 30, 2020 and 2019, and the results of its operations and its cash flows for each of the three years in the period ended September 30, 2020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fiscal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988.3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650.3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164.0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109.3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of Class A Common Stock Outstanding:</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on derivatives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Reclassifications to net earnings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Unrealized foreign currency translation adjustments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 benefit (expense) on other comprehensive loss: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Net loss on derivatives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 to net earnings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Loss Including Redeemable Noncontrolling Interest</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Available to Class A Common Stockholders</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15)</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Preferred stock, $0.01 par value; 50,000,000 and zero shares authorized, respectively; zero shares issued or</w:t>
            </w:r>
          </w:p>
        </w:tc>
        <w:tc>
          <w:tcPr>
            <w:tcW w:w="3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3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Common stock, $0.01 par value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 zero and 1,000 shares authorized, issued and outstanding, respectively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460" w:type="dxa"/>
            <w:vAlign w:val="bottom"/>
          </w:tcPr>
          <w:p>
            <w:pPr>
              <w:ind w:left="240"/>
              <w:spacing w:after="0" w:line="176" w:lineRule="exact"/>
              <w:rPr>
                <w:sz w:val="20"/>
                <w:szCs w:val="20"/>
                <w:color w:val="auto"/>
              </w:rPr>
            </w:pPr>
            <w:r>
              <w:rPr>
                <w:rFonts w:ascii="Arial" w:cs="Arial" w:eastAsia="Arial" w:hAnsi="Arial"/>
                <w:sz w:val="18"/>
                <w:szCs w:val="18"/>
                <w:color w:val="auto"/>
                <w:w w:val="89"/>
              </w:rPr>
              <w:t>Class A common stock; 500,000,000 and zero shares authorized, respectively; 39,428,571 and zero shares issued</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240"/>
              <w:spacing w:after="0"/>
              <w:rPr>
                <w:sz w:val="20"/>
                <w:szCs w:val="20"/>
                <w:color w:val="auto"/>
              </w:rPr>
            </w:pPr>
            <w:r>
              <w:rPr>
                <w:rFonts w:ascii="Arial" w:cs="Arial" w:eastAsia="Arial" w:hAnsi="Arial"/>
                <w:sz w:val="18"/>
                <w:szCs w:val="18"/>
                <w:color w:val="auto"/>
              </w:rPr>
              <w:t>and outstanding, respectively</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B common stock; 1 and zero shares authorized, issued and outstanding, respectively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Net investment of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175"/>
        </w:trPr>
        <w:tc>
          <w:tcPr>
            <w:tcW w:w="7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Adjustments to reconcile net earnings including redeemable noncontrolling interest to net cash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interest rate swaps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(Increase) decrease in receivables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(Increase) decrease in prepaid expenses and 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 (increase) in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r>
      <w:tr>
        <w:trPr>
          <w:trHeight w:val="236"/>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Payments of debt issuance costs and deferred financing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Post Holdings, Inc.,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2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1"/>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6"/>
                <w:szCs w:val="16"/>
                <w:b w:val="1"/>
                <w:bCs w:val="1"/>
                <w:color w:val="auto"/>
                <w:w w:val="98"/>
              </w:rPr>
              <w:t>As Of and For The Year Ended September 30,</w:t>
            </w: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Beginning and end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available to Class A Common Stockholders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Distributions to Post Holdings, Inc.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Initial public offering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Investment of Post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Net earnings attributable to Post Holdings, Inc.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Initial public offering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 net investment of Post Holdings, Inc.</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Net change in hedges,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Preferred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and end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Common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information or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nutrition bars and nutritional supplements.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BellRing Brands Inc. (“BellRing Inc.”) closed its initial public offering (the “IPO”) of 39.4 shares of its Class A common stock, $0.01 par value per share (the “Class A Common Stock”), which number of shares included the underwriters’ exercise in full of their option to purchase up to an additional 5.1 shares of Class A Common Stock. BellRing Inc. received net proceeds from the IPO of $524.4, after deducting underwriting discounts and commissions, all of which were contributed to BellRing Brands, LLC, a Delaware limited liability company and subsidiary of BellRing Inc. (“BellRing LLC”), in exchange for 39.4 BellRing LLC non-voting membership units (the “BellRing LLC units”).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BellRing LLC became the holder of the active nutrition business of Post Holdings, Inc. (“Post”), which until the completion of the IPO, had been comprised of Premier Nutrition Company, LLC (“Premier Nutrition”), Dymatize Enterprises, LLC (“Dymatize”), Supreme Protein,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 (“Active Nutrition International”).</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BellRing Inc., as a holding company, has no material assets other than its ownership of BellRing LLC units and its indirect interests in the subsidiaries of BellRing LLC and has no independent means of generating revenue or cash flow.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members of BellRing LLC are Post and BellRing Inc.</w:t>
      </w:r>
    </w:p>
    <w:p>
      <w:pPr>
        <w:spacing w:after="0" w:line="117"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Post holds 97.5 BellRing LLC units, equal to 71.2% of the economic interest in BellRing LLC, and one share of Class B common stock of BellRing Inc., $0.01 par value per share (the “Class B Common Stock”), which, for so long as Post or its affiliates (other than the Company) directly own more than 50% of the BellRing LLC units, represents 67% of the combined voting power of the common stock of BellRing Inc. The Class B Common Stock has no dividend or other economic rights. Subject to the terms of the amended and restated limited liability company agreement of BellRing LLC (the “LLC Agreement”),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 The share of Class B Common Stock is owned by Post and cannot be transferred except to affiliates of Post and its subsidiaries (other than the Company). BellRing Inc. does not intend to list its Class B Common Stock on any stock exchange.</w:t>
      </w:r>
    </w:p>
    <w:p>
      <w:pPr>
        <w:spacing w:after="0" w:line="7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 stockholders of BellRing Inc. (i) own 39.4 shares of Class A Common Stock, which together, for so long as Post or its affiliates (other than the Company) directly own more than 50% of the BellRing LLC units, represents 33% of the combined voting power of BellRing Inc. common stock and 100% of the economic interest in BellRing Inc., and (ii) through BellRing Inc.’s ownership of BellRing LLC units, indirectly hold 28.8% of the economic interest in BellRing LLC.</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BellRing Inc. and BellRing LLC will at all times maintain, subject to certain exceptions, a one-to-one ratio between the number of shares of Class A Common Stock issued by BellRing Inc. and the number of BellRing LLC units owned by BellRing Inc.</w:t>
      </w:r>
    </w:p>
    <w:p>
      <w:pPr>
        <w:spacing w:after="0" w:line="62"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 Post controls BellRing Inc. through its ownership of the share of Class B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results of BellRing LLC and its subsidiaries are consolidated with BellRing Inc., and effective as of October 21, 2019, 71.2% of the consolidated net earnings of BellRing LLC are allocated to the redeemable noncontrolling interest (the “NCI”) to reflect the entitlement of Post to a portion of the consolidated net earnings. Prior to October 21, 2019, 100% of the consolidated net earnings of BellRing LLC were allocated to the NCI.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For the periods prior to the IPO, the consolidated financial statements present the consolidated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financial position, cash flows and stockholders’ equity of the active nutrition business of Post. All intercompany balances and transactions have been eliminated. Transactions between the Company and Post are included in these financial statements as well as allocations of certain Post corporate expenses. These allocated expenses related to various services that were provided to the Company by Post, including, but not limited to, cash management and other treasury services, administrative services (such as tax, employee benefit administration, risk management, internal audit, accounting and human resources) and stock-based compensation plan administration. See Note 5 for further information on services that Post continues to provide to the Company.</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 ended September 30, 2020, $76.6 of the consolidated net earnings of BellRing LLC were allocated to the NCI, of which $5.5 reflects the entitlement of Post to 100% of the consolidated net earnings of BellRing LLC prior to the IPO, and $71.1 reflects the entitlement of Post to 71.2% of the consolidated net earnings of BellRing LLC subsequent to the IPO. For the years ended September 30, 2019 and 2018, $123.1 and $96.1 of the consolidated net earnings of BellRing LLC were allocated to the NCI to reflect the entitlement of Post to 100% of the consolidated net earnings of BellRing LLC prior to the IPO, respectively.</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Use of Estimates and Allocations </w:t>
      </w:r>
      <w:r>
        <w:rPr>
          <w:rFonts w:ascii="Arial" w:cs="Arial" w:eastAsia="Arial" w:hAnsi="Arial"/>
          <w:sz w:val="17"/>
          <w:szCs w:val="17"/>
          <w:color w:val="auto"/>
        </w:rPr>
        <w:t>— The consolidated financial statements of the Company are prepared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include all highly liquid investments with original maturities of less than three months.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the Company had $48.7 and $5.5, respectively, in available cash, of which 25.7% and 72.8%, respectively, was outside of the United States (the “U.S.”). The Company’s intention is to reinvest these funds indefinitely.</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 Receivables are reported at net realizable value. This value includes appropriate allowances for doubtful accounts, cash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generally valued at the lower of average cost (determined on a first-in, first-out basis) or net realizable value (“NRV”).</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have been reduced by a write-down for obsolete product and packaging materials based on a review of inventories on hand compared to estimated future usage and sales.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 Property is recorded at cost, and depreciation expense is generally provided on a straight-line basis over the estimated useful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Estimated useful lives range from 1 to 13 years for machinery and equipment; 1 to 33 years for buildings, building improvements and leasehold improvements; and 1 to 5 years for software. Total depreciation expense was $2.9, $3.1 and $3.1 in fiscal 2020, 2019 and 2018, respectively. Any gains and losses incurred on the sale or disposal of assets would be included in other operating income/expense in the statement of operations. Repair and maintenance costs incurred in connection with on-going and planned major maintenance activities are accounted for under the direct expensing method. Property consisted of: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2019</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Property,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and 2019, the majority of the Company’s tangible long-lived assets were located in Europe and had a net carrying value of $6.6 and $6.3, respectively; the remainder were located in the U.S.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cost of acquired businesses over the fair market value of their identifiable net assets.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fiscal 2020, the Company performed a qualitative test and determined there were no indicators, including adverse trends in the business, that would indicate it was more likely than not that goodwill was impaired. In fiscal 2019 and 2018, the Company elected not to perform a qualitative assessment and instead performed a quantitative impairment test. The quantitative goodwill impairment test requires an entity to compare the fair value of each reporting unit with its carrying amount. 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2020, 2019 or 2018, as all reporting units with goodwill passed either the qualitative or quantitative impairment test.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Consolidated Balance Sheets at both the beginning and end of the years ended September 30, 2020 and 2019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r>
      <w:tr>
        <w:trPr>
          <w:trHeight w:val="248"/>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 Intangible assets consist primarily of definite-lived customer relationships and trademarks and brands. Amortization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definite-lived intangible assets, which is provided on a straight-line basis (as it approximates the economic benefit) over the estimated useful lives of the assets, was $22.2, $22.2 and $22.8 in fiscal 2020, 2019 and 2018, respectively. For the definite-lived intangible assets recorded as of September 30, 2020, amortization expense of $22.2 is expected in each of the next five fiscal years. Intangible assets consisted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9"/>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3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Arial" w:cs="Arial" w:eastAsia="Arial" w:hAnsi="Arial"/>
                <w:sz w:val="16"/>
                <w:szCs w:val="16"/>
                <w:b w:val="1"/>
                <w:bCs w:val="1"/>
                <w:color w:val="auto"/>
              </w:rPr>
              <w:t>Net</w:t>
            </w:r>
          </w:p>
        </w:tc>
      </w:tr>
      <w:tr>
        <w:trPr>
          <w:trHeight w:val="213"/>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Recoverability of Assets </w:t>
      </w:r>
      <w:r>
        <w:rPr>
          <w:rFonts w:ascii="Arial" w:cs="Arial" w:eastAsia="Arial" w:hAnsi="Arial"/>
          <w:sz w:val="18"/>
          <w:szCs w:val="18"/>
          <w:color w:val="auto"/>
        </w:rPr>
        <w:t>— The Company continually evaluates whether events or circumstances have occurred which might impair the recoverability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carrying value of its assets, including property, identifiable intangibles and goodwill.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8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In the ordinary course of business, the Company is exposed to commodity price risks relating to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derivative programs may include strategies that do and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All derivatives are recognized on the balance sheet at fair value. For derivatives that qualify for hedge accounting, the derivative is designated as a hedge on the date in which the derivative contract is entered. Derivatives could be designated as a hedge of the variability of cash flows to be received or paid related to a recognized asset or liability (cash flow hedge). Derivatives may also be considered natural hedging instruments, where changes in their fair values act as economic offsets to changes in fair values of the underlying hedged items and are not designated for hedge accounting. The Company does not have any derivatives currently or previously designated as a net investment or fair value hedge.</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cash flow hedges, the effective portion of gains and losses are recorded in other comprehensive income (“OCI”), until earnings are affected by the variability of cash flows. If the hedge is no longer effective, all changes in the fair value of the derivative are included in earnings for each period until the instrument matures. Changes in the fair value of derivatives that are not designated for hedge accounting are recognized in earnings. Cash flows from derivatives that are accounted for as hedges and cash flows from derivatives that are not designated as hedges are classified in the same category on the Consolidated Statements of Cash Flows as the items being hedged or on bases consistent with the nature of the instruments.</w:t>
      </w:r>
    </w:p>
    <w:p>
      <w:pPr>
        <w:spacing w:after="0" w:line="6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conjunction with the adoption of Accounting Standards Update (“ASU”) 2016-02, “Leases (Topic 842)” and ASU 2018-11, “Leases</w:t>
      </w:r>
      <w:r>
        <w:rPr>
          <w:rFonts w:ascii="Arial" w:cs="Arial" w:eastAsia="Arial" w:hAnsi="Arial"/>
          <w:sz w:val="16"/>
          <w:szCs w:val="16"/>
          <w:i w:val="1"/>
          <w:iCs w:val="1"/>
          <w:color w:val="auto"/>
        </w:rPr>
        <w:t xml:space="preserve"> </w:t>
      </w:r>
      <w:r>
        <w:rPr>
          <w:rFonts w:ascii="Arial" w:cs="Arial" w:eastAsia="Arial" w:hAnsi="Arial"/>
          <w:sz w:val="16"/>
          <w:szCs w:val="16"/>
          <w:color w:val="auto"/>
        </w:rPr>
        <w:t>(Topic 842): Targeted Improvements” on October 1, 2019, the policy for lease accounting was updated. See Note 11 for a summary of the updated policy.</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Parent Investment </w:t>
      </w:r>
      <w:r>
        <w:rPr>
          <w:rFonts w:ascii="Arial" w:cs="Arial" w:eastAsia="Arial" w:hAnsi="Arial"/>
          <w:sz w:val="18"/>
          <w:szCs w:val="18"/>
          <w:color w:val="auto"/>
        </w:rPr>
        <w:t>— Net parent investment on the Consolidated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its accumulated net income and the net effect of the transactions with and allocations from Post prior to the IPO.</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 In conjunction with the adoption of ASU 2014-09 “Revenue from Contracts with Customers (Topic 606),” on October 1, 2018, the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for recognizing revenue was updated. The policy for recognizing revenue is as follows: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summarizes the impact of the Company’s adoption of Accounting Standards Codification (“ASC”) Topic 606 on a modified retrospective basis in the Company’s Consolidated Statement of Operations for the year ended September 30, 2019. As a result of the adoption, certain payments to customers totaling $8.8 in the year ended September 30, 2019 previously classified in “Selling, general and administrative expenses” were classified as “Net Sales” in the Consolidated Statement of Operations. These payments to customers related to trade advertisements that supported the Company’s sales to customers. In accordance with ASC Topic 606, these payments were determined not to be distinct within the customer contracts and, as such, required classification within net sales. No changes to the balance sheet were required by the adoption of ASC Topic 606.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6"/>
                <w:szCs w:val="16"/>
                <w:b w:val="1"/>
                <w:bCs w:val="1"/>
                <w:color w:val="auto"/>
                <w:w w:val="91"/>
              </w:rPr>
              <w:t>Year Ended September 30, 2019</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As Reported</w:t>
            </w:r>
          </w:p>
        </w:tc>
        <w:tc>
          <w:tcPr>
            <w:tcW w:w="16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0"/>
              </w:rPr>
              <w:t>As Reported</w:t>
            </w:r>
          </w:p>
        </w:tc>
        <w:tc>
          <w:tcPr>
            <w:tcW w:w="300" w:type="dxa"/>
            <w:vAlign w:val="bottom"/>
          </w:tcPr>
          <w:p>
            <w:pPr>
              <w:spacing w:after="0"/>
              <w:rPr>
                <w:sz w:val="13"/>
                <w:szCs w:val="13"/>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w w:val="95"/>
              </w:rPr>
              <w:t>Impact of</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7"/>
              </w:rPr>
              <w:t>Under Prior</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Under Topic 606</w:t>
            </w: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Guidance</w:t>
            </w:r>
          </w:p>
        </w:tc>
        <w:tc>
          <w:tcPr>
            <w:tcW w:w="30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6"/>
                <w:szCs w:val="16"/>
                <w:b w:val="1"/>
                <w:bCs w:val="1"/>
                <w:color w:val="auto"/>
                <w:w w:val="93"/>
              </w:rPr>
              <w:t>Adoption</w:t>
            </w:r>
          </w:p>
        </w:tc>
        <w:tc>
          <w:tcPr>
            <w:tcW w:w="0" w:type="dxa"/>
            <w:vAlign w:val="bottom"/>
          </w:tcPr>
          <w:p>
            <w:pPr>
              <w:spacing w:after="0"/>
              <w:rPr>
                <w:sz w:val="1"/>
                <w:szCs w:val="1"/>
                <w:color w:val="auto"/>
              </w:rPr>
            </w:pPr>
          </w:p>
        </w:tc>
      </w:tr>
      <w:tr>
        <w:trPr>
          <w:trHeight w:val="22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6"/>
          <w:szCs w:val="16"/>
          <w:color w:val="auto"/>
        </w:rPr>
        <w:t>Selling, general and administrative expenses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intangible assets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Profit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-334010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125" w:right="33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fiscal 2018, the policy for recognizing revenue was as follows: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Revenue is recognized when title of goods and risk of loss is transferred to the customer, as specified by the shipping terms. Net sales 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6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among other things, inbound and outbound freight costs and depreciation expense related to assets</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production, while storage and other warehousing costs are included in “Selling, general and administrative expenses” in the Consolidated Statements of Operations. Storage and other warehousing costs totaled $17.4, $13.7 and $11.8 in fiscal 2020, 2019 and 2018, respectively.</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Advertising costs are expensed as incurred, except for costs of producing media advertising such as television commercials or magazine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online advertisements, which are deferred until the first time the advertising takes place and amortized over the period the advertising runs. The amounts reported as assets on the Consolidated Balance Sheets as “Prepaid expenses and other current assets” were immaterial as of September 30, 2020 and 2019.</w:t>
      </w:r>
    </w:p>
    <w:p>
      <w:pPr>
        <w:spacing w:after="0" w:line="79"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Prior to the IPO, the Company’s employees had solely participated in Post’s stock-based compensation plans. Stock-based compensation expense under Post’s stock-based compensation plans had been allocated to the Company based on the awards and terms previously granted to its employees. All awards outstanding under Post’s stock-based compensation plans will continue to vest and the Company will record stock based-compensation expense related to those awards. Subsequent to the IPO, the Company’s employees also began to participate in the Company’s 2019 Long-Term Incentive Plan.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 — the requisite service period (usually the vesting period). Any forfeitures of stock-based awards are recorded as they occur. See Note 16 for disclosures related to stock-based compensation.</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 Income tax expense is estimated based on income taxes in each jurisdiction and includes the effects of both current tax</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BellRing Inc. holds 28.8% of the economic interest in BellRing LLC (see Note 1), which, as a result of the IPO and formation transactions, is treated as a partnership for U.S. federal income tax purposes. As a partnership, BellRing LLC is itself generally not subject to United States (the “U.S.”) federal income tax under current U.S. tax laws. BellRing Inc. is subject to U.S. federal income taxes, in addition to state and local income taxes, with respect to its 28.8% distributive share of the items of income, gain, loss and deduction of BellRing LLC. BellRing Inc. is also subject to taxes in foreign jurisdictions. Prior to the IPO and formation transactions, the Company reported 100% of the income, gain, loss and deduction of BellRing LLC as part of Post’s consolidated U.S. federal income tax return and therefore, was subject to U.S. federal income taxes, in addition to state, local and foreign taxes. See Note 7 for disclosures related to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2020, the Financial Accounting Standards Board (the “FASB”) issued ASU 2020-04, “Reference Rate Reform (Topic 848): Facilitation of the Effects of Reference Rate Reform on Financial Reporting.” This ASU provides optional expedients and exceptions for contracts, hedging relationships and other transactions that reference the London Interbank Offered Rate (“LIBOR”) or another reference rate expected to be discontinued because of reference rate reform. The expedients and exceptions provided by this ASU do not apply to contract modifications made and hedging relationships entered into or evaluated after December 31, 2022. This ASU is elective and effective for all entities as of March 12, 2020, the date this ASU was issued. An entity may elect to apply the amendments for contract modifications provided by this ASU as of any date from the beginning of an interim period that includes or is subsequent to March 12, 2020, or prospectively from a date within an interim period that includes or is subsequent to March 12, 2020. Once elected, this ASU must be applied prospectively for all eligible contract modifications. The Company is currently evaluating the impact of this ASU as it relates to its debt and hedging relationships that reference LIBOR.</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provides guidance on the measurement of credit losses for most financial assets and certain other instruments. This ASU replaces the current incurred loss impairment approach with a methodology to reflect expected credit losses and requires consideration of a broader range of reasonable and supportable information to explain credit loss estimates. This ASU is effective for annual periods beginning after December 15, 2019 and interim periods therein (i.e., BellRing’s financial statements for the year ending September 30, 2021). The Company has substantially completed its analysis of this ASU’s impact on its trade receivables. The Company will adopt this ASU on October 1, 2020 and does not expect this guidance to have a material impact on its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This ASU simplifies the accounting for income taxes by removing certain exceptions for recognizing deferred taxes for investments, performing intra-period allocations and calculating income taxes in interim periods. The Company early adopted this ASU as of June 30, 2020 on a prospective basis, as permitted by the ASU. The adoption of this ASU did not have a material impact on the Company’s consolidated financial statements.</w:t>
      </w:r>
    </w:p>
    <w:p>
      <w:pPr>
        <w:spacing w:after="0" w:line="6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February 2016, the FASB issued ASU 2016-02, “Leases (Topic 842).” This ASU requires a company to recognize right-of-use (“ROU”) assets and lease liabilities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 Company adopted these ASUs on October 1, 2019, and utilized the cumulative effect adjustment approach. At adoption, the Company recognized ROU assets and lease liabilities of $14.8 and $16.0, respectively, on the consolidated balance sheet at October 1, 2019. The adoption of these ASUs did not materially impact the statements of operations or cash flows. In addition, the Company provides expanded disclosures related to its leasing arrangements in accordance with theses ASUs. For additional information, refer to Note 11.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Powders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7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988.3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11.1%, 13.6% and 14.5% of total fiscal 2020, 2019 and 2018 net sales, respectively. The largest concentration of foreign sales was within Europe, which accounted for 41.5%, 38.8% and 43.0% of total foreign net sales in fiscal 2020, 2019 and 2018, respectively. Sales are attributed to individual countries based on the address to which the product is shipped.</w:t>
      </w:r>
    </w:p>
    <w:p>
      <w:pPr>
        <w:spacing w:after="0" w:line="7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Two customers individually accounted for more than 10% of total net sales in each of the years ended September 30, 2020, 2019 and 2018. One customer accounted for 35.7%, 32.0% and 34.5% of total net sales in the years ended September 30, 2020, 2019 and 2018, respectively. The other customer accounted for 31.6%, 37.9% and 36.1% of total net sales in the years ended September 30, 2020, 2019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the IPO, the Company used certain functions and services performed by Post. These functions and services included legal, finance, internal audit, treasury, information technology support, insurance and tax matters, the use of office and/or data center space, payroll processing services and tax compliance services. Costs for these functions and services performed by Post were allocated to the Company based on a reasonable activity base (including specific costs, revenue, net assets and headcount, or a combination of such items) or another reasonable method. For the years ended September 30, 2019 and 2018, allocated costs were $12.6 and $4.6, respectively, including $6.7 and zero, respectively, of costs related to the separation from Post. Allocated costs were included in “Selling, general and administrative expenses” in the Consolidated Statements of Operations. Costs related to the separation from Post were $1.9 for the year ended September 30, 2020.</w:t>
      </w:r>
    </w:p>
    <w:p>
      <w:pPr>
        <w:spacing w:after="0" w:line="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the completion of the IPO, Post continues to provide these services and other services to the Company under a master services agreement (“MSA”). In addition to charges for these services, the Company also incurs certain pass-through charges from Post, primarily relating to stock-based compensation for employees participating in Post’s stock-based compensation plans. MSA fees for the year ended September 30, 2020 were $2.2, and stock-based compensation expense related to Post’s stock-based compensation plans for the year ended September 30, 2020 was $3.9. See Note 16 for further information related to Post’s stock-based compensation plans. MSA fees and stock-based compensation expense were reported in “Selling, general and administrative expenses” in the Consolidated Statement of Operations.</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sells certain products to Post and its subsidiaries. For the periods prior to the IPO, the amounts related to these transactions were included in the accompanying financial statements based upon transfer prices in effect at the time of the individual transactions. For the period subsequent to the IPO, these transactions were based upon pricing governed by agreements between the Company and Post and its subsidiaries. These transactions were consistent with prices of similar arm's-length transactions during all periods. During each of the years ended September 30, 2020, 2019 and 2018, net sales to, purchases from and royalties paid to Post and its subsidiaries were immaterial.</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IPO, the Company entered into a series of agreements with Post which are intended to govern the ongoing relationship between the Company and Post. These agreements included the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immaterial receivables and $1.3 of payables with Post at September 30, 2020 related to MSA fees and pass-through charges owed by the Company to Post, as well as related party sales and purchases. The receivables and payables were included in “Receivables, net” and “Accounts payable,” respectively, on the Consolidated Balance Sheet. During the year ended September 30, 2020, BellRing LLC paid $21.4 to Post related to quarterly tax distributions from BellRing LLC to Post made pursuant to the terms of the LLC Agreement and $3.4 for state corporate tax withholdings on behalf of Post.</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the provisions of the tax receivable agreement, BellRing Inc. must pay to Post (or certain of its transferees or other assignees) 85% of the amount of cash savings, if any, in U.S. federal income tax, as well as state and local income tax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 Amounts payable to Post related to the tax receivable agreement were $10.9 at September 30, 2020, and were recorded in “Other liabilities” on the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REDEEMABLE NONCONTROLLING INTEREST</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Post holds 97.5 BellRing LLC units, equal to 71.2% of the economic interest in BellRing LLC, and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Post’s ownership of BellRing LLC units represents an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or loss and distributions or dividends or (ii) the redemption value. As of September 30, 2020, the carrying amount of the NCI was recorded at its redemption value of $2,021.6. Changes in the redemption value of the NCI are recorded to additional paid-in capital, to the extent available, and “Accumulated deficit” on the Consolidated Balance Sheet. There was no NCI recorded as of September 30, 2019.</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2020, BellRing Inc. owned 28.8% of the outstanding BellRing LLC units. The financial results of BellRing LLC and its subsidiaries were consolidated with BellRing Inc., and 71.2% of the consolidated net earnings subsequent to the IPO were allocated to the NCI to reflect the entitlement of Post to a portion of the consolidated net earnings.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The period ended September 30, 2020 represents the period beginning October 21, 2019, the effective date of the IPO, and ending September 30, 2020 (see Note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ind w:right="372"/>
              <w:spacing w:after="0"/>
              <w:rPr>
                <w:sz w:val="20"/>
                <w:szCs w:val="20"/>
                <w:color w:val="auto"/>
              </w:rPr>
            </w:pPr>
            <w:r>
              <w:rPr>
                <w:rFonts w:ascii="Arial" w:cs="Arial" w:eastAsia="Arial" w:hAnsi="Arial"/>
                <w:sz w:val="16"/>
                <w:szCs w:val="16"/>
                <w:b w:val="1"/>
                <w:bCs w:val="1"/>
                <w:color w:val="auto"/>
              </w:rPr>
              <w:t>Period Ended</w:t>
            </w:r>
          </w:p>
        </w:tc>
      </w:tr>
      <w:tr>
        <w:trPr>
          <w:trHeight w:val="213"/>
        </w:trPr>
        <w:tc>
          <w:tcPr>
            <w:tcW w:w="9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3"/>
              </w:rPr>
              <w:t>September 30, 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Net earnings attributable to NCI after IPO</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IPO</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30"/>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effects of changes in ownership in BellRing LLC on BellRing Inc.’s equity. The period ended September 30, 2020 represents the period beginning October 21, 2019, the effective date of the IPO, and ending September 30, 2020 (see Note 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ind w:right="373"/>
              <w:spacing w:after="0"/>
              <w:rPr>
                <w:sz w:val="20"/>
                <w:szCs w:val="20"/>
                <w:color w:val="auto"/>
              </w:rPr>
            </w:pPr>
            <w:r>
              <w:rPr>
                <w:rFonts w:ascii="Arial" w:cs="Arial" w:eastAsia="Arial" w:hAnsi="Arial"/>
                <w:sz w:val="16"/>
                <w:szCs w:val="16"/>
                <w:b w:val="1"/>
                <w:bCs w:val="1"/>
                <w:color w:val="auto"/>
              </w:rPr>
              <w:t>Period Ended</w:t>
            </w:r>
          </w:p>
        </w:tc>
      </w:tr>
      <w:tr>
        <w:trPr>
          <w:trHeight w:val="213"/>
        </w:trPr>
        <w:tc>
          <w:tcPr>
            <w:tcW w:w="9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3"/>
              </w:rPr>
              <w:t>September 30, 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9380" w:type="dxa"/>
            <w:vAlign w:val="bottom"/>
          </w:tcPr>
          <w:p>
            <w:pPr>
              <w:ind w:left="40"/>
              <w:spacing w:after="0"/>
              <w:rPr>
                <w:sz w:val="20"/>
                <w:szCs w:val="20"/>
                <w:color w:val="auto"/>
              </w:rPr>
            </w:pPr>
            <w:r>
              <w:rPr>
                <w:rFonts w:ascii="Arial" w:cs="Arial" w:eastAsia="Arial" w:hAnsi="Arial"/>
                <w:sz w:val="18"/>
                <w:szCs w:val="18"/>
                <w:color w:val="auto"/>
              </w:rPr>
              <w:t>Transfers to NCI:</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IPO</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30"/>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r>
      <w:tr>
        <w:trPr>
          <w:trHeight w:val="248"/>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from net earnings available to Class A Common Stockholders and transfers to NCI</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BellRing Inc. holds 28.8% of the economic interest in BellRing LLC (see Note 1), which, as a result of the IPO and formation transactions, is treated as a partnership for U.S. federal income tax purposes. As a partnership, BellRing LLC is itself generally not subject to U.S. federal income tax under current U.S. tax laws. Generally, items of taxable income, gain, loss and deduction of BellRing LLC are passed through to its members, BellRing Inc. and Post. BellRing Inc. is responsible for its share of taxable income or loss of BellRing LLC allocated to it in accordance with the LLC Agreement and partnership tax rules and regulations.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expense for income taxes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0"/>
        </w:trPr>
        <w:tc>
          <w:tcPr>
            <w:tcW w:w="70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effective income tax rate for fiscal 2020 was 8.4% compared to 24.2% for fiscal 2019 and 19.8% for fiscal 2018. The decrease in the effective income tax rate compared to each of the prior years was primarily due to the Company taking into account for U.S. federal, state and local income tax purposes its 28.8% distributive share of the items of income, gain, loss and deduction of BellRing LLC in the period subsequent to the IPO. Prior to the IPO and formation transactions, the Company reported 100% of the income, gain, loss and deduction of BellRing LLC.</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income tax expense with amounts computed at the federal statutory tax rate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 (a)</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Enacted tax law and changes, including the Tax Act (a)</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NCI</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State income taxes, net of effect on federal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Tax-deductible transaction costs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Uncertain tax position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(none in excess of 5% of computed tax)</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000" w:type="dxa"/>
            <w:vAlign w:val="bottom"/>
          </w:tcPr>
          <w:p>
            <w:pPr>
              <w:ind w:left="240"/>
              <w:spacing w:after="0"/>
              <w:rPr>
                <w:sz w:val="20"/>
                <w:szCs w:val="20"/>
                <w:color w:val="auto"/>
              </w:rPr>
            </w:pPr>
            <w:r>
              <w:rPr>
                <w:rFonts w:ascii="Arial" w:cs="Arial" w:eastAsia="Arial" w:hAnsi="Arial"/>
                <w:sz w:val="18"/>
                <w:szCs w:val="18"/>
                <w:b w:val="1"/>
                <w:bCs w:val="1"/>
                <w:color w:val="auto"/>
              </w:rPr>
              <w:t>Income tax expense</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Fiscal 2020 and 2019 federal corporate income tax was computed at the federal statutory tax rate of 21%, and fiscal 2018 federal corporate income tax was computed using a blended U.S. federal corporate income tax rate of 24.5%. The fiscal 2018 federal corporate income tax rate was impacted by the Tax Cuts and Jobs Act (the “Tax Act”), as discussed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w w:val="90"/>
              </w:rPr>
              <w:t>September 30, 2020</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6"/>
                <w:szCs w:val="16"/>
                <w:b w:val="1"/>
                <w:bCs w:val="1"/>
                <w:color w:val="auto"/>
                <w:w w:val="89"/>
              </w:rPr>
              <w:t>September 30, 2019</w:t>
            </w:r>
          </w:p>
        </w:tc>
        <w:tc>
          <w:tcPr>
            <w:tcW w:w="78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8"/>
                <w:szCs w:val="18"/>
                <w:color w:val="auto"/>
              </w:rPr>
            </w:pPr>
          </w:p>
        </w:tc>
        <w:tc>
          <w:tcPr>
            <w:tcW w:w="780" w:type="dxa"/>
            <w:vAlign w:val="bottom"/>
          </w:tcPr>
          <w:p>
            <w:pPr>
              <w:jc w:val="right"/>
              <w:ind w:right="291"/>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6"/>
                <w:szCs w:val="16"/>
                <w:b w:val="1"/>
                <w:bCs w:val="1"/>
                <w:color w:val="auto"/>
                <w:w w:val="99"/>
              </w:rPr>
              <w:t>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Liabilities</w:t>
            </w:r>
          </w:p>
        </w:tc>
        <w:tc>
          <w:tcPr>
            <w:tcW w:w="2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Net</w:t>
            </w:r>
          </w:p>
        </w:tc>
      </w:tr>
      <w:tr>
        <w:trPr>
          <w:trHeight w:val="22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vacation, incentive and severance</w:t>
            </w:r>
          </w:p>
        </w:tc>
        <w:tc>
          <w:tcPr>
            <w:tcW w:w="720" w:type="dxa"/>
            <w:vAlign w:val="bottom"/>
            <w:tcBorders>
              <w:top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Stock-based compensation awards</w:t>
            </w:r>
          </w:p>
        </w:tc>
        <w:tc>
          <w:tcPr>
            <w:tcW w:w="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Property</w:t>
            </w:r>
          </w:p>
        </w:tc>
        <w:tc>
          <w:tcPr>
            <w:tcW w:w="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partnership (a)</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(12.6)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ind w:left="140"/>
              <w:spacing w:after="0"/>
              <w:rPr>
                <w:sz w:val="20"/>
                <w:szCs w:val="20"/>
                <w:color w:val="auto"/>
              </w:rPr>
            </w:pPr>
            <w:r>
              <w:rPr>
                <w:rFonts w:ascii="Arial" w:cs="Arial" w:eastAsia="Arial" w:hAnsi="Arial"/>
                <w:sz w:val="18"/>
                <w:szCs w:val="18"/>
                <w:b w:val="1"/>
                <w:bCs w:val="1"/>
                <w:color w:val="auto"/>
              </w:rPr>
              <w:t>Deferred income taxes</w:t>
            </w: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3"/>
              </w:rPr>
              <w:t>(12.6)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
        </w:trPr>
        <w:tc>
          <w:tcPr>
            <w:tcW w:w="4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deferred tax liability for investment in partnership of $12.6 as of September 30, 2020 related to excess financial reporting outside basis over tax outside basis, of which $3.0 related to a deferred tax asset attributable to BellRing Inc.’s investment in BellRing LLC and $15.6 related to a deferred tax liability attributable to a partnership wholly-owned by BellRing LLC and its subsidiaries.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No provision has been made for income taxes on undistributed earnings of consolidated foreign subsidiaries of $2.3 and $2.9 at September 30, 2020 and 2019, respectively, as it is the Company’s intention to indefinitely reinvest undistributed earnings of its foreign subsidiaries. It is not practicable to estimate the additional income taxes and applicable foreign withholdings that would be payable on the remittance of such undistributed earnings.</w:t>
      </w:r>
    </w:p>
    <w:p>
      <w:pPr>
        <w:spacing w:after="0" w:line="41" w:lineRule="exact"/>
        <w:rPr>
          <w:sz w:val="20"/>
          <w:szCs w:val="20"/>
          <w:color w:val="auto"/>
        </w:rPr>
      </w:pPr>
    </w:p>
    <w:p>
      <w:pPr>
        <w:ind w:right="360" w:firstLine="324"/>
        <w:spacing w:after="0" w:line="375" w:lineRule="auto"/>
        <w:rPr>
          <w:sz w:val="20"/>
          <w:szCs w:val="20"/>
          <w:color w:val="auto"/>
        </w:rPr>
      </w:pPr>
      <w:r>
        <w:rPr>
          <w:rFonts w:ascii="Arial" w:cs="Arial" w:eastAsia="Arial" w:hAnsi="Arial"/>
          <w:sz w:val="18"/>
          <w:szCs w:val="18"/>
          <w:color w:val="auto"/>
        </w:rPr>
        <w:t>For fiscal 2020, foreign loss before income taxes was $0.8. For fiscal 2019 and 2018, foreign income before taxes was $1.0 and $1.0, respectively</w:t>
      </w:r>
      <w:r>
        <w:rPr>
          <w:rFonts w:ascii="Arial" w:cs="Arial" w:eastAsia="Arial" w:hAnsi="Arial"/>
          <w:sz w:val="18"/>
          <w:szCs w:val="18"/>
          <w:color w:val="EE2724"/>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CARES Act</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law. Based on the Company’s review of the CARES Act provisions, it has determined that there were no significant U.S. federal or state income tax impacts during the year ended September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2019 tax year and was prorated with the pre-December 22, 2017 U.S. federal corporate income tax rate of 35% for the Company’s 2018 tax year. This proration resulted in a blended U.S. federal corporate income tax rate of 24.5% for fiscal 2018. During the year ended September 30, 2018, the Company (i) remeasured its existing deferred tax assets and liabilities considering both the fiscal 2018 blended rate and the 21% rate for future periods and recorded a tax benefit of $9.9 and (ii) calculated the one-time transition tax and recorded tax expense of $0.5. Full expensing of certain depreciable assets will result in a temporary difference and will be analyzed as assets are placed in service.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activity for the years ended September 30, 2020, 2019 and 2018 is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tax positions taken in prior years</w:t>
            </w: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7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amount of the net unrecognized tax benefits that, if recognized, would directly affect the effective tax rate was $1.5 at September 30, 2020. None of the unrecognized tax benefit at September 30, 2020 is expected to be recognized within the next twelve months.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computes tax-related interest and penalties as the difference between the tax position recognized for financial reporting purposes and the amount previously taken on the Company’s tax returns and classifies these amounts as components of income tax (benefit) expense. During each of the years ended September 30, 2020, 2019 and 2018, expenses recorded related to interest and penalties were immaterial, and the Company had immaterial interest and penalty accruals at both September 30, 2020 and 2019.</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2015 through September 30, 2019 are generally open and subject to examination by the tax authorities in each respective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the period.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sets forth the computation of basic and diluted earnings per share. The period ended September 30, 2020 represents the period beginning October 21, 2019, the effective date of the IPO, and ending September 30, 2020 (see Note 1). There were no shares of Class A Common Stock outstanding during the years ended September 30, 2019 and 2018, and as such, no computation of basic and diluted earnings per share has been provided.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ind w:right="372"/>
              <w:spacing w:after="0"/>
              <w:rPr>
                <w:sz w:val="20"/>
                <w:szCs w:val="20"/>
                <w:color w:val="auto"/>
              </w:rPr>
            </w:pPr>
            <w:r>
              <w:rPr>
                <w:rFonts w:ascii="Arial" w:cs="Arial" w:eastAsia="Arial" w:hAnsi="Arial"/>
                <w:sz w:val="16"/>
                <w:szCs w:val="16"/>
                <w:b w:val="1"/>
                <w:bCs w:val="1"/>
                <w:color w:val="auto"/>
              </w:rPr>
              <w:t>Period Ended</w:t>
            </w:r>
          </w:p>
        </w:tc>
      </w:tr>
      <w:tr>
        <w:trPr>
          <w:trHeight w:val="213"/>
        </w:trPr>
        <w:tc>
          <w:tcPr>
            <w:tcW w:w="9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3"/>
              </w:rPr>
              <w:t>September 30, 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basic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for basic earnings per share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dilutive restricted stock units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earnings per share</w:t>
            </w: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4"/>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38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Class A Common Stock</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0.60</w:t>
            </w:r>
          </w:p>
        </w:tc>
      </w:tr>
      <w:tr>
        <w:trPr>
          <w:trHeight w:val="20"/>
        </w:trPr>
        <w:tc>
          <w:tcPr>
            <w:tcW w:w="9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Weighted-average shares for diluted earnings per share excludes 0.1 equity awards for the period ended September 30, 2020 (see Note 1), as they were anti-dilutive.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SUPPLEMENTAL OPERATIONS STATEMENT AND CASH FLOW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promotion expenses (a)</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Repair and maintenance expenses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Interest paid (b)</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 (c)</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left="340" w:hanging="332"/>
        <w:spacing w:after="0" w:line="277" w:lineRule="auto"/>
        <w:tabs>
          <w:tab w:leader="none" w:pos="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result of the adoption of ASU 2014-09, certain payments to customers totaling $7.6 in the year ended September 30, 2019 previously classified as advertising and promotion expenses were classified as net sales. For additional information, see Note 2.</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held no debt during the periods prior to the IPO. For additional information, see Note 14.</w:t>
      </w:r>
    </w:p>
    <w:p>
      <w:pPr>
        <w:spacing w:after="0" w:line="117"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Income taxes paid for the periods prior to the IPO related only to the Company’s international operations, as all U.S. federal and state tax payments prior to the IPO were made by Post and were a component of “Net parent investment”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BALANCE SHEET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Inventories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Raw materials and supplies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Accounts Payable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Book cash overdrafts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Current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Accrued legal settlements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Hedging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conjunction with the adoption of ASUs 2016-02 and 2018-11 (see Note 3), the Company updated its policy for recognizing leases under ASC Topic</w:t>
      </w:r>
    </w:p>
    <w:p>
      <w:pPr>
        <w:spacing w:after="0" w:line="46" w:lineRule="exact"/>
        <w:rPr>
          <w:sz w:val="20"/>
          <w:szCs w:val="20"/>
          <w:color w:val="auto"/>
        </w:rPr>
      </w:pPr>
    </w:p>
    <w:p>
      <w:pPr>
        <w:jc w:val="both"/>
        <w:ind w:firstLine="8"/>
        <w:spacing w:after="0" w:line="255" w:lineRule="auto"/>
        <w:tabs>
          <w:tab w:leader="none" w:pos="3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assessed the impact of these ASUs by reviewing its lease portfolio, implementing lease accounting software, developing related business processes and implementing internal controls. A summary of the updated policy is included below. Prior to October 1, 2019, the Company accounted for leases under ASC Topic 840, “Leases.”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Portfolio</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7 years and most leases provide the Company with the option to exercise one or more renewal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Policy</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are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most of the Company’s lease arrangements do not provide an implicit interest rate, an incremental borrowing rate (“IBR”) is applied in determining the present value of future payments. The Company’s IBR is selected based upon information available at the lease commencement date.</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as “Other assets,” and lease liabilities are recorded as “Other current liabilities” and “Other liabilities” on the Consolidated Balance Sheet. Operating lease expense is recognized on a straight-line basis over the lease term and is included in “Selling, general and administrative expenses” in the Consolidated Statements of Operations. Costs associated with finance leases and lease income do not have a material impact on the Company’s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Adoption</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utilized the cumulative effect adjustment method of adoption and, accordingly, recorded ROU assets and lease liabilities of $14.8 and $16.0, respectively, on the balance sheet at October 1, 2019. The Company elected the following practical expedients in accordance with ASC Topic 842:</w:t>
      </w:r>
    </w:p>
    <w:p>
      <w:pPr>
        <w:spacing w:after="0" w:line="16" w:lineRule="exact"/>
        <w:rPr>
          <w:sz w:val="20"/>
          <w:szCs w:val="20"/>
          <w:color w:val="auto"/>
        </w:rPr>
      </w:pPr>
    </w:p>
    <w:p>
      <w:pPr>
        <w:jc w:val="both"/>
        <w:ind w:left="660" w:hanging="328"/>
        <w:spacing w:after="0" w:line="279"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Reassessment elections </w:t>
      </w:r>
      <w:r>
        <w:rPr>
          <w:rFonts w:ascii="Arial" w:cs="Arial" w:eastAsia="Arial" w:hAnsi="Arial"/>
          <w:sz w:val="17"/>
          <w:szCs w:val="17"/>
          <w:color w:val="auto"/>
        </w:rPr>
        <w:t>— The Company elected the package of practical expedients and did not reassess whether any existing contracts are or</w:t>
      </w:r>
      <w:r>
        <w:rPr>
          <w:rFonts w:ascii="Arial" w:cs="Arial" w:eastAsia="Arial" w:hAnsi="Arial"/>
          <w:sz w:val="17"/>
          <w:szCs w:val="17"/>
          <w:i w:val="1"/>
          <w:iCs w:val="1"/>
          <w:color w:val="auto"/>
        </w:rPr>
        <w:t xml:space="preserve"> </w:t>
      </w:r>
      <w:r>
        <w:rPr>
          <w:rFonts w:ascii="Arial" w:cs="Arial" w:eastAsia="Arial" w:hAnsi="Arial"/>
          <w:sz w:val="17"/>
          <w:szCs w:val="17"/>
          <w:color w:val="auto"/>
        </w:rPr>
        <w:t>contain a lease, provided a lease analysis was conducted under ASC Topic 840. To the extent 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w:t>
      </w:r>
    </w:p>
    <w:p>
      <w:pPr>
        <w:spacing w:after="0" w:line="63"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Short-term lease election </w:t>
      </w:r>
      <w:r>
        <w:rPr>
          <w:rFonts w:ascii="Arial" w:cs="Arial" w:eastAsia="Arial" w:hAnsi="Arial"/>
          <w:sz w:val="18"/>
          <w:szCs w:val="18"/>
          <w:color w:val="auto"/>
        </w:rPr>
        <w:t>— ASC Topic 842 allows lessees an option to not recognize ROU assets and lease liabilities arising from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spacing w:after="0" w:line="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Lease vs non-lease components </w:t>
      </w:r>
      <w:r>
        <w:rPr>
          <w:rFonts w:ascii="Arial" w:cs="Arial" w:eastAsia="Arial" w:hAnsi="Arial"/>
          <w:sz w:val="18"/>
          <w:szCs w:val="18"/>
          <w:color w:val="auto"/>
        </w:rPr>
        <w:t>— The Company elected to combine lease and non-lease components as a single component and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for the arrangements were accounted for as a lease.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53"/>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9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2020</w:t>
            </w:r>
          </w:p>
        </w:tc>
      </w:tr>
      <w:tr>
        <w:trPr>
          <w:trHeight w:val="212"/>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93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56"/>
        </w:trPr>
        <w:tc>
          <w:tcPr>
            <w:tcW w:w="9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9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9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maturities of the Company’s operating lease liabilities as of September 30, 2020, presented under ASC Topic 842.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52"/>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9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9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9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Implied interest</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9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future minimum rental payments under the Company’s noncancellable operating leases as of September 30, 2019, presented under ASC Topic 840.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52"/>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9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2019</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reported under ASC Topic 842, operating lease expense for the year ended September 30, 2020 was $4.0, which included immaterial variable lease costs and short-term lease costs. As reported under ASC Topic 840, rent expense for the years ended September 30, 2019 and 2018 was $3.3 and $2.1, respectively. Operating cash flows for amounts included in the measurement of the Company’s operating lease liabilities for the year ended September 30, 2020 were $3.6. ROU assets obtained in exchange for operating lease liabilities during the year ended September 30, 2020 were immaterial. The weighted average remaining lease term of the Company’s operating leases as of September 30, 2020 was approximately 6 years and the weighted average incremental borrowing rate was 4.2% as of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September 30, 2020, the Company had pay-fixed, receive-variable interest rate swaps with a notional amount of $350.0 maturing in December 2022 that require monthly settlements which began on January 31, 2020 and are used to hedge forecasted interest payments on its variable rate debt (see Note 14). As of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Consolidated Statements of Operations on a straight-line basis over the term of the related debt. No derivative instruments were held by the Company at September 30, 2019.</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September 30, 2020, accumulated OCI, including amounts reported as NCI, included a $9.4 net hedging loss before taxes ($8.8 after taxes). Approximately $2.3 of the net hedging loss reported in accumulated OCI at September 30, 2020 is expected to be reclassified into earnings within the next 12 months.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The Company does not offset derivative assets and liabilities within the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54"/>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9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the Company’s net hedging losses on interest rate swaps which are included in “Interest expense, net” in the Consolidated Statements of Operations.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Year Ended</w:t>
            </w:r>
          </w:p>
        </w:tc>
      </w:tr>
      <w:tr>
        <w:trPr>
          <w:trHeight w:val="213"/>
        </w:trPr>
        <w:tc>
          <w:tcPr>
            <w:tcW w:w="9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September 30, 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center"/>
              <w:ind w:left="1193"/>
              <w:spacing w:after="0"/>
              <w:rPr>
                <w:sz w:val="20"/>
                <w:szCs w:val="20"/>
                <w:color w:val="auto"/>
              </w:rPr>
            </w:pPr>
            <w:r>
              <w:rPr>
                <w:rFonts w:ascii="Arial" w:cs="Arial" w:eastAsia="Arial" w:hAnsi="Arial"/>
                <w:sz w:val="18"/>
                <w:szCs w:val="18"/>
                <w:color w:val="auto"/>
                <w:w w:val="97"/>
              </w:rPr>
              <w:t>(0.2)</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Cash settlements paid, net</w:t>
            </w:r>
          </w:p>
        </w:tc>
        <w:tc>
          <w:tcPr>
            <w:tcW w:w="180" w:type="dxa"/>
            <w:vAlign w:val="bottom"/>
          </w:tcPr>
          <w:p>
            <w:pPr>
              <w:spacing w:after="0"/>
              <w:rPr>
                <w:sz w:val="19"/>
                <w:szCs w:val="19"/>
                <w:color w:val="auto"/>
              </w:rPr>
            </w:pPr>
          </w:p>
        </w:tc>
        <w:tc>
          <w:tcPr>
            <w:tcW w:w="1680" w:type="dxa"/>
            <w:vAlign w:val="bottom"/>
          </w:tcPr>
          <w:p>
            <w:pPr>
              <w:jc w:val="center"/>
              <w:ind w:left="1213"/>
              <w:spacing w:after="0"/>
              <w:rPr>
                <w:sz w:val="20"/>
                <w:szCs w:val="20"/>
                <w:color w:val="auto"/>
              </w:rPr>
            </w:pPr>
            <w:r>
              <w:rPr>
                <w:rFonts w:ascii="Arial" w:cs="Arial" w:eastAsia="Arial" w:hAnsi="Arial"/>
                <w:sz w:val="18"/>
                <w:szCs w:val="18"/>
                <w:color w:val="auto"/>
                <w:w w:val="87"/>
              </w:rPr>
              <w:t>1.8</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amortized from accumulated OCI</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center"/>
              <w:ind w:left="1213"/>
              <w:spacing w:after="0"/>
              <w:rPr>
                <w:sz w:val="20"/>
                <w:szCs w:val="20"/>
                <w:color w:val="auto"/>
              </w:rPr>
            </w:pPr>
            <w:r>
              <w:rPr>
                <w:rFonts w:ascii="Arial" w:cs="Arial" w:eastAsia="Arial" w:hAnsi="Arial"/>
                <w:sz w:val="18"/>
                <w:szCs w:val="18"/>
                <w:color w:val="auto"/>
                <w:w w:val="87"/>
              </w:rPr>
              <w:t>1.2</w:t>
            </w:r>
          </w:p>
        </w:tc>
      </w:tr>
      <w:tr>
        <w:trPr>
          <w:trHeight w:val="223"/>
        </w:trPr>
        <w:tc>
          <w:tcPr>
            <w:tcW w:w="9380" w:type="dxa"/>
            <w:vAlign w:val="bottom"/>
          </w:tcPr>
          <w:p>
            <w:pPr>
              <w:ind w:left="140"/>
              <w:spacing w:after="0"/>
              <w:rPr>
                <w:sz w:val="20"/>
                <w:szCs w:val="20"/>
                <w:color w:val="auto"/>
              </w:rPr>
            </w:pPr>
            <w:r>
              <w:rPr>
                <w:rFonts w:ascii="Arial" w:cs="Arial" w:eastAsia="Arial" w:hAnsi="Arial"/>
                <w:sz w:val="18"/>
                <w:szCs w:val="18"/>
                <w:color w:val="auto"/>
              </w:rPr>
              <w:t>Total net hedging losses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center"/>
              <w:ind w:left="1213"/>
              <w:spacing w:after="0"/>
              <w:rPr>
                <w:sz w:val="20"/>
                <w:szCs w:val="20"/>
                <w:color w:val="auto"/>
              </w:rPr>
            </w:pPr>
            <w:r>
              <w:rPr>
                <w:rFonts w:ascii="Arial" w:cs="Arial" w:eastAsia="Arial" w:hAnsi="Arial"/>
                <w:sz w:val="18"/>
                <w:szCs w:val="18"/>
                <w:color w:val="auto"/>
                <w:w w:val="87"/>
              </w:rPr>
              <w:t>2.8</w:t>
            </w:r>
          </w:p>
        </w:tc>
      </w:tr>
      <w:tr>
        <w:trPr>
          <w:trHeight w:val="21"/>
        </w:trPr>
        <w:tc>
          <w:tcPr>
            <w:tcW w:w="9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liabilities and NCI measured at fair value on a recurring basis and the basis for that measurement according to the levels in the fair value hierarchy in ASC Topic 820, “Fair Value Measurement.”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060" w:type="dxa"/>
            <w:vAlign w:val="bottom"/>
          </w:tcPr>
          <w:p>
            <w:pPr>
              <w:jc w:val="right"/>
              <w:ind w:right="333"/>
              <w:spacing w:after="0"/>
              <w:rPr>
                <w:sz w:val="20"/>
                <w:szCs w:val="20"/>
                <w:color w:val="auto"/>
              </w:rPr>
            </w:pPr>
            <w:r>
              <w:rPr>
                <w:rFonts w:ascii="Arial" w:cs="Arial" w:eastAsia="Arial" w:hAnsi="Arial"/>
                <w:sz w:val="16"/>
                <w:szCs w:val="16"/>
                <w:b w:val="1"/>
                <w:bCs w:val="1"/>
                <w:color w:val="auto"/>
              </w:rPr>
              <w:t>Level 2</w:t>
            </w:r>
          </w:p>
        </w:tc>
      </w:tr>
      <w:tr>
        <w:trPr>
          <w:trHeight w:val="226"/>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There were no such derivative instruments as of September 30, 2019. The fair value of the NCI is calculated as its redemption value based on the Class A Common Stock price and number of BellRing LLC units owned by Post as of September 30, 2020 (see Note 6). The Company did not have an NCI as of September 30, 2019.</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Consolidated Balance Sheets. The fair value of outstanding borrowings under the Revolving Credit Facility (as defined in Note 14) as of September 30, 2020 approximated its carrying value. Based on current market rates, the fair value (Level 2) of the Term B Facility (as defined in Note 14) was $674.0 as of September 30, 2020. The Company did not have short-term or long-term debt as of September 30, 2019.</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LONG-TERM DEBT</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components of “Long-term debt” on the Consolidated Balance Sheet at September 30, 2020 are presented in the following table. No long-term debt was held by the Company at September 30,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54"/>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9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9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6"/>
          <w:szCs w:val="16"/>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Debt issuance costs,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 of Bridge Loan</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63.8</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10.7</w:t>
      </w:r>
    </w:p>
    <w:p>
      <w:pPr>
        <w:spacing w:after="0" w:line="35" w:lineRule="exact"/>
        <w:rPr>
          <w:sz w:val="20"/>
          <w:szCs w:val="20"/>
          <w:color w:val="auto"/>
        </w:rPr>
      </w:pPr>
    </w:p>
    <w:p>
      <w:pPr>
        <w:ind w:left="1365" w:hanging="1365"/>
        <w:spacing w:after="0"/>
        <w:tabs>
          <w:tab w:leader="none" w:pos="1365" w:val="left"/>
        </w:tabs>
        <w:numPr>
          <w:ilvl w:val="0"/>
          <w:numId w:val="34"/>
        </w:numPr>
        <w:rPr>
          <w:rFonts w:ascii="Arial" w:cs="Arial" w:eastAsia="Arial" w:hAnsi="Arial"/>
          <w:sz w:val="15"/>
          <w:szCs w:val="15"/>
          <w:color w:val="auto"/>
        </w:rPr>
      </w:pPr>
      <w:r>
        <w:rPr>
          <w:rFonts w:ascii="Arial" w:cs="Arial" w:eastAsia="Arial" w:hAnsi="Arial"/>
          <w:sz w:val="15"/>
          <w:szCs w:val="15"/>
          <w:color w:val="auto"/>
        </w:rPr>
        <w:t>622.6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62230</wp:posOffset>
            </wp:positionV>
            <wp:extent cx="1183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637" w:lineRule="exact"/>
        <w:rPr>
          <w:sz w:val="20"/>
          <w:szCs w:val="20"/>
          <w:color w:val="auto"/>
        </w:rPr>
      </w:pPr>
    </w:p>
    <w:p>
      <w:pPr>
        <w:sectPr>
          <w:pgSz w:w="11900" w:h="16838" w:orient="portrait"/>
          <w:cols w:equalWidth="0" w:num="2">
            <w:col w:w="8675" w:space="720"/>
            <w:col w:w="1845"/>
          </w:cols>
          <w:pgMar w:left="320" w:top="125" w:right="33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On October 11, 2019, in connection with the IPO and the formation transactions, Post entered into a $1,225.0 Bridge Facility Agreement (the “Bridge Loan Facility”) and borrowed $1,225.0 under the Bridge Loan Facility (the “Bridge Loan”). Certain of Post’s domestic subsidiaries (other than BellRing Inc. but including BellRing LLC and its domestic subsidiaries) guaranteed the Bridge Loan.</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21, 2019, BellRing LLC entered into a Borrower Assignment and Assumption Agreement with Post and the administrative agent under the Bridge Loan Facility, under which (i) BellRing LLC became the borrower under the Bridge Loan and assumed all interest of $2.2 thereunder, and Post and its subsidiary guarantors (other than BellRing LLC and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the assets (other than real property) of BellRing LLC and in substantially all of the assets (other than real property) of its subsidiary guarantors. BellRing LLC did not receive any of the proceeds of the Bridge Loan. On October 21, 2019, the Bridge Loan was repaid in full. See below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(the “Credit Agreement”) which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The outstanding amounts under the Revolving Credit Facility and Term B Facility must be repaid on or before October 21, 2024.</w:t>
      </w:r>
    </w:p>
    <w:p>
      <w:pPr>
        <w:spacing w:after="0" w:line="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21, 2019, BellRing LLC borrowed the full amount under the Term B Facility and $100.0 under the Revolving Credit Facility. The Term B Facility was issued at 98.0% of par and BellRing LLC received $776.4 from the Term B Facility and Revolving Credit Facility after accounting for the original issue discount of $14.0 and paying investment banking and other fees of $9.6, which were deferred and are being amortized to interest expense over the terms of the loans. BellRing LLC used the proceeds, together with the net proceeds of the IPO that were contributed to it by BellRing Inc., (i) to repay in full the $1,225.0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$20.0 of outstanding borrowings under the Revolving Credit Facility.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September 30, 2020, BellRing LLC borrowed $195.0 under the Revolving Credit Facility and repaid $165.0 on the Revolving Credit Facility. The available borrowing capacity under the Revolving Credit Facility was $170.0 at September 30, 2020, and there were no outstanding letters of credit at September 30, 2020.</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Borrowings under the Term B Facility bear interest, at the option of BellRing LLC, at an annual rate equal to either (a) the Eurodollar rate or (b) the base rate determined by reference to the greatest of (i) the prime rate, (ii) the federal funds effective rate plus 0.50% per annum and (iii) the one-month Eurodollar rate plus 1.00% per annum, in each case plus an applicable margin of 5.00% for Eurodollar rate-based loans and 4.00% for base rate-based loans. The Term B Facility requires quarterly scheduled amortization payments of $8.75 which began on March 31, 2020, with the balance to be paid at maturity on October 21, 2024. Interest was paid on each Interest Payment Date (as defined in the Credit Agreement) during the year ended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September 30, 2020. The Term B Facility contains customary mandatory prepayment provisions, including provisions for mandatory prepayment (a) from the net cash proceeds of certain asset sales and (b) beginning with the fiscal year ending September 30, 2020, of 75% of consolidated excess cash flow (as defined in the Credit Agreement) (which percentage will be reduced to 50% if the secured net leverage ratio (as defined in the Credit Agreement) is less than or equal to 3.35:1.00 as of a fiscal year end). The Company classified $28.8 related to this mandatory prepayment of excess cash flow in “Current portion of long-term debt” on the Consolidated Balance Sheet at September 30, 2020. The Company may prepay the Term B Facility at its option without penalty or premium. The interest rate on the Term B Facility was 6.00% at September 30, 2020.</w:t>
      </w:r>
    </w:p>
    <w:p>
      <w:pPr>
        <w:spacing w:after="0" w:line="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Borrowings under the Revolving Credit Facility bear interest, at the option of BellRing LLC, at an annual rate equal to either the Eurodollar rate or the base rate (determined as described above) plus a margin, which initially was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initially accrued at the rate of 0.50% per annum and thereafter, depending on BellRing LLC’s secured net leverage ratio, will accrue at rates ranging from 0.25% to 0.50% per annum. The interest rate on the drawn portion of the Revolving Credit Facility was 5.25% at September 30, 2020.</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(as defined in the Credit Agreement) not to exceed 6.00 to 1.00, measured as of the last day of each fiscal quarter. The total net leverage ratio of BellRing LLC did not exceed this threshold as of September 30, 2020.</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provides for potential incremental revolving and term facilities at BellRing LLC’s request and at the discretion of the lenders or other persons providing such incremental facilities, in each case on terms to be determined, and also permits BellRing LLC to incur other secured or unsecured debt, in all cases subject to conditions and limitations on the amount as specified in the Credit Agreement.</w:t>
      </w:r>
    </w:p>
    <w:p>
      <w:pPr>
        <w:spacing w:after="0" w:line="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direct and indirect domestic subsidiaries (other than immaterial domestic subsidiaries, certain excluded subsidiaries and subsidiaries BellRing LLC designates as unrestricted subsidiaries) and are secured by security interests in substantially all of BellRing LLC’s assets and the assets of its subsidiary guarantors, but excluding, in each case, real property (subject to limited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2018, the district court dismissed the California Federal Class Lawsuit with prejudice. This dismissal was upheld on appeal by the U.S. Court of Appeals for the Ninth Circuit and Plaintiff’s petition for an en banc rehearing by the U.S. Court of Appeals for the Ninth Circuit was denied. The other ten complaints remain pending in the U.S. District Court for the Northern District of California, and the court has certified individual state classes in each of those cases.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and in August 2020, the same lead counsel filed additional class action complaints against Premier Nutrition in Alameda County California Superior Court, alleging claims similar to the above actions and seeking monetary damages and injunctive relief on behalf of a putative class of California consumers.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year ended September 30, 2020, 2019 or 2018. At both September 30, 2020 and 2019, the Company had accrued $8.5 related to this matter that was included in “Other current liabilities” on the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IPO, the Company’s employees participated in Post’s 2012 Long-Term Incentive Plan (the “Post 2012 Plan”), Post’s 2016 Long-Term Incentive Plan (the “Post 2016 Plan”) and Post’s 2019 Long-Term Incentive Plan (the “Post 2019 Plan”) (collectively, the “Post Long-Term Incentive Plans”). Subsequent to the IPO, the Company’s employees continue to hold unvested awards in the Post Long-Term Incentive Plans and also began participating in BellRing Inc.’s 2019 Long-Term Incentive Plan (the “BellRing 2019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Long-Term Incentive Plans</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3, 2012, Post established the Post 2012 Plan, which permitted the issuance of various stock-based compensation awards of up to 6.5 shares of Post’s common stock. On January 28, 2016, Post’s shareholders approved the Post 2016 Plan, which permitted the issuance of stock-based compensation awards of up to 2.4 shares of Post’s common stock. Upon effectiveness of the Post 2016 Plan, all shares remaining to be issued under the Post 2012 Plan were transferred to the Post 2016 Plan upon its establishment. On January 24, 2019, Post’s shareholders approved the Post 2019 Plan, which permits the issuance of stock-based compensation awards of up to 1.2 shares of Post’s common stock, plus shares remaining to be issued under the Post 2016 Plan (including any shares assumed thereunder from the Post 2012 Plan) which were transferred to the Post 2019 Plan upon its effectiveness. Awards issued under the Post Long-Term Incentive Plans have a maximum term of 10 years, provided, however, that the corporate governance and compensation committee of Post’s board of directors may, in its discretion, grant awards with a longer term to participants who are located outside of the U.S.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disclosures reflect the details of Post’s Long-Term Incentive Plans related solely to the BellRing employees who participate in such plans.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compensation cost for non-cash and cash stock-based compensation awards recognized in the years ended September 30, 2020, 2019 and 2018 was $3.9, $3.5 and $1.9, respectively, and the related recognized deferred tax benefit for each of those years was $0.3, $0.8 and $0.5, respectively. As of September 30, 2020, the total compensation cost related to non-vested awards not yet recognized was $4.0, which is expected to be recognized over a weighted-average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Post’s stock options granted to BellRing employees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options or where otherwise indicated</w:t>
            </w: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Post Stock Options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Exercise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48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September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2020</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78.29</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6.91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Post stock option was estimated on the date of grant using the Black-Scholes Model. Post uses the simplified method for estimating a stock option term as it does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Post stock options granted to BellRing employees during the years ended September 30, 2019 and 2018 are summarized in the table below. There were no Post stock options granted to BellRing employees during the year ended September 30,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7"/>
              </w:rPr>
              <w:t>6.5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73"/>
              <w:spacing w:after="0"/>
              <w:rPr>
                <w:sz w:val="20"/>
                <w:szCs w:val="20"/>
                <w:color w:val="auto"/>
              </w:rPr>
            </w:pPr>
            <w:r>
              <w:rPr>
                <w:rFonts w:ascii="Arial" w:cs="Arial" w:eastAsia="Arial" w:hAnsi="Arial"/>
                <w:sz w:val="18"/>
                <w:szCs w:val="18"/>
                <w:color w:val="auto"/>
                <w:w w:val="90"/>
              </w:rPr>
              <w:t>30.7%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19"/>
                <w:szCs w:val="19"/>
                <w:color w:val="auto"/>
              </w:rPr>
            </w:pPr>
          </w:p>
        </w:tc>
        <w:tc>
          <w:tcPr>
            <w:tcW w:w="1380" w:type="dxa"/>
            <w:vAlign w:val="bottom"/>
          </w:tcPr>
          <w:p>
            <w:pPr>
              <w:jc w:val="center"/>
              <w:ind w:right="53"/>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$33.82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0"/>
              </w:rPr>
              <w:t>$28.42</w:t>
            </w:r>
          </w:p>
        </w:tc>
        <w:tc>
          <w:tcPr>
            <w:tcW w:w="0" w:type="dxa"/>
            <w:vAlign w:val="bottom"/>
          </w:tcPr>
          <w:p>
            <w:pPr>
              <w:spacing w:after="0"/>
              <w:rPr>
                <w:sz w:val="1"/>
                <w:szCs w:val="1"/>
                <w:color w:val="auto"/>
              </w:rPr>
            </w:pPr>
          </w:p>
        </w:tc>
      </w:tr>
      <w:tr>
        <w:trPr>
          <w:trHeight w:val="432"/>
        </w:trPr>
        <w:tc>
          <w:tcPr>
            <w:tcW w:w="8060" w:type="dxa"/>
            <w:vAlign w:val="bottom"/>
          </w:tcPr>
          <w:p>
            <w:pPr>
              <w:ind w:left="340"/>
              <w:spacing w:after="0"/>
              <w:rPr>
                <w:sz w:val="20"/>
                <w:szCs w:val="20"/>
                <w:color w:val="auto"/>
              </w:rPr>
            </w:pPr>
            <w:r>
              <w:rPr>
                <w:rFonts w:ascii="Arial" w:cs="Arial" w:eastAsia="Arial" w:hAnsi="Arial"/>
                <w:sz w:val="18"/>
                <w:szCs w:val="18"/>
                <w:color w:val="auto"/>
                <w:w w:val="89"/>
              </w:rPr>
              <w:t>There were no stock options exercised during each of the years ended September 30, 2020, 2019 and 2018.</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tcPr>
          <w:p>
            <w:pPr>
              <w:spacing w:after="0"/>
              <w:rPr>
                <w:sz w:val="20"/>
                <w:szCs w:val="20"/>
                <w:color w:val="auto"/>
              </w:rPr>
            </w:pPr>
            <w:r>
              <w:rPr>
                <w:rFonts w:ascii="Arial" w:cs="Arial" w:eastAsia="Arial" w:hAnsi="Arial"/>
                <w:sz w:val="18"/>
                <w:szCs w:val="18"/>
                <w:b w:val="1"/>
                <w:bCs w:val="1"/>
                <w:i w:val="1"/>
                <w:iCs w:val="1"/>
                <w:color w:val="auto"/>
              </w:rPr>
              <w:t>Post Restricted Stock Units (“Post RSUs”)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tcPr>
          <w:p>
            <w:pPr>
              <w:ind w:left="340"/>
              <w:spacing w:after="0"/>
              <w:rPr>
                <w:sz w:val="20"/>
                <w:szCs w:val="20"/>
                <w:color w:val="auto"/>
              </w:rPr>
            </w:pPr>
            <w:r>
              <w:rPr>
                <w:rFonts w:ascii="Arial" w:cs="Arial" w:eastAsia="Arial" w:hAnsi="Arial"/>
                <w:sz w:val="18"/>
                <w:szCs w:val="18"/>
                <w:color w:val="auto"/>
                <w:w w:val="99"/>
              </w:rPr>
              <w:t>Information about Post RSUs granted to BellRing employees is summarized in the following table.</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8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restricted stock units or where otherwise indicated</w:t>
            </w:r>
          </w:p>
        </w:tc>
        <w:tc>
          <w:tcPr>
            <w:tcW w:w="166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Post RSUs</w:t>
            </w:r>
          </w:p>
        </w:tc>
        <w:tc>
          <w:tcPr>
            <w:tcW w:w="14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Value Per Share</w:t>
            </w:r>
          </w:p>
        </w:tc>
        <w:tc>
          <w:tcPr>
            <w:tcW w:w="0" w:type="dxa"/>
            <w:vAlign w:val="bottom"/>
          </w:tcPr>
          <w:p>
            <w:pPr>
              <w:spacing w:after="0"/>
              <w:rPr>
                <w:sz w:val="1"/>
                <w:szCs w:val="1"/>
                <w:color w:val="auto"/>
              </w:rPr>
            </w:pPr>
          </w:p>
        </w:tc>
      </w:tr>
      <w:tr>
        <w:trPr>
          <w:trHeight w:val="22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grant date fair value of each Post RSU was determined based upon the closing price of Post’s common stock on the date of grant. The weighted-average grant date fair value of nonvested Post RSUs was $99.83, $96.64 and $76.06 at September 30, 2020, 2019 and 2018, respectively. The total vest date fair value of Post RSUs that vested during fiscal 2020, 2019 and 2018 was $4.5, $2.1 and $1.4,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Cash Settled Restricted Stock Units (“Post Cash 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Post Cash RSUs granted to BellRing employees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Weighted- Average</w:t>
            </w:r>
          </w:p>
        </w:tc>
        <w:tc>
          <w:tcPr>
            <w:tcW w:w="0" w:type="dxa"/>
            <w:vAlign w:val="bottom"/>
          </w:tcPr>
          <w:p>
            <w:pPr>
              <w:spacing w:after="0"/>
              <w:rPr>
                <w:sz w:val="1"/>
                <w:szCs w:val="1"/>
                <w:color w:val="auto"/>
              </w:rPr>
            </w:pPr>
          </w:p>
        </w:tc>
      </w:tr>
      <w:tr>
        <w:trPr>
          <w:trHeight w:val="162"/>
        </w:trPr>
        <w:tc>
          <w:tcPr>
            <w:tcW w:w="8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restricted stock units or where otherwise indicated</w:t>
            </w:r>
          </w:p>
        </w:tc>
        <w:tc>
          <w:tcPr>
            <w:tcW w:w="152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rPr>
              <w:t>Post Cash 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113"/>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5"/>
              </w:rPr>
              <w:t>Value Per Share</w:t>
            </w:r>
          </w:p>
        </w:tc>
        <w:tc>
          <w:tcPr>
            <w:tcW w:w="0" w:type="dxa"/>
            <w:vAlign w:val="bottom"/>
          </w:tcPr>
          <w:p>
            <w:pPr>
              <w:spacing w:after="0"/>
              <w:rPr>
                <w:sz w:val="1"/>
                <w:szCs w:val="1"/>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September 30,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September 30, 2020, the 4,000 nonvested Post Cash RSUs were valued at the greater of the closing price of Post’s common stock or the grant price of $51.43. Cash used by Post to settle Post Cash RSUs was $0.1, $0.1 and $0.2 for the years ended September 30, 2020, 2019 and 2018,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BellRing Long-Term Incentive Plan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22, 2019, the Company registered shares of its Class A Common Stock on a Form S-8 filed with the Securities and Exchange Commission, for issuance under the BellRing 2019 Plan, which permits the issuance of various stock-based compensation awards of up to 2.0 shares of the Company’s Class A Common Stock. Awards issued under the BellRing 2019 Plan have a maximum term of 10 years, provided, however, that the Corporate Governance and Compensation Committee of BellRing Inc.’s Board of Directors may, in its discretion, grant awards with a longer term to participants who are located outside of the U.S.</w:t>
      </w:r>
    </w:p>
    <w:p>
      <w:pPr>
        <w:spacing w:after="0" w:line="8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Total compensation cost for BellRing’s non-cash stock-based compensation awards recognized in the year ended September 30, 2020 was $2.5, and the related recognized deferred tax benefit was $0.2. See Note 7 for discussion related to income taxes. As of September 30, 2020, the total compensation cost related to BellRing’s non-vested awards not yet recognized was $5.7, which is expected to be recognized over a weighted-average period of 2.7 years.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BellRing 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BellRing’s stock options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800" w:type="dxa"/>
            <w:vAlign w:val="bottom"/>
            <w:gridSpan w:val="3"/>
            <w:vMerge w:val="restart"/>
          </w:tcPr>
          <w:p>
            <w:pPr>
              <w:jc w:val="center"/>
              <w:ind w:right="210"/>
              <w:spacing w:after="0"/>
              <w:rPr>
                <w:sz w:val="20"/>
                <w:szCs w:val="20"/>
                <w:color w:val="auto"/>
              </w:rPr>
            </w:pPr>
            <w:r>
              <w:rPr>
                <w:rFonts w:ascii="Arial" w:cs="Arial" w:eastAsia="Arial" w:hAnsi="Arial"/>
                <w:sz w:val="16"/>
                <w:szCs w:val="16"/>
                <w:b w:val="1"/>
                <w:bCs w:val="1"/>
                <w:color w:val="auto"/>
                <w:w w:val="90"/>
              </w:rPr>
              <w:t>BellRing Stock</w:t>
            </w:r>
          </w:p>
        </w:tc>
        <w:tc>
          <w:tcPr>
            <w:tcW w:w="14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options or where otherwise indicated</w:t>
            </w:r>
          </w:p>
        </w:tc>
        <w:tc>
          <w:tcPr>
            <w:tcW w:w="1800" w:type="dxa"/>
            <w:vAlign w:val="bottom"/>
            <w:gridSpan w:val="3"/>
            <w:vMerge w:val="continue"/>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Exercise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4800" w:type="dxa"/>
            <w:vAlign w:val="bottom"/>
            <w:vMerge w:val="continue"/>
          </w:tcPr>
          <w:p>
            <w:pPr>
              <w:spacing w:after="0"/>
              <w:rPr>
                <w:sz w:val="18"/>
                <w:szCs w:val="18"/>
                <w:color w:val="auto"/>
              </w:rPr>
            </w:pPr>
          </w:p>
        </w:tc>
        <w:tc>
          <w:tcPr>
            <w:tcW w:w="180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89"/>
              </w:rPr>
              <w:t>Options</w:t>
            </w: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2019</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96,000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8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8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 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September 30,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2020</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1100"/>
              <w:spacing w:after="0" w:line="203" w:lineRule="exact"/>
              <w:rPr>
                <w:sz w:val="20"/>
                <w:szCs w:val="20"/>
                <w:color w:val="auto"/>
              </w:rPr>
            </w:pPr>
            <w:r>
              <w:rPr>
                <w:rFonts w:ascii="Arial" w:cs="Arial" w:eastAsia="Arial" w:hAnsi="Arial"/>
                <w:sz w:val="18"/>
                <w:szCs w:val="18"/>
                <w:color w:val="auto"/>
              </w:rPr>
              <w:t>n/a</w:t>
            </w:r>
          </w:p>
        </w:tc>
        <w:tc>
          <w:tcPr>
            <w:tcW w:w="16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n/a</w:t>
            </w: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each BellRing stock option was estimated on the date of grant using the Black-Scholes Model. BellRing uses the simplified method for estimating a stock option term as it does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interpolated U.S. Treasury rate for a term equal to the expected term. The weighted-average assumptions and fair values for BellRing stock options granted during the year ended September 30, 2020 are summarized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7"/>
              </w:rPr>
              <w:t>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73"/>
              <w:spacing w:after="0"/>
              <w:rPr>
                <w:sz w:val="20"/>
                <w:szCs w:val="20"/>
                <w:color w:val="auto"/>
              </w:rPr>
            </w:pPr>
            <w:r>
              <w:rPr>
                <w:rFonts w:ascii="Arial" w:cs="Arial" w:eastAsia="Arial" w:hAnsi="Arial"/>
                <w:sz w:val="18"/>
                <w:szCs w:val="18"/>
                <w:color w:val="auto"/>
                <w:w w:val="90"/>
              </w:rPr>
              <w:t>38.5%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53"/>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8"/>
              </w:rPr>
              <w:t>$7.92</w:t>
            </w:r>
          </w:p>
        </w:tc>
        <w:tc>
          <w:tcPr>
            <w:tcW w:w="0" w:type="dxa"/>
            <w:vAlign w:val="bottom"/>
          </w:tcPr>
          <w:p>
            <w:pPr>
              <w:spacing w:after="0"/>
              <w:rPr>
                <w:sz w:val="1"/>
                <w:szCs w:val="1"/>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b w:val="1"/>
                <w:bCs w:val="1"/>
                <w:i w:val="1"/>
                <w:iCs w:val="1"/>
                <w:color w:val="auto"/>
              </w:rPr>
              <w:t>BellRing Restricted Stock Units (“BellRing RSUs”)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tcPr>
          <w:p>
            <w:pPr>
              <w:ind w:left="340"/>
              <w:spacing w:after="0"/>
              <w:rPr>
                <w:sz w:val="20"/>
                <w:szCs w:val="20"/>
                <w:color w:val="auto"/>
              </w:rPr>
            </w:pPr>
            <w:r>
              <w:rPr>
                <w:rFonts w:ascii="Arial" w:cs="Arial" w:eastAsia="Arial" w:hAnsi="Arial"/>
                <w:sz w:val="18"/>
                <w:szCs w:val="18"/>
                <w:color w:val="auto"/>
              </w:rPr>
              <w:t>Information about BellRing RSUs is summarized in the following table.</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8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restricted stock units or where otherwise indicated</w:t>
            </w:r>
          </w:p>
        </w:tc>
        <w:tc>
          <w:tcPr>
            <w:tcW w:w="1800" w:type="dxa"/>
            <w:vAlign w:val="bottom"/>
            <w:gridSpan w:val="3"/>
            <w:vMerge w:val="restart"/>
          </w:tcPr>
          <w:p>
            <w:pPr>
              <w:jc w:val="right"/>
              <w:ind w:right="430"/>
              <w:spacing w:after="0"/>
              <w:rPr>
                <w:sz w:val="20"/>
                <w:szCs w:val="20"/>
                <w:color w:val="auto"/>
              </w:rPr>
            </w:pPr>
            <w:r>
              <w:rPr>
                <w:rFonts w:ascii="Arial" w:cs="Arial" w:eastAsia="Arial" w:hAnsi="Arial"/>
                <w:sz w:val="16"/>
                <w:szCs w:val="16"/>
                <w:b w:val="1"/>
                <w:bCs w:val="1"/>
                <w:color w:val="auto"/>
              </w:rPr>
              <w:t>BellRing RSUs</w:t>
            </w: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60" w:type="dxa"/>
            <w:vAlign w:val="bottom"/>
            <w:vMerge w:val="continue"/>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Value Per Share</w:t>
            </w:r>
          </w:p>
        </w:tc>
        <w:tc>
          <w:tcPr>
            <w:tcW w:w="0" w:type="dxa"/>
            <w:vAlign w:val="bottom"/>
          </w:tcPr>
          <w:p>
            <w:pPr>
              <w:spacing w:after="0"/>
              <w:rPr>
                <w:sz w:val="1"/>
                <w:szCs w:val="1"/>
                <w:color w:val="auto"/>
              </w:rPr>
            </w:pPr>
          </w:p>
        </w:tc>
      </w:tr>
      <w:tr>
        <w:trPr>
          <w:trHeight w:val="22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395,232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385,232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grant date fair value of each BellRing RSU was determined based upon the closing price of BellRing’s Class A Common Stock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SUMMARY QUARTERLY FINANCIAL INFORMATION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First</w:t>
            </w: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Second</w:t>
            </w: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6"/>
                <w:szCs w:val="16"/>
                <w:color w:val="auto"/>
              </w:rPr>
            </w:pPr>
          </w:p>
        </w:tc>
        <w:tc>
          <w:tcPr>
            <w:tcW w:w="1160" w:type="dxa"/>
            <w:vAlign w:val="bottom"/>
          </w:tcPr>
          <w:p>
            <w:pPr>
              <w:jc w:val="right"/>
              <w:ind w:right="371"/>
              <w:spacing w:after="0"/>
              <w:rPr>
                <w:sz w:val="20"/>
                <w:szCs w:val="20"/>
                <w:color w:val="auto"/>
              </w:rPr>
            </w:pPr>
            <w:r>
              <w:rPr>
                <w:rFonts w:ascii="Arial" w:cs="Arial" w:eastAsia="Arial" w:hAnsi="Arial"/>
                <w:sz w:val="16"/>
                <w:szCs w:val="16"/>
                <w:b w:val="1"/>
                <w:bCs w:val="1"/>
                <w:color w:val="auto"/>
              </w:rPr>
              <w:t>Fourth</w:t>
            </w:r>
          </w:p>
        </w:tc>
      </w:tr>
      <w:tr>
        <w:trPr>
          <w:trHeight w:val="213"/>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Quarter</w:t>
            </w:r>
          </w:p>
        </w:tc>
        <w:tc>
          <w:tcPr>
            <w:tcW w:w="2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60" w:type="dxa"/>
            <w:vAlign w:val="bottom"/>
          </w:tcPr>
          <w:p>
            <w:pPr>
              <w:spacing w:after="0"/>
              <w:rPr>
                <w:sz w:val="18"/>
                <w:szCs w:val="18"/>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Quarter</w:t>
            </w:r>
          </w:p>
        </w:tc>
      </w:tr>
      <w:tr>
        <w:trPr>
          <w:trHeight w:val="212"/>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2020</w:t>
            </w: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282.6</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earnings including NCI</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of Class A Common Stock</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70"/>
        </w:trPr>
        <w:tc>
          <w:tcPr>
            <w:tcW w:w="5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2019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185.8</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earnings including NCI</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of Class A Common Stock</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right="9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with the Executive Chairman, Chief Executive Officer (“CEO”) and Chief Financial Officer (“CFO”) of the Company, has evaluated the effectiveness of our disclosure controls and procedures (as defined in Rules 13a-15(e) and 15d-15(e) under the Securities Exchange Act of 1934, as amended (the “Exchange Act”)) as of the end of the period covered by this report. Based on that evaluation, our Executive Chairman, CEO and CFO concluded that, as of the end of the period covered by this report, the Company's disclosure controls and procedures were effective to provide reasonable assurance of achieving the desired control objectives.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September 30, 2020, management conducted an assessment of the effectiveness of the Company’s internal control over financial reporting based upon the criteria set forth by the Committee of Sponsoring Organizations of the Treadway Commission (COSO) in Internal Control - Integrated Framework (2013). Management’s assessment included an evaluation of the design of the Company’s internal control over financial reporting and testing of the operational effectiveness of its internal control over financial reporting. Based on management’s assessment utilizing these criteria, our management concluded that, as of September 30, 2020, our internal control over financial reporting was effective.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evaluated the changes in our internal control over financial reporting that occurred during the quarter ended September 30, 2020 and concluded that no activity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2021 Annual Meeting of Stockholders to be filed with the Securities and Exchange Commission within 120 days of the year ended September 30, 2020 is hereby incorporated by reference.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executive officers of the Company is included in the “Information about our Executive Officers” section under “Business” in Item 1 of this report.</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modifies the Code of Conduct or waivers of compliance are granted and it is determined that such modifications or waivers are subject to the disclosure provisions of Item 5.05 of Form 8-K, the Company will post such modifications or waivers on its website or in a report on Form 8-K.</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under the headings “Compensation of Officers and Directors,” “Compensation Committee Interlocks and Insider Participation” and “Corporate Governance and Compensation Committee Report” in our Proxy Statement for the 2021 Annual Meeting of Stockholders to be filed with the SEC within 120 days of the year ended September 30, 2020 is hereby incorporated by reference.</w:t>
      </w:r>
    </w:p>
    <w:p>
      <w:pPr>
        <w:spacing w:after="0" w:line="18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under the headings “Security Ownership of Certain Stockholders,” and “Compensation of Officers and Directors - Equity Compensation Plan Information” in our Proxy Statement for the 2021 Annual Meeting of Stockholders to be filed with the SEC within 120 days of the year ended September 30, 2020 is hereby incorporated by reference.</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under the headings “Certain Relationships and Related Transactions” and “Corporate Governance - Director Independence and Role of the Independent Lead Director” in our Proxy Statement for the 2021 Annual Meeting of Stockholders to be filed with the SEC within 120 days of the year ended September 30, 2020 is hereby incorporated by reference.</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Information under the heading “Ratification of Appointment of Independent Registered Public Accounting Firm” in our Proxy Statement for the 2021 Annual Meeting of Stockholders to be filed with the SEC within 120 days of the year ended September 30, 2020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Documents filed as a part of this report:</w:t>
      </w:r>
    </w:p>
    <w:p>
      <w:pPr>
        <w:spacing w:after="0" w:line="117" w:lineRule="exact"/>
        <w:rPr>
          <w:sz w:val="20"/>
          <w:szCs w:val="20"/>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following are filed as a part of this document under Item 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September 30, 2020, 2019 and 2018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September 30, 2020, 2019 and 2018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Balance Sheets at September 30,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September 30, 2020, 2019 and 2018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September 30, 2020, 2019 and 2018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 None. Schedules not included have been omitted because they are not applicable or the required information is shown in the financial statements or notes thereto.</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See the Exhibit Index that appears at the end of this document and which is incorporated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77585"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7585" cy="265430"/>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103">
        <w:r>
          <w:rPr>
            <w:rFonts w:ascii="Arial" w:cs="Arial" w:eastAsia="Arial" w:hAnsi="Arial"/>
            <w:sz w:val="16"/>
            <w:szCs w:val="16"/>
            <w:u w:val="single" w:color="auto"/>
            <w:color w:val="0000FF"/>
          </w:rPr>
          <w:t>Amended and Restated Certificate of Incorporation of BellRing Brands, Inc. (Incorporated by reference to Exhibit</w:t>
        </w:r>
      </w:hyperlink>
    </w:p>
    <w:p>
      <w:pPr>
        <w:ind w:left="126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3.1 to the Company’s Form 8-K filed on October 21, 2019)</w:t>
        </w:r>
      </w:hyperlink>
    </w:p>
    <w:p>
      <w:pPr>
        <w:spacing w:after="0" w:line="7" w:lineRule="exact"/>
        <w:rPr>
          <w:sz w:val="20"/>
          <w:szCs w:val="20"/>
          <w:color w:val="auto"/>
        </w:rPr>
      </w:pP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04">
        <w:r>
          <w:rPr>
            <w:rFonts w:ascii="Arial" w:cs="Arial" w:eastAsia="Arial" w:hAnsi="Arial"/>
            <w:sz w:val="18"/>
            <w:szCs w:val="18"/>
            <w:u w:val="single" w:color="auto"/>
            <w:color w:val="0000FF"/>
          </w:rPr>
          <w:t>Amended and Restated Bylaws of BellRing Brands, Inc. (Incorporated by reference to Exhibit 3.2 to the</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Company’s Form 8-K filed on October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06">
        <w:r>
          <w:rPr>
            <w:rFonts w:ascii="Arial" w:cs="Arial" w:eastAsia="Arial" w:hAnsi="Arial"/>
            <w:sz w:val="18"/>
            <w:szCs w:val="18"/>
            <w:u w:val="single" w:color="auto"/>
            <w:color w:val="0000FF"/>
          </w:rPr>
          <w:t>Form of Class A Common Stock Certificate of BellRing Brands, Inc. (Incorporated by reference to Exhibit 4.1 to</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the Company’s Form S-1 filed on September 20, 2019)</w:t>
        </w:r>
      </w:hyperlink>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107">
        <w:r>
          <w:rPr>
            <w:rFonts w:ascii="Arial" w:cs="Arial" w:eastAsia="Arial" w:hAnsi="Arial"/>
            <w:sz w:val="16"/>
            <w:szCs w:val="16"/>
            <w:u w:val="single" w:color="auto"/>
            <w:color w:val="0000FF"/>
          </w:rPr>
          <w:t xml:space="preserve">Description of Company’s Registered Securities (Incorporated by reference to Exhibit </w:t>
        </w:r>
      </w:hyperlink>
      <w:r>
        <w:rPr>
          <w:rFonts w:ascii="Arial" w:cs="Arial" w:eastAsia="Arial" w:hAnsi="Arial"/>
          <w:sz w:val="16"/>
          <w:szCs w:val="16"/>
          <w:u w:val="single" w:color="auto"/>
          <w:color w:val="0000FF"/>
        </w:rPr>
        <w:t xml:space="preserve">4.2 </w:t>
      </w:r>
      <w:hyperlink r:id="rId107">
        <w:r>
          <w:rPr>
            <w:rFonts w:ascii="Arial" w:cs="Arial" w:eastAsia="Arial" w:hAnsi="Arial"/>
            <w:sz w:val="16"/>
            <w:szCs w:val="16"/>
            <w:u w:val="single" w:color="auto"/>
            <w:color w:val="0000FF"/>
          </w:rPr>
          <w:t>to the Company’s Form</w:t>
        </w:r>
      </w:hyperlink>
    </w:p>
    <w:p>
      <w:pPr>
        <w:spacing w:after="0" w:line="1" w:lineRule="exact"/>
        <w:rPr>
          <w:sz w:val="20"/>
          <w:szCs w:val="20"/>
          <w:color w:val="auto"/>
        </w:rPr>
      </w:pPr>
    </w:p>
    <w:p>
      <w:pPr>
        <w:ind w:left="1260"/>
        <w:spacing w:after="0"/>
        <w:rPr>
          <w:rFonts w:ascii="Arial" w:cs="Arial" w:eastAsia="Arial" w:hAnsi="Arial"/>
          <w:sz w:val="18"/>
          <w:szCs w:val="18"/>
          <w:color w:val="0000FF"/>
        </w:rPr>
      </w:pPr>
      <w:hyperlink r:id="rId107">
        <w:r>
          <w:rPr>
            <w:rFonts w:ascii="Arial" w:cs="Arial" w:eastAsia="Arial" w:hAnsi="Arial"/>
            <w:sz w:val="18"/>
            <w:szCs w:val="18"/>
            <w:u w:val="single" w:color="auto"/>
            <w:color w:val="0000FF"/>
          </w:rPr>
          <w:t>10-K filed on November 22</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77585" cy="368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ind w:left="1260" w:right="77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09">
        <w:r>
          <w:rPr>
            <w:rFonts w:ascii="Arial" w:cs="Arial" w:eastAsia="Arial" w:hAnsi="Arial"/>
            <w:sz w:val="18"/>
            <w:szCs w:val="18"/>
            <w:u w:val="single" w:color="auto"/>
            <w:color w:val="0000FF"/>
          </w:rPr>
          <w:t>Master Transaction Agreement, dated October 7, 2019, by and among Post Holdings, Inc., BellRing Brands, Inc.</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and BellRing Brands, LLC (Incorporated by reference to Exhibit 10.1 to the Company’s Form S-1/A filed on</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October 11, 2019)</w:t>
        </w:r>
      </w:hyperlink>
    </w:p>
    <w:p>
      <w:pPr>
        <w:spacing w:after="0" w:line="1" w:lineRule="exact"/>
        <w:rPr>
          <w:rFonts w:ascii="Arial" w:cs="Arial" w:eastAsia="Arial" w:hAnsi="Arial"/>
          <w:sz w:val="18"/>
          <w:szCs w:val="18"/>
          <w:u w:val="single" w:color="auto"/>
          <w:color w:val="0000FF"/>
        </w:rPr>
      </w:pPr>
    </w:p>
    <w:p>
      <w:pPr>
        <w:ind w:left="1260" w:right="87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10">
        <w:r>
          <w:rPr>
            <w:rFonts w:ascii="Arial" w:cs="Arial" w:eastAsia="Arial" w:hAnsi="Arial"/>
            <w:sz w:val="18"/>
            <w:szCs w:val="18"/>
            <w:u w:val="single" w:color="auto"/>
            <w:color w:val="0000FF"/>
          </w:rPr>
          <w:t>Employee Matters Agreement, dated October 21, 2019, by and among BellRing Brands, Inc., BellRing Brands,</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LLC and Post Holdings, Inc. (Incorporated by reference to Exhibit 10.2 to the Company’s Form 8-K filed on</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October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1119" w:hanging="890"/>
        <w:spacing w:after="0" w:line="24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10.3</w:t>
      </w:r>
      <w:r>
        <w:rPr>
          <w:sz w:val="20"/>
          <w:szCs w:val="20"/>
          <w:color w:val="auto"/>
        </w:rPr>
        <w:tab/>
      </w:r>
      <w:hyperlink r:id="rId112">
        <w:r>
          <w:rPr>
            <w:rFonts w:ascii="Arial" w:cs="Arial" w:eastAsia="Arial" w:hAnsi="Arial"/>
            <w:sz w:val="17"/>
            <w:szCs w:val="17"/>
            <w:u w:val="single" w:color="auto"/>
            <w:color w:val="0000FF"/>
          </w:rPr>
          <w:t>Investor Rights Agreement, dated October 21, 2019, between BellRing Brands, Inc. and Post Holdings, Inc.</w:t>
        </w:r>
      </w:hyperlink>
      <w:r>
        <w:rPr>
          <w:rFonts w:ascii="Arial" w:cs="Arial" w:eastAsia="Arial" w:hAnsi="Arial"/>
          <w:sz w:val="17"/>
          <w:szCs w:val="17"/>
          <w:u w:val="single" w:color="auto"/>
          <w:color w:val="0000FF"/>
        </w:rPr>
        <w:t xml:space="preserve"> </w:t>
      </w:r>
      <w:hyperlink r:id="rId112">
        <w:r>
          <w:rPr>
            <w:rFonts w:ascii="Arial" w:cs="Arial" w:eastAsia="Arial" w:hAnsi="Arial"/>
            <w:sz w:val="17"/>
            <w:szCs w:val="17"/>
            <w:u w:val="single" w:color="auto"/>
            <w:color w:val="0000FF"/>
          </w:rPr>
          <w:t>(Incorporated by reference to Exhibit 10.3 to the Company’s Form 8-K filed on October 21, 2019)</w:t>
        </w:r>
      </w:hyperlink>
    </w:p>
    <w:p>
      <w:pPr>
        <w:spacing w:after="0" w:line="1" w:lineRule="exact"/>
        <w:rPr>
          <w:sz w:val="20"/>
          <w:szCs w:val="20"/>
          <w:color w:val="auto"/>
        </w:rPr>
      </w:pPr>
    </w:p>
    <w:p>
      <w:pPr>
        <w:jc w:val="both"/>
        <w:ind w:left="1260" w:right="65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13">
        <w:r>
          <w:rPr>
            <w:rFonts w:ascii="Arial" w:cs="Arial" w:eastAsia="Arial" w:hAnsi="Arial"/>
            <w:sz w:val="18"/>
            <w:szCs w:val="18"/>
            <w:u w:val="single" w:color="auto"/>
            <w:color w:val="0000FF"/>
          </w:rPr>
          <w:t>Amended and Restated Limited Liability Company Agreement of BellRing Brands, LLC, dated October 21, 2019,</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by and among BellRing Brands, LLC, BellRing Brands, Inc. and Post Holdings, Inc. (Incorporated by reference to</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Exhibit 10.1 to the Company’s Form 8-K filed on October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9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6077585" cy="368935"/>
                    </a:xfrm>
                    <a:prstGeom prst="rect">
                      <a:avLst/>
                    </a:prstGeom>
                    <a:noFill/>
                  </pic:spPr>
                </pic:pic>
              </a:graphicData>
            </a:graphic>
          </wp:anchor>
        </w:drawing>
      </w:r>
    </w:p>
    <w:p>
      <w:pPr>
        <w:ind w:left="1260" w:right="63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15">
        <w:r>
          <w:rPr>
            <w:rFonts w:ascii="Arial" w:cs="Arial" w:eastAsia="Arial" w:hAnsi="Arial"/>
            <w:sz w:val="18"/>
            <w:szCs w:val="18"/>
            <w:u w:val="single" w:color="auto"/>
            <w:color w:val="0000FF"/>
          </w:rPr>
          <w:t>Tax Matters Agreement, dated October 21, 2019, by and among BellRing Brands, Inc., BellRing Brands, LLC and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Post Holdings, Inc. (Incorporated by reference to Exhibit 10.4 to the Company’s Form 8-K filed on October 21,</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2019)</w:t>
        </w:r>
      </w:hyperlink>
    </w:p>
    <w:p>
      <w:pPr>
        <w:sectPr>
          <w:pgSz w:w="11900" w:h="16838" w:orient="portrait"/>
          <w:cols w:equalWidth="0" w:num="1">
            <w:col w:w="10139"/>
          </w:cols>
          <w:pgMar w:left="320" w:top="125" w:right="1440" w:bottom="1440" w:gutter="0" w:footer="0" w:header="0"/>
        </w:sectPr>
      </w:pPr>
    </w:p>
    <w:p>
      <w:pPr>
        <w:spacing w:after="0" w:line="1" w:lineRule="exact"/>
        <w:rPr>
          <w:rFonts w:ascii="Arial" w:cs="Arial" w:eastAsia="Arial" w:hAnsi="Arial"/>
          <w:sz w:val="18"/>
          <w:szCs w:val="18"/>
          <w:u w:val="single" w:color="auto"/>
          <w:color w:val="0000FF"/>
        </w:rPr>
      </w:pPr>
    </w:p>
    <w:p>
      <w:pPr>
        <w:ind w:left="360"/>
        <w:spacing w:after="0"/>
        <w:rPr>
          <w:sz w:val="20"/>
          <w:szCs w:val="20"/>
          <w:color w:val="auto"/>
        </w:rPr>
      </w:pPr>
      <w:r>
        <w:rPr>
          <w:rFonts w:ascii="Arial" w:cs="Arial" w:eastAsia="Arial" w:hAnsi="Arial"/>
          <w:sz w:val="18"/>
          <w:szCs w:val="18"/>
          <w:color w:val="auto"/>
        </w:rPr>
        <w:t>10.6</w:t>
      </w:r>
    </w:p>
    <w:p>
      <w:pPr>
        <w:spacing w:after="0" w:line="373" w:lineRule="exact"/>
        <w:rPr>
          <w:rFonts w:ascii="Arial" w:cs="Arial" w:eastAsia="Arial" w:hAnsi="Arial"/>
          <w:sz w:val="18"/>
          <w:szCs w:val="18"/>
          <w:u w:val="single" w:color="auto"/>
          <w:color w:val="0000FF"/>
        </w:rPr>
      </w:pPr>
    </w:p>
    <w:p>
      <w:pPr>
        <w:ind w:left="360"/>
        <w:spacing w:after="0"/>
        <w:rPr>
          <w:sz w:val="20"/>
          <w:szCs w:val="20"/>
          <w:color w:val="auto"/>
        </w:rPr>
      </w:pPr>
      <w:r>
        <w:rPr>
          <w:rFonts w:ascii="Arial" w:cs="Arial" w:eastAsia="Arial" w:hAnsi="Arial"/>
          <w:sz w:val="18"/>
          <w:szCs w:val="18"/>
          <w:color w:val="auto"/>
        </w:rPr>
        <w:t>10.7</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10.8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699"/>
        <w:spacing w:after="0" w:line="224"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Tax Receivable Agreement, dated October 21, 2019, by and among BellRing Brands, Inc., BellRing Brands, LLC</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and Post Holdings, Inc. (Incorporated by reference to Exhibit 10.5 to the Company’s Form 8-K filed on October</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-794385</wp:posOffset>
            </wp:positionH>
            <wp:positionV relativeFrom="paragraph">
              <wp:posOffset>635</wp:posOffset>
            </wp:positionV>
            <wp:extent cx="6077585" cy="368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ind w:right="659"/>
        <w:spacing w:after="0" w:line="224"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Master Services Agreement, dated October 21, 2019, by and among BellRing Brands, Inc., BellRing Brands, LLC</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and Post Holdings, Inc. (Incorporated by reference to Exhibit 10.6 to the Company’s Form 8-K filed on October</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21, 2019)</w:t>
        </w:r>
      </w:hyperlink>
    </w:p>
    <w:p>
      <w:pPr>
        <w:spacing w:after="0" w:line="1" w:lineRule="exact"/>
        <w:rPr>
          <w:rFonts w:ascii="Arial" w:cs="Arial" w:eastAsia="Arial" w:hAnsi="Arial"/>
          <w:sz w:val="18"/>
          <w:szCs w:val="18"/>
          <w:u w:val="single" w:color="auto"/>
          <w:color w:val="0000FF"/>
        </w:rPr>
      </w:pPr>
    </w:p>
    <w:p>
      <w:pPr>
        <w:ind w:right="739"/>
        <w:spacing w:after="0" w:line="234"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Form of Indemnification Agreement (Incorporated by reference to Exhibit 10.7 to the Company’s Form 8-K filed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on October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52070</wp:posOffset>
            </wp:positionV>
            <wp:extent cx="6077585"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720" w:space="540"/>
            <w:col w:w="8879"/>
          </w:cols>
          <w:pgMar w:left="320" w:top="125" w:right="1440" w:bottom="1440" w:gutter="0" w:footer="0" w:header="0"/>
          <w:type w:val="continuous"/>
        </w:sectPr>
      </w:pPr>
    </w:p>
    <w:p>
      <w:pPr>
        <w:ind w:left="1260" w:right="1439" w:hanging="939"/>
        <w:spacing w:after="0" w:line="232"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21">
        <w:r>
          <w:rPr>
            <w:rFonts w:ascii="Arial" w:cs="Arial" w:eastAsia="Arial" w:hAnsi="Arial"/>
            <w:sz w:val="18"/>
            <w:szCs w:val="18"/>
            <w:u w:val="single" w:color="auto"/>
            <w:color w:val="0000FF"/>
          </w:rPr>
          <w:t>BellRing Brands, Inc. 2019 Long-Term Incentive Plan (Incorporated by reference to Exhibit 10.9 to the</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Company’s Form S-1/A filed on October 7, 2019)</w:t>
        </w:r>
      </w:hyperlink>
    </w:p>
    <w:p>
      <w:pPr>
        <w:spacing w:after="0" w:line="1" w:lineRule="exact"/>
        <w:rPr>
          <w:sz w:val="20"/>
          <w:szCs w:val="20"/>
          <w:color w:val="auto"/>
        </w:rPr>
      </w:pPr>
    </w:p>
    <w:p>
      <w:pPr>
        <w:ind w:left="1260" w:right="699" w:hanging="935"/>
        <w:spacing w:after="0" w:line="211"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22">
        <w:r>
          <w:rPr>
            <w:rFonts w:ascii="Arial" w:cs="Arial" w:eastAsia="Arial" w:hAnsi="Arial"/>
            <w:sz w:val="18"/>
            <w:szCs w:val="18"/>
            <w:u w:val="single" w:color="auto"/>
            <w:color w:val="0000FF"/>
          </w:rPr>
          <w:t>Credit Agreement, dated as of October 21, 2019, by and among BellRing Brands, LLC, the institutions from time</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to time party thereto as lenders, Credit Suisse Loan Funding LLC, BofA Securities, Inc., Morgan Stanley Senior</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Funding, Inc., Barclays Bank PLC, Citibank, N.A., Goldman Sachs Bank USA and JPMorgan Chase Bank, N.A.,</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as joint lead arrangers and joint bookrunners, and BMO Capital Markets Corp., Coöperatieve Rabobank U.A.,</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New York Branch, Nomura Securities International, Inc., Suntrust Robinson Humphrey, Inc.,UBS Securities LLC</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and Wells Fargo Securities, LLC, as co-managers, and Credit Suisse AG, Cayman Islands Branch, as</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administrative agent (Incorporated by reference to Exhibit 10.9 to the Company’s Form 8-K filed on October 21,</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77585" cy="368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ind w:left="1260" w:right="759" w:hanging="932"/>
        <w:spacing w:after="0" w:line="237"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124">
        <w:r>
          <w:rPr>
            <w:rFonts w:ascii="Arial" w:cs="Arial" w:eastAsia="Arial" w:hAnsi="Arial"/>
            <w:sz w:val="17"/>
            <w:szCs w:val="17"/>
            <w:u w:val="single" w:color="auto"/>
            <w:color w:val="0000FF"/>
          </w:rPr>
          <w:t>Bridge Facility Agreement, dated as of October 11, 2019, by and among Post Holdings, Inc., Morgan Stanley</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Senior Funding, Inc., as Administrative Agent and other lenders from time to time party thereto (Incorporated by</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reference to Exhibit 10.10 to the Company’s Form S-1/A filed on October 11, 2019)</w:t>
        </w:r>
      </w:hyperlink>
    </w:p>
    <w:p>
      <w:pPr>
        <w:spacing w:after="0" w:line="1" w:lineRule="exact"/>
        <w:rPr>
          <w:rFonts w:ascii="Arial" w:cs="Arial" w:eastAsia="Arial" w:hAnsi="Arial"/>
          <w:sz w:val="17"/>
          <w:szCs w:val="17"/>
          <w:u w:val="single" w:color="auto"/>
          <w:color w:val="0000FF"/>
        </w:rPr>
      </w:pPr>
    </w:p>
    <w:p>
      <w:pPr>
        <w:jc w:val="both"/>
        <w:ind w:left="1260" w:right="779" w:hanging="935"/>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25">
        <w:r>
          <w:rPr>
            <w:rFonts w:ascii="Arial" w:cs="Arial" w:eastAsia="Arial" w:hAnsi="Arial"/>
            <w:sz w:val="18"/>
            <w:szCs w:val="18"/>
            <w:u w:val="single" w:color="auto"/>
            <w:color w:val="0000FF"/>
          </w:rPr>
          <w:t>Guarantee and Collateral Agreement, dated as of October 11, 2019, by and among Post Holdings, Inc., certain of</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its subsidiaries and Morgan Stanley Senior Funding, Inc., as Administrative Agent (Incorporated by reference 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Exhibit 10.11 to the Company’s Form S-1/A filed on October 11, 2019)</w:t>
        </w:r>
      </w:hyperlink>
    </w:p>
    <w:p>
      <w:pPr>
        <w:spacing w:after="0" w:line="149" w:lineRule="exact"/>
        <w:rPr>
          <w:rFonts w:ascii="Arial" w:cs="Arial" w:eastAsia="Arial" w:hAnsi="Arial"/>
          <w:sz w:val="18"/>
          <w:szCs w:val="18"/>
          <w:u w:val="single" w:color="auto"/>
          <w:color w:val="0000FF"/>
        </w:rPr>
      </w:pPr>
    </w:p>
    <w:p>
      <w:pPr>
        <w:jc w:val="both"/>
        <w:ind w:left="1260" w:right="839" w:hanging="935"/>
        <w:spacing w:after="0" w:line="237"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126">
        <w:r>
          <w:rPr>
            <w:rFonts w:ascii="Arial" w:cs="Arial" w:eastAsia="Arial" w:hAnsi="Arial"/>
            <w:sz w:val="17"/>
            <w:szCs w:val="17"/>
            <w:u w:val="single" w:color="auto"/>
            <w:color w:val="0000FF"/>
          </w:rPr>
          <w:t>Borrower Assignment and Assumption Agreement, dated as of October 21, 2019, by and among Post Holdings,</w:t>
        </w:r>
      </w:hyperlink>
      <w:r>
        <w:rPr>
          <w:rFonts w:ascii="Arial" w:cs="Arial" w:eastAsia="Arial" w:hAnsi="Arial"/>
          <w:sz w:val="17"/>
          <w:szCs w:val="17"/>
          <w:u w:val="single" w:color="auto"/>
          <w:color w:val="0000FF"/>
        </w:rPr>
        <w:t xml:space="preserve"> </w:t>
      </w:r>
      <w:hyperlink r:id="rId126">
        <w:r>
          <w:rPr>
            <w:rFonts w:ascii="Arial" w:cs="Arial" w:eastAsia="Arial" w:hAnsi="Arial"/>
            <w:sz w:val="17"/>
            <w:szCs w:val="17"/>
            <w:u w:val="single" w:color="auto"/>
            <w:color w:val="0000FF"/>
          </w:rPr>
          <w:t>Inc., BellRing Brands, LLC and Morgan Stanley Senior Funding, Inc., as administrative agent (Incorporated by</w:t>
        </w:r>
      </w:hyperlink>
      <w:r>
        <w:rPr>
          <w:rFonts w:ascii="Arial" w:cs="Arial" w:eastAsia="Arial" w:hAnsi="Arial"/>
          <w:sz w:val="17"/>
          <w:szCs w:val="17"/>
          <w:u w:val="single" w:color="auto"/>
          <w:color w:val="0000FF"/>
        </w:rPr>
        <w:t xml:space="preserve"> </w:t>
      </w:r>
      <w:hyperlink r:id="rId126">
        <w:r>
          <w:rPr>
            <w:rFonts w:ascii="Arial" w:cs="Arial" w:eastAsia="Arial" w:hAnsi="Arial"/>
            <w:sz w:val="17"/>
            <w:szCs w:val="17"/>
            <w:u w:val="single" w:color="auto"/>
            <w:color w:val="0000FF"/>
          </w:rPr>
          <w:t>reference to Exhibit 10.8 to the Company's Form 8-K filed on October 21, 2019)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6077585" cy="368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ind w:left="1260" w:right="579"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28">
        <w:r>
          <w:rPr>
            <w:rFonts w:ascii="Arial" w:cs="Arial" w:eastAsia="Arial" w:hAnsi="Arial"/>
            <w:sz w:val="18"/>
            <w:szCs w:val="18"/>
            <w:u w:val="single" w:color="auto"/>
            <w:color w:val="0000FF"/>
          </w:rPr>
          <w:t>BellRing Brands, Inc. Senior Management Bonus Program (Incorporated by reference to Exhibit 10.1 to the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Company’s Form 8-K filed on November 22, 2019)</w:t>
        </w:r>
      </w:hyperlink>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77585"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6077585" cy="265430"/>
                    </a:xfrm>
                    <a:prstGeom prst="rect">
                      <a:avLst/>
                    </a:prstGeom>
                    <a:noFill/>
                  </pic:spPr>
                </pic:pic>
              </a:graphicData>
            </a:graphic>
          </wp:anchor>
        </w:drawing>
      </w:r>
    </w:p>
    <w:p>
      <w:pPr>
        <w:spacing w:after="0" w:line="25" w:lineRule="exact"/>
        <w:rPr>
          <w:sz w:val="20"/>
          <w:szCs w:val="20"/>
          <w:color w:val="auto"/>
        </w:rPr>
      </w:pPr>
    </w:p>
    <w:p>
      <w:pPr>
        <w:ind w:left="1260" w:right="1480" w:hanging="97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31">
        <w:r>
          <w:rPr>
            <w:rFonts w:ascii="Arial" w:cs="Arial" w:eastAsia="Arial" w:hAnsi="Arial"/>
            <w:sz w:val="18"/>
            <w:szCs w:val="18"/>
            <w:u w:val="single" w:color="auto"/>
            <w:color w:val="0000FF"/>
          </w:rPr>
          <w:t>Form of Restricted Stock Unit Agreement (Incorporated by reference to Exhibit 10.2 to the Company’s Form 8-K</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filed on November 22, 2019)</w:t>
        </w:r>
      </w:hyperlink>
    </w:p>
    <w:p>
      <w:pPr>
        <w:ind w:left="1260" w:right="1480"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32">
        <w:r>
          <w:rPr>
            <w:rFonts w:ascii="Arial" w:cs="Arial" w:eastAsia="Arial" w:hAnsi="Arial"/>
            <w:sz w:val="18"/>
            <w:szCs w:val="18"/>
            <w:u w:val="single" w:color="auto"/>
            <w:color w:val="0000FF"/>
          </w:rPr>
          <w:t>Form of Non-Qualified Stock Option Agreement (Incorporated by reference to Exhibit 10.3 to the Company’s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Form 8-K filed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†10.17</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10.18</w:t>
      </w:r>
    </w:p>
    <w:p>
      <w:pPr>
        <w:spacing w:after="0" w:line="36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10.19</w:t>
      </w:r>
    </w:p>
    <w:p>
      <w:pPr>
        <w:spacing w:after="0" w:line="20" w:lineRule="exact"/>
        <w:rPr>
          <w:sz w:val="20"/>
          <w:szCs w:val="20"/>
          <w:color w:val="auto"/>
        </w:rPr>
      </w:pPr>
      <w:r>
        <w:rPr>
          <w:sz w:val="20"/>
          <w:szCs w:val="20"/>
          <w:color w:val="auto"/>
        </w:rPr>
        <w:br w:type="column"/>
      </w:r>
    </w:p>
    <w:p>
      <w:pPr>
        <w:jc w:val="both"/>
        <w:ind w:right="1500"/>
        <w:spacing w:after="0" w:line="234" w:lineRule="auto"/>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Form of Director Restricted Stock Unit Agreement (Incorporated by reference to Exhibit 10.4 to the Company’s</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Form 8-K filed on November 22, 2019)</w:t>
        </w:r>
      </w:hyperlink>
    </w:p>
    <w:p>
      <w:pPr>
        <w:spacing w:after="0" w:line="1" w:lineRule="exact"/>
        <w:rPr>
          <w:sz w:val="20"/>
          <w:szCs w:val="20"/>
          <w:color w:val="auto"/>
        </w:rPr>
      </w:pPr>
    </w:p>
    <w:p>
      <w:pPr>
        <w:jc w:val="both"/>
        <w:ind w:right="1480"/>
        <w:spacing w:after="0" w:line="224"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Master Supply Agreement, dated as of December 3, 2019, by and between Premier Nutrition Company, LLC and</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Fonterra (USA) Inc. (Incorporated by reference to Exhibit 10.18 to the Company’s Form 10-Q filed on February 7,</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-794385</wp:posOffset>
            </wp:positionH>
            <wp:positionV relativeFrom="paragraph">
              <wp:posOffset>635</wp:posOffset>
            </wp:positionV>
            <wp:extent cx="6077585" cy="368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jc w:val="both"/>
        <w:ind w:right="1480"/>
        <w:spacing w:after="0" w:line="224"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Master Purchase Commitment, dated as of December 3, 2019, by and between Premier Nutrition Company, LLC</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and Fonterra (USA) Inc. (Incorporated by reference to Exhibit 10.19 to the Company’s Form 10-Q filed on</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February 7, 2020)</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780" w:space="480"/>
            <w:col w:w="9780"/>
          </w:cols>
          <w:pgMar w:left="320" w:top="125" w:right="539" w:bottom="1440" w:gutter="0" w:footer="0" w:header="0"/>
          <w:type w:val="continuous"/>
        </w:sectPr>
      </w:pPr>
    </w:p>
    <w:p>
      <w:pPr>
        <w:jc w:val="both"/>
        <w:ind w:left="1260" w:right="1480"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38">
        <w:r>
          <w:rPr>
            <w:rFonts w:ascii="Arial" w:cs="Arial" w:eastAsia="Arial" w:hAnsi="Arial"/>
            <w:sz w:val="18"/>
            <w:szCs w:val="18"/>
            <w:u w:val="single" w:color="auto"/>
            <w:color w:val="0000FF"/>
          </w:rPr>
          <w:t>Deferred Compensation Plan for Directors, dated as of January 1, 2020 (Incorporated by reference to Exhibit 10.20</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to the Company’s Form 10-Q filed on February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jc w:val="both"/>
        <w:ind w:left="1260" w:right="1480"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40">
        <w:r>
          <w:rPr>
            <w:rFonts w:ascii="Arial" w:cs="Arial" w:eastAsia="Arial" w:hAnsi="Arial"/>
            <w:sz w:val="18"/>
            <w:szCs w:val="18"/>
            <w:u w:val="single" w:color="auto"/>
            <w:color w:val="0000FF"/>
          </w:rPr>
          <w:t>Executive Severance Plan, dated as of January 1, 2020 (Incorporated by reference to Exhibit 10.21 to the</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Company’s Form 10-Q filed on February 7, 2020)</w:t>
        </w:r>
      </w:hyperlink>
    </w:p>
    <w:p>
      <w:pPr>
        <w:spacing w:after="0" w:line="1" w:lineRule="exact"/>
        <w:rPr>
          <w:sz w:val="20"/>
          <w:szCs w:val="20"/>
          <w:color w:val="auto"/>
        </w:rPr>
      </w:pPr>
    </w:p>
    <w:p>
      <w:pPr>
        <w:jc w:val="both"/>
        <w:ind w:left="1260" w:right="1480" w:hanging="984"/>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7"/>
          <w:szCs w:val="17"/>
          <w:color w:val="auto"/>
        </w:rPr>
        <w:t>10.22</w:t>
      </w:r>
      <w:r>
        <w:rPr>
          <w:sz w:val="20"/>
          <w:szCs w:val="20"/>
          <w:color w:val="auto"/>
        </w:rPr>
        <w:tab/>
      </w:r>
      <w:hyperlink r:id="rId141">
        <w:r>
          <w:rPr>
            <w:rFonts w:ascii="Arial" w:cs="Arial" w:eastAsia="Arial" w:hAnsi="Arial"/>
            <w:sz w:val="18"/>
            <w:szCs w:val="18"/>
            <w:u w:val="single" w:color="auto"/>
            <w:color w:val="0000FF"/>
          </w:rPr>
          <w:t>Stremick Heritage Foods, LLC and Premier Nutrition Corporation Manufacturing Agreement, dated as of July 1,</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2017, as amended June 11, 2018, October 1, 2018 and July 3, 2019 (Incorporated by reference to Exhibit 10.12 to</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the Company’s Form S-1 filed on September 20,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jc w:val="both"/>
        <w:ind w:left="1260" w:right="1480" w:hanging="935"/>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43">
        <w:r>
          <w:rPr>
            <w:rFonts w:ascii="Arial" w:cs="Arial" w:eastAsia="Arial" w:hAnsi="Arial"/>
            <w:sz w:val="18"/>
            <w:szCs w:val="18"/>
            <w:u w:val="single" w:color="auto"/>
            <w:color w:val="0000FF"/>
          </w:rPr>
          <w:t>First Amendment to Credit Agreement, dated as of February 21, 2020, by and among BellRing Brands, LLC and</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Credit Suisse AG, Cayman Islands Branch, as administrative agent (Incorporated herein by reference to Exhibit</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10.23 to the Company’s Form 10-Q filed on May 8, 2020)</w:t>
        </w:r>
      </w:hyperlink>
    </w:p>
    <w:p>
      <w:pPr>
        <w:spacing w:after="0" w:line="1" w:lineRule="exact"/>
        <w:rPr>
          <w:rFonts w:ascii="Arial" w:cs="Arial" w:eastAsia="Arial" w:hAnsi="Arial"/>
          <w:sz w:val="18"/>
          <w:szCs w:val="18"/>
          <w:u w:val="single" w:color="auto"/>
          <w:color w:val="0000FF"/>
        </w:rPr>
      </w:pPr>
    </w:p>
    <w:p>
      <w:pPr>
        <w:ind w:left="3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85">
        <w:r>
          <w:rPr>
            <w:rFonts w:ascii="Arial" w:cs="Arial" w:eastAsia="Arial" w:hAnsi="Arial"/>
            <w:sz w:val="16"/>
            <w:szCs w:val="16"/>
            <w:u w:val="single" w:color="auto"/>
            <w:color w:val="0000FF"/>
          </w:rPr>
          <w:t>Subsidiaries of BellRing Brands, Inc</w:t>
        </w:r>
        <w:r>
          <w:rPr>
            <w:rFonts w:ascii="Arial" w:cs="Arial" w:eastAsia="Arial" w:hAnsi="Arial"/>
            <w:sz w:val="16"/>
            <w:szCs w:val="16"/>
            <w:color w:val="0000FF"/>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7758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6077585" cy="14541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3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86">
        <w:r>
          <w:rPr>
            <w:rFonts w:ascii="Arial" w:cs="Arial" w:eastAsia="Arial" w:hAnsi="Arial"/>
            <w:sz w:val="16"/>
            <w:szCs w:val="16"/>
            <w:u w:val="single" w:color="auto"/>
            <w:color w:val="0000FF"/>
          </w:rPr>
          <w:t>Consent of PricewaterhouseCoopers LLP</w:t>
        </w:r>
      </w:hyperlink>
    </w:p>
    <w:p>
      <w:pPr>
        <w:spacing w:after="0" w:line="23" w:lineRule="exact"/>
        <w:rPr>
          <w:rFonts w:ascii="Arial" w:cs="Arial" w:eastAsia="Arial" w:hAnsi="Arial"/>
          <w:sz w:val="18"/>
          <w:szCs w:val="18"/>
          <w:u w:val="single" w:color="auto"/>
          <w:color w:val="0000FF"/>
        </w:rPr>
      </w:pPr>
    </w:p>
    <w:p>
      <w:pPr>
        <w:ind w:left="3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24.1</w:t>
      </w:r>
      <w:r>
        <w:rPr>
          <w:sz w:val="20"/>
          <w:szCs w:val="20"/>
          <w:color w:val="auto"/>
        </w:rPr>
        <w:tab/>
      </w:r>
      <w:hyperlink w:anchor="page83">
        <w:r>
          <w:rPr>
            <w:rFonts w:ascii="Arial" w:cs="Arial" w:eastAsia="Arial" w:hAnsi="Arial"/>
            <w:sz w:val="16"/>
            <w:szCs w:val="16"/>
            <w:u w:val="single" w:color="auto"/>
            <w:color w:val="0000FF"/>
          </w:rPr>
          <w:t>Power of Attorney (Included under Signatures)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77585"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1260" w:right="1500"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87">
        <w:r>
          <w:rPr>
            <w:rFonts w:ascii="Arial" w:cs="Arial" w:eastAsia="Arial" w:hAnsi="Arial"/>
            <w:sz w:val="18"/>
            <w:szCs w:val="18"/>
            <w:u w:val="single" w:color="auto"/>
            <w:color w:val="0000FF"/>
          </w:rPr>
          <w:t>Certification of Robert V. Vitale pursuant to Rule 13a-14(a), as adopted pursuant to Section 302 of the Sarbanes-</w:t>
        </w:r>
      </w:hyperlink>
      <w:hyperlink w:anchor="page87">
        <w:r>
          <w:rPr>
            <w:rFonts w:ascii="Arial" w:cs="Arial" w:eastAsia="Arial" w:hAnsi="Arial"/>
            <w:sz w:val="18"/>
            <w:szCs w:val="18"/>
            <w:u w:val="single" w:color="auto"/>
            <w:color w:val="0000FF"/>
          </w:rPr>
          <w:t>Oxley Act of 2002, dated November 20, 2020</w:t>
        </w:r>
      </w:hyperlink>
    </w:p>
    <w:p>
      <w:pPr>
        <w:spacing w:after="0" w:line="1" w:lineRule="exact"/>
        <w:rPr>
          <w:sz w:val="20"/>
          <w:szCs w:val="20"/>
          <w:color w:val="auto"/>
        </w:rPr>
      </w:pPr>
    </w:p>
    <w:p>
      <w:pPr>
        <w:ind w:left="1260" w:right="1480" w:hanging="890"/>
        <w:spacing w:after="0" w:line="234" w:lineRule="auto"/>
        <w:tabs>
          <w:tab w:leader="none" w:pos="1240" w:val="left"/>
        </w:tabs>
        <w:rPr>
          <w:rFonts w:ascii="Arial" w:cs="Arial" w:eastAsia="Arial" w:hAnsi="Arial"/>
          <w:sz w:val="18"/>
          <w:szCs w:val="18"/>
          <w:color w:val="0000FF"/>
        </w:rPr>
      </w:pPr>
      <w:r>
        <w:rPr>
          <w:rFonts w:ascii="Arial" w:cs="Arial" w:eastAsia="Arial" w:hAnsi="Arial"/>
          <w:sz w:val="18"/>
          <w:szCs w:val="18"/>
          <w:color w:val="auto"/>
        </w:rPr>
        <w:t>31.2</w:t>
      </w:r>
      <w:r>
        <w:rPr>
          <w:sz w:val="20"/>
          <w:szCs w:val="20"/>
          <w:color w:val="auto"/>
        </w:rPr>
        <w:tab/>
      </w:r>
      <w:hyperlink w:anchor="page88">
        <w:r>
          <w:rPr>
            <w:rFonts w:ascii="Arial" w:cs="Arial" w:eastAsia="Arial" w:hAnsi="Arial"/>
            <w:sz w:val="18"/>
            <w:szCs w:val="18"/>
            <w:u w:val="single" w:color="auto"/>
            <w:color w:val="0000FF"/>
          </w:rPr>
          <w:t>Certification of Darcy H. Davenport pursuant to Rule 13a-14(a), as adopted pursuant to Section 302 of the</w:t>
        </w:r>
      </w:hyperlink>
      <w:r>
        <w:rPr>
          <w:rFonts w:ascii="Arial" w:cs="Arial" w:eastAsia="Arial" w:hAnsi="Arial"/>
          <w:sz w:val="18"/>
          <w:szCs w:val="18"/>
          <w:u w:val="single" w:color="auto"/>
          <w:color w:val="0000FF"/>
        </w:rPr>
        <w:t xml:space="preserve"> </w:t>
      </w:r>
      <w:hyperlink w:anchor="page88">
        <w:r>
          <w:rPr>
            <w:rFonts w:ascii="Arial" w:cs="Arial" w:eastAsia="Arial" w:hAnsi="Arial"/>
            <w:sz w:val="18"/>
            <w:szCs w:val="18"/>
            <w:u w:val="single" w:color="auto"/>
            <w:color w:val="0000FF"/>
          </w:rPr>
          <w:t>Sarbanes-Oxley Act of 2002, dated November</w:t>
        </w:r>
        <w:r>
          <w:rPr>
            <w:rFonts w:ascii="Arial" w:cs="Arial" w:eastAsia="Arial" w:hAnsi="Arial"/>
            <w:sz w:val="18"/>
            <w:szCs w:val="18"/>
            <w:color w:val="0000FF"/>
          </w:rPr>
          <w:t xml:space="preserve"> 20, </w:t>
        </w:r>
        <w:r>
          <w:rPr>
            <w:rFonts w:ascii="Arial" w:cs="Arial" w:eastAsia="Arial" w:hAnsi="Arial"/>
            <w:sz w:val="18"/>
            <w:szCs w:val="18"/>
            <w:u w:val="single" w:color="auto"/>
            <w:color w:val="0000FF"/>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1480" w:hanging="890"/>
        <w:spacing w:after="0" w:line="234" w:lineRule="auto"/>
        <w:tabs>
          <w:tab w:leader="none" w:pos="1240" w:val="left"/>
        </w:tabs>
        <w:rPr>
          <w:rFonts w:ascii="Arial" w:cs="Arial" w:eastAsia="Arial" w:hAnsi="Arial"/>
          <w:sz w:val="18"/>
          <w:szCs w:val="18"/>
          <w:color w:val="0000FF"/>
        </w:rPr>
      </w:pPr>
      <w:r>
        <w:rPr>
          <w:rFonts w:ascii="Arial" w:cs="Arial" w:eastAsia="Arial" w:hAnsi="Arial"/>
          <w:sz w:val="18"/>
          <w:szCs w:val="18"/>
          <w:color w:val="auto"/>
        </w:rPr>
        <w:t>31.3</w:t>
      </w:r>
      <w:r>
        <w:rPr>
          <w:sz w:val="20"/>
          <w:szCs w:val="20"/>
          <w:color w:val="auto"/>
        </w:rPr>
        <w:tab/>
      </w:r>
      <w:hyperlink w:anchor="page89">
        <w:r>
          <w:rPr>
            <w:rFonts w:ascii="Arial" w:cs="Arial" w:eastAsia="Arial" w:hAnsi="Arial"/>
            <w:sz w:val="18"/>
            <w:szCs w:val="18"/>
            <w:u w:val="single" w:color="auto"/>
            <w:color w:val="0000FF"/>
          </w:rPr>
          <w:t>Certification of Paul A. Rode pursuant to Rule 13a-14(a), as adopted pursuant to Section 302 of the Sarbanes-</w:t>
        </w:r>
      </w:hyperlink>
      <w:hyperlink w:anchor="page89">
        <w:r>
          <w:rPr>
            <w:rFonts w:ascii="Arial" w:cs="Arial" w:eastAsia="Arial" w:hAnsi="Arial"/>
            <w:sz w:val="18"/>
            <w:szCs w:val="18"/>
            <w:u w:val="single" w:color="auto"/>
            <w:color w:val="0000FF"/>
          </w:rPr>
          <w:t>Oxley Act of 2002, dated November,</w:t>
        </w:r>
        <w:r>
          <w:rPr>
            <w:rFonts w:ascii="Arial" w:cs="Arial" w:eastAsia="Arial" w:hAnsi="Arial"/>
            <w:sz w:val="18"/>
            <w:szCs w:val="18"/>
            <w:color w:val="0000FF"/>
          </w:rPr>
          <w:t xml:space="preserve"> 20, </w:t>
        </w:r>
        <w:r>
          <w:rPr>
            <w:rFonts w:ascii="Arial" w:cs="Arial" w:eastAsia="Arial" w:hAnsi="Arial"/>
            <w:sz w:val="18"/>
            <w:szCs w:val="18"/>
            <w:u w:val="single" w:color="auto"/>
            <w:color w:val="0000FF"/>
          </w:rPr>
          <w:t>2020</w:t>
        </w:r>
      </w:hyperlink>
    </w:p>
    <w:p>
      <w:pPr>
        <w:spacing w:after="0" w:line="1" w:lineRule="exact"/>
        <w:rPr>
          <w:sz w:val="20"/>
          <w:szCs w:val="20"/>
          <w:color w:val="auto"/>
        </w:rPr>
      </w:pPr>
    </w:p>
    <w:p>
      <w:pPr>
        <w:ind w:left="1260" w:right="1500"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90">
        <w:r>
          <w:rPr>
            <w:rFonts w:ascii="Arial" w:cs="Arial" w:eastAsia="Arial" w:hAnsi="Arial"/>
            <w:sz w:val="18"/>
            <w:szCs w:val="18"/>
            <w:u w:val="single" w:color="auto"/>
            <w:color w:val="0000FF"/>
          </w:rPr>
          <w:t>Certification of Robert V. Vitale, Darcy H. Davenport and Paul A. Rode, pursuant to 18 U.S.C. Section 1350 as</w:t>
        </w:r>
      </w:hyperlink>
      <w:r>
        <w:rPr>
          <w:rFonts w:ascii="Arial" w:cs="Arial" w:eastAsia="Arial" w:hAnsi="Arial"/>
          <w:sz w:val="18"/>
          <w:szCs w:val="18"/>
          <w:u w:val="single" w:color="auto"/>
          <w:color w:val="0000FF"/>
        </w:rPr>
        <w:t xml:space="preserve"> </w:t>
      </w:r>
      <w:hyperlink w:anchor="page90">
        <w:r>
          <w:rPr>
            <w:rFonts w:ascii="Arial" w:cs="Arial" w:eastAsia="Arial" w:hAnsi="Arial"/>
            <w:sz w:val="18"/>
            <w:szCs w:val="18"/>
            <w:u w:val="single" w:color="auto"/>
            <w:color w:val="0000FF"/>
          </w:rPr>
          <w:t>adopted pursuant to Section 906 of the Sarbanes-Oxley Act of 2002, dated November 20,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ind w:left="1260" w:right="2080" w:hanging="874"/>
        <w:spacing w:after="0" w:line="224"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Interactive Data File (Form 10-K for the year ended September 30, 2020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260" w:right="1920" w:hanging="874"/>
        <w:spacing w:after="0" w:line="234"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cover page from the Company’s Form 10-K for the year ended September 30, 2020, formatted in iXBRL (Inline eXtensible Business Reporting Language) and contained in Exhibit 101</w:t>
      </w:r>
    </w:p>
    <w:p>
      <w:pPr>
        <w:spacing w:after="0" w:line="270" w:lineRule="exact"/>
        <w:rPr>
          <w:rFonts w:ascii="Arial" w:cs="Arial" w:eastAsia="Arial" w:hAnsi="Arial"/>
          <w:sz w:val="18"/>
          <w:szCs w:val="18"/>
          <w:color w:val="auto"/>
        </w:rPr>
      </w:pPr>
    </w:p>
    <w:p>
      <w:pPr>
        <w:ind w:left="480" w:hanging="454"/>
        <w:spacing w:after="0"/>
        <w:tabs>
          <w:tab w:leader="none" w:pos="480" w:val="left"/>
        </w:tabs>
        <w:numPr>
          <w:ilvl w:val="0"/>
          <w:numId w:val="37"/>
        </w:numPr>
        <w:rPr>
          <w:rFonts w:ascii="Arial" w:cs="Arial" w:eastAsia="Arial" w:hAnsi="Arial"/>
          <w:sz w:val="20"/>
          <w:szCs w:val="20"/>
          <w:color w:val="auto"/>
        </w:rPr>
      </w:pPr>
      <w:r>
        <w:rPr>
          <w:rFonts w:ascii="Arial" w:cs="Arial" w:eastAsia="Arial" w:hAnsi="Arial"/>
          <w:sz w:val="18"/>
          <w:szCs w:val="18"/>
          <w:color w:val="auto"/>
        </w:rPr>
        <w:t>These exhibits constitute management contracts, compensatory plans and arrangements.</w:t>
      </w:r>
    </w:p>
    <w:p>
      <w:pPr>
        <w:spacing w:after="0" w:line="18" w:lineRule="exact"/>
        <w:rPr>
          <w:sz w:val="20"/>
          <w:szCs w:val="20"/>
          <w:color w:val="auto"/>
        </w:rPr>
      </w:pPr>
    </w:p>
    <w:p>
      <w:pPr>
        <w:ind w:left="480" w:hanging="454"/>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27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0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700" w:right="2360" w:hanging="7181"/>
        <w:spacing w:after="0" w:line="273" w:lineRule="auto"/>
        <w:tabs>
          <w:tab w:leader="none" w:pos="680" w:val="left"/>
        </w:tabs>
        <w:rPr>
          <w:sz w:val="20"/>
          <w:szCs w:val="20"/>
          <w:color w:val="auto"/>
        </w:rPr>
      </w:pPr>
      <w:r>
        <w:rPr>
          <w:rFonts w:ascii="Arial" w:cs="Arial" w:eastAsia="Arial" w:hAnsi="Arial"/>
          <w:sz w:val="18"/>
          <w:szCs w:val="18"/>
          <w:color w:val="auto"/>
        </w:rPr>
        <w:t>Date:</w:t>
        <w:tab/>
        <w:t>November 20, 2020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wp:posOffset>
            </wp:positionV>
            <wp:extent cx="23317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Paul A. Rode and Craig L. Rosenthal, and each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6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34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Robert V. Vitale</w:t>
      </w: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Darcy H. Davenport</w:t>
      </w: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Paul A. Rode</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Thomas P. Erickson</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0485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9"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Jennifer Kuperman Johnson</w:t>
      </w:r>
    </w:p>
    <w:p>
      <w:pPr>
        <w:spacing w:after="0" w:line="30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4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520"/>
        </w:trPr>
        <w:tc>
          <w:tcPr>
            <w:tcW w:w="46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Executive Chairman of the Board of Directors</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20, 2020</w:t>
            </w:r>
          </w:p>
        </w:tc>
        <w:tc>
          <w:tcPr>
            <w:tcW w:w="0" w:type="dxa"/>
            <w:vAlign w:val="bottom"/>
          </w:tcPr>
          <w:p>
            <w:pPr>
              <w:spacing w:after="0"/>
              <w:rPr>
                <w:sz w:val="1"/>
                <w:szCs w:val="1"/>
                <w:color w:val="auto"/>
              </w:rPr>
            </w:pPr>
          </w:p>
        </w:tc>
      </w:tr>
      <w:tr>
        <w:trPr>
          <w:trHeight w:val="40"/>
        </w:trPr>
        <w:tc>
          <w:tcPr>
            <w:tcW w:w="4600" w:type="dxa"/>
            <w:vAlign w:val="bottom"/>
            <w:gridSpan w:val="2"/>
            <w:vMerge w:val="continue"/>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(Co-Principal Executive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6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President and Chief Executive Officer and 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20, 2020</w:t>
            </w:r>
          </w:p>
        </w:tc>
        <w:tc>
          <w:tcPr>
            <w:tcW w:w="0" w:type="dxa"/>
            <w:vAlign w:val="bottom"/>
          </w:tcPr>
          <w:p>
            <w:pPr>
              <w:spacing w:after="0"/>
              <w:rPr>
                <w:sz w:val="1"/>
                <w:szCs w:val="1"/>
                <w:color w:val="auto"/>
              </w:rPr>
            </w:pPr>
          </w:p>
        </w:tc>
      </w:tr>
      <w:tr>
        <w:trPr>
          <w:trHeight w:val="40"/>
        </w:trPr>
        <w:tc>
          <w:tcPr>
            <w:tcW w:w="4600" w:type="dxa"/>
            <w:vAlign w:val="bottom"/>
            <w:gridSpan w:val="2"/>
            <w:vMerge w:val="continue"/>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(Co-Principal Executive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60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Chief Financial Officer and Treasurer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20, 2020</w:t>
            </w:r>
          </w:p>
        </w:tc>
        <w:tc>
          <w:tcPr>
            <w:tcW w:w="0" w:type="dxa"/>
            <w:vAlign w:val="bottom"/>
          </w:tcPr>
          <w:p>
            <w:pPr>
              <w:spacing w:after="0"/>
              <w:rPr>
                <w:sz w:val="1"/>
                <w:szCs w:val="1"/>
                <w:color w:val="auto"/>
              </w:rPr>
            </w:pPr>
          </w:p>
        </w:tc>
      </w:tr>
      <w:tr>
        <w:trPr>
          <w:trHeight w:val="40"/>
        </w:trPr>
        <w:tc>
          <w:tcPr>
            <w:tcW w:w="4600" w:type="dxa"/>
            <w:vAlign w:val="bottom"/>
            <w:gridSpan w:val="2"/>
            <w:vMerge w:val="continue"/>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20, 2020</w:t>
            </w:r>
          </w:p>
        </w:tc>
        <w:tc>
          <w:tcPr>
            <w:tcW w:w="0" w:type="dxa"/>
            <w:vAlign w:val="bottom"/>
          </w:tcPr>
          <w:p>
            <w:pPr>
              <w:spacing w:after="0"/>
              <w:rPr>
                <w:sz w:val="1"/>
                <w:szCs w:val="1"/>
                <w:color w:val="auto"/>
              </w:rPr>
            </w:pPr>
          </w:p>
        </w:tc>
      </w:tr>
      <w:tr>
        <w:trPr>
          <w:trHeight w:val="743"/>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20, 2020</w:t>
            </w:r>
          </w:p>
        </w:tc>
        <w:tc>
          <w:tcPr>
            <w:tcW w:w="0" w:type="dxa"/>
            <w:vAlign w:val="bottom"/>
          </w:tcPr>
          <w:p>
            <w:pPr>
              <w:spacing w:after="0"/>
              <w:rPr>
                <w:sz w:val="1"/>
                <w:szCs w:val="1"/>
                <w:color w:val="auto"/>
              </w:rPr>
            </w:pPr>
          </w:p>
        </w:tc>
      </w:tr>
      <w:tr>
        <w:trPr>
          <w:trHeight w:val="743"/>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20, 2020</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2740" w:space="620"/>
            <w:col w:w="78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25" w:right="33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0" w:type="dxa"/>
            <w:vAlign w:val="bottom"/>
            <w:gridSpan w:val="3"/>
          </w:tcPr>
          <w:p>
            <w:pPr>
              <w:ind w:left="480"/>
              <w:spacing w:after="0"/>
              <w:rPr>
                <w:sz w:val="20"/>
                <w:szCs w:val="20"/>
                <w:color w:val="auto"/>
              </w:rPr>
            </w:pPr>
            <w:r>
              <w:rPr>
                <w:rFonts w:ascii="Arial" w:cs="Arial" w:eastAsia="Arial" w:hAnsi="Arial"/>
                <w:sz w:val="18"/>
                <w:szCs w:val="18"/>
                <w:b w:val="1"/>
                <w:bCs w:val="1"/>
                <w:color w:val="auto"/>
              </w:rPr>
              <w:t>SUBSIDIARIES OF BELLRING BRANDS, INC.</w:t>
            </w:r>
          </w:p>
        </w:tc>
      </w:tr>
      <w:tr>
        <w:trPr>
          <w:trHeight w:val="364"/>
        </w:trPr>
        <w:tc>
          <w:tcPr>
            <w:tcW w:w="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183"/>
        </w:trPr>
        <w:tc>
          <w:tcPr>
            <w:tcW w:w="3200" w:type="dxa"/>
            <w:vAlign w:val="bottom"/>
            <w:tcBorders>
              <w:left w:val="single" w:sz="8" w:color="auto"/>
            </w:tcBorders>
            <w:gridSpan w:val="2"/>
          </w:tcPr>
          <w:p>
            <w:pPr>
              <w:ind w:left="20"/>
              <w:spacing w:after="0" w:line="182" w:lineRule="exact"/>
              <w:rPr>
                <w:sz w:val="20"/>
                <w:szCs w:val="20"/>
                <w:color w:val="auto"/>
              </w:rPr>
            </w:pPr>
            <w:r>
              <w:rPr>
                <w:rFonts w:ascii="Arial" w:cs="Arial" w:eastAsia="Arial" w:hAnsi="Arial"/>
                <w:sz w:val="18"/>
                <w:szCs w:val="18"/>
                <w:b w:val="1"/>
                <w:bCs w:val="1"/>
                <w:color w:val="auto"/>
              </w:rPr>
              <w:t>Name</w:t>
            </w:r>
          </w:p>
        </w:tc>
        <w:tc>
          <w:tcPr>
            <w:tcW w:w="240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Jurisdiction of Incorporation / Formation</w:t>
            </w:r>
          </w:p>
        </w:tc>
      </w:tr>
      <w:tr>
        <w:trPr>
          <w:trHeight w:val="21"/>
        </w:trPr>
        <w:tc>
          <w:tcPr>
            <w:tcW w:w="4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Active Nutrition International GmbH</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Germany</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BellRing Brands,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Dymatize Enterprises,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Premier Nutrition Company,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Supreme Protein,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TA/DEI-A Acquisition Corp.</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00"/>
          </w:cols>
          <w:pgMar w:left="36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333-238306, No. 333-237494, No. 333-234290) of BellRing Brands, Inc. of our report dated November 20, 2020 relating to the financial statements of BellRing Brands, Inc.,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2020</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820" w:hanging="324"/>
        <w:spacing w:after="0" w:line="263"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40" w:hanging="324"/>
        <w:spacing w:after="0" w:line="286" w:lineRule="auto"/>
        <w:tabs>
          <w:tab w:leader="none" w:pos="97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60"/>
              <w:spacing w:after="0"/>
              <w:rPr>
                <w:sz w:val="20"/>
                <w:szCs w:val="20"/>
                <w:color w:val="auto"/>
              </w:rPr>
            </w:pPr>
            <w:r>
              <w:rPr>
                <w:rFonts w:ascii="Arial" w:cs="Arial" w:eastAsia="Arial" w:hAnsi="Arial"/>
                <w:sz w:val="18"/>
                <w:szCs w:val="18"/>
                <w:color w:val="auto"/>
              </w:rPr>
              <w:t>November 20, 2020</w:t>
            </w:r>
          </w:p>
        </w:tc>
        <w:tc>
          <w:tcPr>
            <w:tcW w:w="4160" w:type="dxa"/>
            <w:vAlign w:val="bottom"/>
            <w:gridSpan w:val="2"/>
          </w:tcPr>
          <w:p>
            <w:pPr>
              <w:ind w:left="940"/>
              <w:spacing w:after="0"/>
              <w:rPr>
                <w:sz w:val="20"/>
                <w:szCs w:val="20"/>
                <w:color w:val="auto"/>
              </w:rPr>
            </w:pPr>
            <w:r>
              <w:rPr>
                <w:rFonts w:ascii="Arial" w:cs="Arial" w:eastAsia="Arial" w:hAnsi="Arial"/>
                <w:sz w:val="18"/>
                <w:szCs w:val="18"/>
                <w:color w:val="auto"/>
              </w:rPr>
              <w:t>By:  /s/ Robert V. Vitale</w:t>
            </w:r>
          </w:p>
        </w:tc>
      </w:tr>
      <w:tr>
        <w:trPr>
          <w:trHeight w:val="222"/>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Executive Chairman</w:t>
            </w:r>
          </w:p>
        </w:tc>
      </w:tr>
    </w:tbl>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820" w:hanging="324"/>
        <w:spacing w:after="0" w:line="263"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40" w:hanging="324"/>
        <w:spacing w:after="0" w:line="286" w:lineRule="auto"/>
        <w:tabs>
          <w:tab w:leader="none" w:pos="97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60"/>
              <w:spacing w:after="0"/>
              <w:rPr>
                <w:sz w:val="20"/>
                <w:szCs w:val="20"/>
                <w:color w:val="auto"/>
              </w:rPr>
            </w:pPr>
            <w:r>
              <w:rPr>
                <w:rFonts w:ascii="Arial" w:cs="Arial" w:eastAsia="Arial" w:hAnsi="Arial"/>
                <w:sz w:val="18"/>
                <w:szCs w:val="18"/>
                <w:color w:val="auto"/>
              </w:rPr>
              <w:t>November 20, 2020</w:t>
            </w:r>
          </w:p>
        </w:tc>
        <w:tc>
          <w:tcPr>
            <w:tcW w:w="4160" w:type="dxa"/>
            <w:vAlign w:val="bottom"/>
            <w:gridSpan w:val="2"/>
          </w:tcPr>
          <w:p>
            <w:pPr>
              <w:ind w:left="940"/>
              <w:spacing w:after="0"/>
              <w:rPr>
                <w:sz w:val="20"/>
                <w:szCs w:val="20"/>
                <w:color w:val="auto"/>
              </w:rPr>
            </w:pPr>
            <w:r>
              <w:rPr>
                <w:rFonts w:ascii="Arial" w:cs="Arial" w:eastAsia="Arial" w:hAnsi="Arial"/>
                <w:sz w:val="18"/>
                <w:szCs w:val="18"/>
                <w:color w:val="auto"/>
              </w:rPr>
              <w:t>By:  /s/ Darcy H. Davenport</w:t>
            </w:r>
          </w:p>
        </w:tc>
      </w:tr>
      <w:tr>
        <w:trPr>
          <w:trHeight w:val="222"/>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w w:val="93"/>
              </w:rPr>
              <w:t>President and Chief Executive Officer</w:t>
            </w:r>
          </w:p>
        </w:tc>
      </w:tr>
    </w:tbl>
    <w:p>
      <w:pPr>
        <w:sectPr>
          <w:pgSz w:w="11900" w:h="16838" w:orient="portrait"/>
          <w:cols w:equalWidth="0" w:num="1">
            <w:col w:w="11240"/>
          </w:cols>
          <w:pgMar w:left="320" w:top="89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980" w:right="880" w:hanging="324"/>
        <w:spacing w:after="0" w:line="286" w:lineRule="auto"/>
        <w:tabs>
          <w:tab w:leader="none" w:pos="97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820" w:hanging="324"/>
        <w:spacing w:after="0" w:line="263"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40" w:hanging="324"/>
        <w:spacing w:after="0" w:line="286" w:lineRule="auto"/>
        <w:tabs>
          <w:tab w:leader="none" w:pos="97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40"/>
              <w:spacing w:after="0"/>
              <w:rPr>
                <w:sz w:val="20"/>
                <w:szCs w:val="20"/>
                <w:color w:val="auto"/>
              </w:rPr>
            </w:pPr>
            <w:r>
              <w:rPr>
                <w:rFonts w:ascii="Arial" w:cs="Arial" w:eastAsia="Arial" w:hAnsi="Arial"/>
                <w:sz w:val="18"/>
                <w:szCs w:val="18"/>
                <w:color w:val="auto"/>
              </w:rPr>
              <w:t>November 20, 2020</w:t>
            </w:r>
          </w:p>
        </w:tc>
        <w:tc>
          <w:tcPr>
            <w:tcW w:w="4200" w:type="dxa"/>
            <w:vAlign w:val="bottom"/>
            <w:gridSpan w:val="2"/>
          </w:tcPr>
          <w:p>
            <w:pPr>
              <w:ind w:left="980"/>
              <w:spacing w:after="0"/>
              <w:rPr>
                <w:sz w:val="20"/>
                <w:szCs w:val="20"/>
                <w:color w:val="auto"/>
              </w:rPr>
            </w:pPr>
            <w:r>
              <w:rPr>
                <w:rFonts w:ascii="Arial" w:cs="Arial" w:eastAsia="Arial" w:hAnsi="Arial"/>
                <w:sz w:val="18"/>
                <w:szCs w:val="18"/>
                <w:color w:val="auto"/>
              </w:rPr>
              <w:t>By:  /s/ Paul A. Rode</w:t>
            </w:r>
          </w:p>
        </w:tc>
      </w:tr>
      <w:tr>
        <w:trPr>
          <w:trHeight w:val="222"/>
        </w:trPr>
        <w:tc>
          <w:tcPr>
            <w:tcW w:w="5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the Executive Chairman of BellRing Brands, Inc. (the “Company”), hereby certifies that, to his knowledge on the date hereof:</w:t>
      </w:r>
    </w:p>
    <w:p>
      <w:pPr>
        <w:spacing w:after="0" w:line="264" w:lineRule="exact"/>
        <w:rPr>
          <w:sz w:val="20"/>
          <w:szCs w:val="20"/>
          <w:color w:val="auto"/>
        </w:rPr>
      </w:pPr>
    </w:p>
    <w:p>
      <w:pPr>
        <w:ind w:left="660" w:right="860" w:hanging="652"/>
        <w:spacing w:after="0" w:line="342" w:lineRule="auto"/>
        <w:tabs>
          <w:tab w:leader="none" w:pos="3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2020,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1500" w:hanging="652"/>
        <w:spacing w:after="0" w:line="277" w:lineRule="auto"/>
        <w:tabs>
          <w:tab w:leader="none" w:pos="4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November 20, 2020</w:t>
            </w:r>
          </w:p>
        </w:tc>
        <w:tc>
          <w:tcPr>
            <w:tcW w:w="4300" w:type="dxa"/>
            <w:vAlign w:val="bottom"/>
            <w:gridSpan w:val="2"/>
          </w:tcPr>
          <w:p>
            <w:pPr>
              <w:ind w:left="920"/>
              <w:spacing w:after="0"/>
              <w:rPr>
                <w:sz w:val="20"/>
                <w:szCs w:val="20"/>
                <w:color w:val="auto"/>
              </w:rPr>
            </w:pPr>
            <w:r>
              <w:rPr>
                <w:rFonts w:ascii="Arial" w:cs="Arial" w:eastAsia="Arial" w:hAnsi="Arial"/>
                <w:sz w:val="18"/>
                <w:szCs w:val="18"/>
                <w:color w:val="auto"/>
              </w:rPr>
              <w:t>By:  /s/ Robert. V. Vitale</w:t>
            </w:r>
          </w:p>
        </w:tc>
      </w:tr>
      <w:tr>
        <w:trPr>
          <w:trHeight w:val="222"/>
        </w:trPr>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Executive Chairman</w:t>
            </w:r>
          </w:p>
        </w:tc>
      </w:tr>
    </w:tbl>
    <w:p>
      <w:pPr>
        <w:spacing w:after="0" w:line="200" w:lineRule="exact"/>
        <w:rPr>
          <w:sz w:val="20"/>
          <w:szCs w:val="20"/>
          <w:color w:val="auto"/>
        </w:rPr>
      </w:pPr>
    </w:p>
    <w:p>
      <w:pPr>
        <w:spacing w:after="0" w:line="32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90" w:name="page91"/>
    <w:bookmarkEnd w:id="90"/>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his knowledge on the date hereof:</w:t>
      </w:r>
    </w:p>
    <w:p>
      <w:pPr>
        <w:spacing w:after="0" w:line="197" w:lineRule="exact"/>
        <w:rPr>
          <w:sz w:val="20"/>
          <w:szCs w:val="20"/>
          <w:color w:val="auto"/>
        </w:rPr>
      </w:pPr>
    </w:p>
    <w:p>
      <w:pPr>
        <w:ind w:left="660" w:right="80" w:hanging="652"/>
        <w:spacing w:after="0" w:line="342" w:lineRule="auto"/>
        <w:tabs>
          <w:tab w:leader="none" w:pos="39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2020,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720" w:hanging="652"/>
        <w:spacing w:after="0" w:line="277"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November 20, 2020</w:t>
            </w:r>
          </w:p>
        </w:tc>
        <w:tc>
          <w:tcPr>
            <w:tcW w:w="4300" w:type="dxa"/>
            <w:vAlign w:val="bottom"/>
            <w:gridSpan w:val="2"/>
          </w:tcPr>
          <w:p>
            <w:pPr>
              <w:ind w:left="920"/>
              <w:spacing w:after="0"/>
              <w:rPr>
                <w:sz w:val="20"/>
                <w:szCs w:val="20"/>
                <w:color w:val="auto"/>
              </w:rPr>
            </w:pPr>
            <w:r>
              <w:rPr>
                <w:rFonts w:ascii="Arial" w:cs="Arial" w:eastAsia="Arial" w:hAnsi="Arial"/>
                <w:sz w:val="18"/>
                <w:szCs w:val="18"/>
                <w:color w:val="auto"/>
              </w:rPr>
              <w:t>By:  /s/ Darcy H. Davenport</w:t>
            </w:r>
          </w:p>
        </w:tc>
      </w:tr>
      <w:tr>
        <w:trPr>
          <w:trHeight w:val="222"/>
        </w:trPr>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138" w:right="1119" w:bottom="1440" w:gutter="0" w:footer="0" w:header="0"/>
        </w:sectPr>
      </w:pPr>
    </w:p>
    <w:bookmarkStart w:id="91" w:name="page92"/>
    <w:bookmarkEnd w:id="91"/>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80" w:hanging="652"/>
        <w:spacing w:after="0" w:line="342" w:lineRule="auto"/>
        <w:tabs>
          <w:tab w:leader="none" w:pos="3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2020,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720" w:hanging="652"/>
        <w:spacing w:after="0" w:line="277" w:lineRule="auto"/>
        <w:tabs>
          <w:tab w:leader="none" w:pos="4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160"/>
              <w:spacing w:after="0"/>
              <w:rPr>
                <w:sz w:val="20"/>
                <w:szCs w:val="20"/>
                <w:color w:val="auto"/>
              </w:rPr>
            </w:pPr>
            <w:r>
              <w:rPr>
                <w:rFonts w:ascii="Arial" w:cs="Arial" w:eastAsia="Arial" w:hAnsi="Arial"/>
                <w:sz w:val="18"/>
                <w:szCs w:val="18"/>
                <w:color w:val="auto"/>
              </w:rPr>
              <w:t>November 20, 2020</w:t>
            </w:r>
          </w:p>
        </w:tc>
        <w:tc>
          <w:tcPr>
            <w:tcW w:w="4240" w:type="dxa"/>
            <w:vAlign w:val="bottom"/>
            <w:gridSpan w:val="2"/>
          </w:tcPr>
          <w:p>
            <w:pPr>
              <w:ind w:left="880"/>
              <w:spacing w:after="0"/>
              <w:rPr>
                <w:sz w:val="20"/>
                <w:szCs w:val="20"/>
                <w:color w:val="auto"/>
              </w:rPr>
            </w:pPr>
            <w:r>
              <w:rPr>
                <w:rFonts w:ascii="Arial" w:cs="Arial" w:eastAsia="Arial" w:hAnsi="Arial"/>
                <w:sz w:val="18"/>
                <w:szCs w:val="18"/>
                <w:color w:val="auto"/>
              </w:rPr>
              <w:t>By:  /s/ Paul A. Rode</w:t>
            </w:r>
          </w:p>
        </w:tc>
      </w:tr>
      <w:tr>
        <w:trPr>
          <w:trHeight w:val="222"/>
        </w:trPr>
        <w:tc>
          <w:tcPr>
            <w:tcW w:w="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895"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Roman"/>
      <w:start w:val="2"/>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2"/>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lowerRoman"/>
      <w:start w:val="1"/>
    </w:lvl>
  </w:abstractNum>
  <w:abstractNum w:abstractNumId="24">
    <w:nsid w:val="419AC241"/>
    <w:multiLevelType w:val="hybridMultilevel"/>
    <w:lvl w:ilvl="0">
      <w:lvlJc w:val="left"/>
      <w:lvlText w:val="(%1)"/>
      <w:numFmt w:val="lowerRoman"/>
      <w:start w:val="3"/>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decimal"/>
      <w:start w:val="842"/>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lvl w:ilvl="1">
      <w:lvlJc w:val="left"/>
      <w:lvlText w:val="•"/>
      <w:numFmt w:val="bullet"/>
      <w:start w:val="1"/>
    </w:lvl>
  </w:abstractNum>
  <w:abstractNum w:abstractNumId="35">
    <w:nsid w:val="2D517796"/>
    <w:multiLevelType w:val="hybridMultilevel"/>
    <w:lvl w:ilvl="0">
      <w:lvlJc w:val="left"/>
      <w:lvlText w:val="%1"/>
      <w:numFmt w:val="decimal"/>
      <w:start w:val="101"/>
    </w:lvl>
  </w:abstractNum>
  <w:abstractNum w:abstractNumId="36">
    <w:nsid w:val="580BD78F"/>
    <w:multiLevelType w:val="hybridMultilevel"/>
    <w:lvl w:ilvl="0">
      <w:lvlJc w:val="left"/>
      <w:lvlText w:val="†"/>
      <w:numFmt w:val="bullet"/>
      <w:start w:val="1"/>
    </w:lvl>
    <w:lvl w:ilvl="1">
      <w:lvlJc w:val="left"/>
      <w:lvlText w:val="%2"/>
      <w:numFmt w:val="decimal"/>
      <w:start w:val="104"/>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8" Type="http://schemas.openxmlformats.org/officeDocument/2006/relationships/image" Target="media/image97.png"/><Relationship Id="rId111" Type="http://schemas.openxmlformats.org/officeDocument/2006/relationships/image" Target="media/image98.png"/><Relationship Id="rId114" Type="http://schemas.openxmlformats.org/officeDocument/2006/relationships/image" Target="media/image99.png"/><Relationship Id="rId117" Type="http://schemas.openxmlformats.org/officeDocument/2006/relationships/image" Target="media/image100.png"/><Relationship Id="rId120" Type="http://schemas.openxmlformats.org/officeDocument/2006/relationships/image" Target="media/image101.png"/><Relationship Id="rId123" Type="http://schemas.openxmlformats.org/officeDocument/2006/relationships/image" Target="media/image102.png"/><Relationship Id="rId127"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3" Type="http://schemas.openxmlformats.org/officeDocument/2006/relationships/image" Target="media/image106.png"/><Relationship Id="rId136" Type="http://schemas.openxmlformats.org/officeDocument/2006/relationships/image" Target="media/image107.png"/><Relationship Id="rId139" Type="http://schemas.openxmlformats.org/officeDocument/2006/relationships/image" Target="media/image108.png"/><Relationship Id="rId142"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03" Type="http://schemas.openxmlformats.org/officeDocument/2006/relationships/hyperlink" Target="http://www.sec.gov/Archives/edgar/data/1772016/000119312519270862/d812149dex31.htm" TargetMode="External"/><Relationship Id="rId104" Type="http://schemas.openxmlformats.org/officeDocument/2006/relationships/hyperlink" Target="http://www.sec.gov/Archives/edgar/data/1772016/000119312519270862/d812149dex32.htm" TargetMode="External"/><Relationship Id="rId106" Type="http://schemas.openxmlformats.org/officeDocument/2006/relationships/hyperlink" Target="http://www.sec.gov/Archives/edgar/data/1772016/000119312519250692/d727525dex41.htm" TargetMode="External"/><Relationship Id="rId107" Type="http://schemas.openxmlformats.org/officeDocument/2006/relationships/hyperlink" Target="http://www.sec.gov/Archives/edgar/data/1772016/000177201619000038/brbr2019930ex42.htm" TargetMode="External"/><Relationship Id="rId109" Type="http://schemas.openxmlformats.org/officeDocument/2006/relationships/hyperlink" Target="http://www.sec.gov/Archives/edgar/data/1772016/000119312519266329/d727525dex101.htm" TargetMode="External"/><Relationship Id="rId110" Type="http://schemas.openxmlformats.org/officeDocument/2006/relationships/hyperlink" Target="http://www.sec.gov/Archives/edgar/data/1772016/000119312519270862/d812149dex102.htm" TargetMode="External"/><Relationship Id="rId112" Type="http://schemas.openxmlformats.org/officeDocument/2006/relationships/hyperlink" Target="http://www.sec.gov/Archives/edgar/data/1772016/000119312519270862/d812149dex103.htm" TargetMode="External"/><Relationship Id="rId113" Type="http://schemas.openxmlformats.org/officeDocument/2006/relationships/hyperlink" Target="http://www.sec.gov/Archives/edgar/data/1772016/000119312519270862/d812149dex101.htm" TargetMode="External"/><Relationship Id="rId115" Type="http://schemas.openxmlformats.org/officeDocument/2006/relationships/hyperlink" Target="http://www.sec.gov/Archives/edgar/data/1772016/000119312519270862/d812149dex104.htm" TargetMode="External"/><Relationship Id="rId116" Type="http://schemas.openxmlformats.org/officeDocument/2006/relationships/hyperlink" Target="http://www.sec.gov/Archives/edgar/data/1772016/000119312519270862/d812149dex105.htm" TargetMode="External"/><Relationship Id="rId118" Type="http://schemas.openxmlformats.org/officeDocument/2006/relationships/hyperlink" Target="http://www.sec.gov/Archives/edgar/data/1772016/000119312519270862/d812149dex106.htm" TargetMode="External"/><Relationship Id="rId119" Type="http://schemas.openxmlformats.org/officeDocument/2006/relationships/hyperlink" Target="http://www.sec.gov/Archives/edgar/data/1772016/000119312519270862/d812149dex107.htm" TargetMode="External"/><Relationship Id="rId121" Type="http://schemas.openxmlformats.org/officeDocument/2006/relationships/hyperlink" Target="http://www.sec.gov/Archives/edgar/data/1772016/000119312519263070/d727525dex109.htm" TargetMode="External"/><Relationship Id="rId122" Type="http://schemas.openxmlformats.org/officeDocument/2006/relationships/hyperlink" Target="http://www.sec.gov/Archives/edgar/data/1772016/000119312519270862/d812149dex109.htm" TargetMode="External"/><Relationship Id="rId124" Type="http://schemas.openxmlformats.org/officeDocument/2006/relationships/hyperlink" Target="http://www.sec.gov/Archives/edgar/data/1772016/000119312519266329/d727525dex1010.htm" TargetMode="External"/><Relationship Id="rId125" Type="http://schemas.openxmlformats.org/officeDocument/2006/relationships/hyperlink" Target="http://www.sec.gov/Archives/edgar/data/1772016/000119312519266329/d727525dex1011.htm" TargetMode="External"/><Relationship Id="rId126" Type="http://schemas.openxmlformats.org/officeDocument/2006/relationships/hyperlink" Target="http://www.sec.gov/Archives/edgar/data/1772016/000119312519270862/d812149dex108.htm" TargetMode="External"/><Relationship Id="rId128" Type="http://schemas.openxmlformats.org/officeDocument/2006/relationships/hyperlink" Target="http://www.sec.gov/Archives/edgar/data/1772016/000177201619000046/ex10-1brbrsrmgmtbonusprogr.htm" TargetMode="External"/><Relationship Id="rId131" Type="http://schemas.openxmlformats.org/officeDocument/2006/relationships/hyperlink" Target="http://www.sec.gov/Archives/edgar/data/1772016/000177201619000046/ex10-2formofrsuagmt.htm" TargetMode="External"/><Relationship Id="rId132" Type="http://schemas.openxmlformats.org/officeDocument/2006/relationships/hyperlink" Target="http://www.sec.gov/Archives/edgar/data/1772016/000177201619000046/ex10-3formofnqsoagmt.htm" TargetMode="External"/><Relationship Id="rId134" Type="http://schemas.openxmlformats.org/officeDocument/2006/relationships/hyperlink" Target="http://www.sec.gov/Archives/edgar/data/1772016/000177201619000046/ex10-4formofdirectorrsuagmt.htm" TargetMode="External"/><Relationship Id="rId135" Type="http://schemas.openxmlformats.org/officeDocument/2006/relationships/hyperlink" Target="http://www.sec.gov/Archives/edgar/data/1772016/000177201620000018/brbrq12020ex1018.htm" TargetMode="External"/><Relationship Id="rId137" Type="http://schemas.openxmlformats.org/officeDocument/2006/relationships/hyperlink" Target="http://www.sec.gov/Archives/edgar/data/1772016/000177201620000018/brbrq12020ex1019.htm" TargetMode="External"/><Relationship Id="rId138" Type="http://schemas.openxmlformats.org/officeDocument/2006/relationships/hyperlink" Target="http://www.sec.gov/Archives/edgar/data/1772016/000177201620000018/brbrq12020ex1020.htm" TargetMode="External"/><Relationship Id="rId140" Type="http://schemas.openxmlformats.org/officeDocument/2006/relationships/hyperlink" Target="http://www.sec.gov/Archives/edgar/data/1772016/000177201620000018/brbrq12020ex1021.htm" TargetMode="External"/><Relationship Id="rId141" Type="http://schemas.openxmlformats.org/officeDocument/2006/relationships/hyperlink" Target="http://www.sec.gov/Archives/edgar/data/1772016/000119312519250692/d727525dex1012.htm" TargetMode="External"/><Relationship Id="rId143" Type="http://schemas.openxmlformats.org/officeDocument/2006/relationships/hyperlink" Target="http://www.sec.gov/Archives/edgar/data/1772016/000177201620000035/brbrq22020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2020-11-20T12:49:46Z</dcterms:created>
  <dcterms:modified xsi:type="dcterms:W3CDTF">2020-11-20T12:49:46Z</dcterms:modified>
</cp:coreProperties>
</file>