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18" w:lineRule="auto"/>
        <w:rPr>
          <w:sz w:val="20"/>
          <w:szCs w:val="20"/>
          <w:color w:val="auto"/>
        </w:rPr>
      </w:pPr>
      <w:r>
        <w:rPr>
          <w:rFonts w:ascii="Arial" w:cs="Arial" w:eastAsia="Arial" w:hAnsi="Arial"/>
          <w:sz w:val="16"/>
          <w:szCs w:val="16"/>
          <w:b w:val="1"/>
          <w:bCs w:val="1"/>
          <w:color w:val="auto"/>
        </w:rPr>
        <w:t>WASHINGTON, D.C. 20549</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4060" w:right="1400" w:hanging="2656"/>
        <w:spacing w:after="0" w:line="284" w:lineRule="auto"/>
        <w:tabs>
          <w:tab w:leader="none" w:pos="16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400" w:hanging="2640"/>
        <w:spacing w:after="0" w:line="292" w:lineRule="auto"/>
        <w:tabs>
          <w:tab w:leader="none" w:pos="1599"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340" w:type="dxa"/>
            <w:vAlign w:val="bottom"/>
            <w:gridSpan w:val="2"/>
          </w:tcPr>
          <w:p>
            <w:pPr>
              <w:jc w:val="center"/>
              <w:ind w:left="215"/>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Arial" w:cs="Arial" w:eastAsia="Arial" w:hAnsi="Arial"/>
                <w:sz w:val="18"/>
                <w:szCs w:val="18"/>
                <w:b w:val="1"/>
                <w:bCs w:val="1"/>
                <w:color w:val="auto"/>
              </w:rPr>
              <w:t>83-4096323</w:t>
            </w:r>
          </w:p>
        </w:tc>
      </w:tr>
      <w:tr>
        <w:trPr>
          <w:trHeight w:val="210"/>
        </w:trPr>
        <w:tc>
          <w:tcPr>
            <w:tcW w:w="6900" w:type="dxa"/>
            <w:vAlign w:val="bottom"/>
            <w:gridSpan w:val="6"/>
          </w:tcPr>
          <w:p>
            <w:pPr>
              <w:jc w:val="center"/>
              <w:ind w:right="11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Arial" w:cs="Arial" w:eastAsia="Arial" w:hAnsi="Arial"/>
                <w:sz w:val="16"/>
                <w:szCs w:val="16"/>
                <w:color w:val="auto"/>
                <w:w w:val="95"/>
              </w:rPr>
              <w:t>(I.R.S. Employer Identification No.)</w:t>
            </w:r>
          </w:p>
        </w:tc>
      </w:tr>
      <w:tr>
        <w:trPr>
          <w:trHeight w:val="249"/>
        </w:trPr>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2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90"/>
              </w:rPr>
              <w:t>2503 S. Hanley Road</w:t>
            </w:r>
          </w:p>
        </w:tc>
        <w:tc>
          <w:tcPr>
            <w:tcW w:w="78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193"/>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20" w:type="dxa"/>
            <w:vAlign w:val="bottom"/>
            <w:gridSpan w:val="3"/>
          </w:tcPr>
          <w:p>
            <w:pPr>
              <w:jc w:val="center"/>
              <w:ind w:left="394"/>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gridSpan w:val="5"/>
          </w:tcPr>
          <w:p>
            <w:pPr>
              <w:jc w:val="center"/>
              <w:ind w:right="311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07"/>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gridSpan w:val="2"/>
          </w:tcPr>
          <w:p>
            <w:pPr>
              <w:jc w:val="center"/>
              <w:ind w:left="1054"/>
              <w:spacing w:after="0"/>
              <w:rPr>
                <w:sz w:val="20"/>
                <w:szCs w:val="20"/>
                <w:color w:val="auto"/>
              </w:rPr>
            </w:pPr>
            <w:r>
              <w:rPr>
                <w:rFonts w:ascii="Arial" w:cs="Arial" w:eastAsia="Arial" w:hAnsi="Arial"/>
                <w:sz w:val="18"/>
                <w:szCs w:val="18"/>
                <w:b w:val="1"/>
                <w:bCs w:val="1"/>
                <w:color w:val="auto"/>
                <w:w w:val="90"/>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gridSpan w:val="5"/>
          </w:tcPr>
          <w:p>
            <w:pPr>
              <w:jc w:val="center"/>
              <w:ind w:right="311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3880" w:type="dxa"/>
            <w:vAlign w:val="bottom"/>
            <w:gridSpan w:val="3"/>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6"/>
                <w:szCs w:val="16"/>
                <w:color w:val="auto"/>
                <w:w w:val="90"/>
              </w:rPr>
              <w:t>Title of each class</w:t>
            </w:r>
          </w:p>
        </w:tc>
        <w:tc>
          <w:tcPr>
            <w:tcW w:w="112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Arial" w:cs="Arial" w:eastAsia="Arial" w:hAnsi="Arial"/>
                <w:sz w:val="16"/>
                <w:szCs w:val="16"/>
                <w:color w:val="auto"/>
                <w:w w:val="93"/>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8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w w:val="91"/>
              </w:rPr>
              <w:t>Class A Common Stock, $0.01 par value per share</w:t>
            </w:r>
          </w:p>
        </w:tc>
        <w:tc>
          <w:tcPr>
            <w:tcW w:w="112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5"/>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9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28"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Arial" w:cs="Arial" w:eastAsia="Arial" w:hAnsi="Arial"/>
          <w:sz w:val="16"/>
          <w:szCs w:val="16"/>
          <w:color w:val="auto"/>
        </w:rPr>
        <w:t>Act.</w:t>
      </w:r>
    </w:p>
    <w:p>
      <w:pPr>
        <w:spacing w:after="0" w:line="5"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A Common Stock, $0.01 par value per share – 39,510,430 shares as of August 2,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B Common Stock, $0.01 par value per share - 1 share as of 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20"/>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9"/>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220" w:type="dxa"/>
            <w:vAlign w:val="bottom"/>
            <w:tcBorders>
              <w:top w:val="single" w:sz="8" w:color="CCEEFF"/>
            </w:tcBorders>
            <w:gridSpan w:val="17"/>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9220" w:type="dxa"/>
            <w:vAlign w:val="bottom"/>
            <w:gridSpan w:val="17"/>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2.</w:t>
            </w:r>
          </w:p>
        </w:tc>
        <w:tc>
          <w:tcPr>
            <w:tcW w:w="9220" w:type="dxa"/>
            <w:vAlign w:val="bottom"/>
            <w:gridSpan w:val="17"/>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3.</w:t>
            </w:r>
          </w:p>
        </w:tc>
        <w:tc>
          <w:tcPr>
            <w:tcW w:w="922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4.</w:t>
            </w:r>
          </w:p>
        </w:tc>
        <w:tc>
          <w:tcPr>
            <w:tcW w:w="9220" w:type="dxa"/>
            <w:vAlign w:val="bottom"/>
            <w:gridSpan w:val="17"/>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9220" w:type="dxa"/>
            <w:vAlign w:val="bottom"/>
            <w:gridSpan w:val="17"/>
          </w:tcPr>
          <w:p>
            <w:pPr>
              <w:spacing w:after="0" w:line="189" w:lineRule="exact"/>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OTHER INFORMATION.</w:t>
              </w:r>
            </w:hyperlink>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9220" w:type="dxa"/>
            <w:vAlign w:val="bottom"/>
            <w:gridSpan w:val="17"/>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1A.</w:t>
            </w:r>
          </w:p>
        </w:tc>
        <w:tc>
          <w:tcPr>
            <w:tcW w:w="9220" w:type="dxa"/>
            <w:vAlign w:val="bottom"/>
            <w:gridSpan w:val="17"/>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2.</w:t>
            </w:r>
          </w:p>
        </w:tc>
        <w:tc>
          <w:tcPr>
            <w:tcW w:w="9220" w:type="dxa"/>
            <w:vAlign w:val="bottom"/>
            <w:gridSpan w:val="17"/>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Unregistered Sales of Equity Securities and Use of Proceeds.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6.</w:t>
            </w:r>
          </w:p>
        </w:tc>
        <w:tc>
          <w:tcPr>
            <w:tcW w:w="9220" w:type="dxa"/>
            <w:vAlign w:val="bottom"/>
            <w:gridSpan w:val="17"/>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r>
              <w:rPr>
                <w:rFonts w:ascii="Arial" w:cs="Arial" w:eastAsia="Arial" w:hAnsi="Arial"/>
                <w:sz w:val="18"/>
                <w:szCs w:val="18"/>
                <w:color w:val="000000"/>
              </w:rPr>
              <w:t>.</w:t>
            </w:r>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Other operating income, net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of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0"/>
        </w:trPr>
        <w:tc>
          <w:tcPr>
            <w:tcW w:w="6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of Class A Common Stock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r>
    </w:tbl>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38.5</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on derivatives</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300" w:type="dxa"/>
            <w:vAlign w:val="bottom"/>
          </w:tcPr>
          <w:p>
            <w:pPr>
              <w:ind w:left="240"/>
              <w:spacing w:after="0"/>
              <w:rPr>
                <w:sz w:val="20"/>
                <w:szCs w:val="20"/>
                <w:color w:val="auto"/>
              </w:rPr>
            </w:pPr>
            <w:r>
              <w:rPr>
                <w:rFonts w:ascii="Arial" w:cs="Arial" w:eastAsia="Arial" w:hAnsi="Arial"/>
                <w:sz w:val="18"/>
                <w:szCs w:val="18"/>
                <w:color w:val="auto"/>
              </w:rPr>
              <w:t>Reclassifications to net earnings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Arial" w:cs="Arial" w:eastAsia="Arial" w:hAnsi="Arial"/>
                <w:sz w:val="18"/>
                <w:szCs w:val="18"/>
                <w:color w:val="auto"/>
              </w:rPr>
              <w:t>Unrealized foreign currency translation adjustments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 (expense) benefit on other comprehensive income (loss):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Arial" w:cs="Arial" w:eastAsia="Arial" w:hAnsi="Arial"/>
                <w:sz w:val="18"/>
                <w:szCs w:val="18"/>
                <w:color w:val="auto"/>
              </w:rPr>
              <w:t>Net loss on derivatives</w:t>
            </w:r>
          </w:p>
        </w:tc>
        <w:tc>
          <w:tcPr>
            <w:tcW w:w="7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 to net earnings</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6"/>
        </w:trPr>
        <w:tc>
          <w:tcPr>
            <w:tcW w:w="63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0"/>
              </w:rPr>
              <w:t>Total Other Comprehensive Income (Loss) Including Redeemable Noncontrolling</w:t>
            </w:r>
          </w:p>
        </w:tc>
        <w:tc>
          <w:tcPr>
            <w:tcW w:w="7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Less: Comprehensive income attributable to redeemable noncontrolling interest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29.6</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11.6</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w w:val="99"/>
              </w:rPr>
              <w:t>Total Comprehensive Income Available to Class A Common Stockholders</w:t>
            </w:r>
          </w:p>
        </w:tc>
        <w:tc>
          <w:tcPr>
            <w:tcW w:w="7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240" w:type="dxa"/>
            <w:vAlign w:val="bottom"/>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622.6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2,021.6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(2,179.0)</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Nine Months Ended</w:t>
      </w:r>
    </w:p>
    <w:p>
      <w:pPr>
        <w:jc w:val="center"/>
        <w:ind w:left="82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Adjustments to reconcile net earnings including redeemable noncontrolling interest to net cash provided by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interest rate swaps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Loss on refinancing of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receivables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Decrease (increase) in 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Decrease in other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Decrease in non-current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50"/>
        </w:trPr>
        <w:tc>
          <w:tcPr>
            <w:tcW w:w="8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to property</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(1,372.5)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Payment of debt refinancing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Post Holdings, Inc.,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3"/>
              </w:rPr>
              <w:t>As Of and For The</w:t>
            </w:r>
          </w:p>
        </w:tc>
        <w:tc>
          <w:tcPr>
            <w:tcW w:w="280" w:type="dxa"/>
            <w:vAlign w:val="bottom"/>
          </w:tcPr>
          <w:p>
            <w:pPr>
              <w:spacing w:after="0"/>
              <w:rPr>
                <w:sz w:val="16"/>
                <w:szCs w:val="16"/>
                <w:color w:val="auto"/>
              </w:rPr>
            </w:pPr>
          </w:p>
        </w:tc>
        <w:tc>
          <w:tcPr>
            <w:tcW w:w="2160" w:type="dxa"/>
            <w:vAlign w:val="bottom"/>
            <w:gridSpan w:val="4"/>
          </w:tcPr>
          <w:p>
            <w:pPr>
              <w:jc w:val="center"/>
              <w:ind w:right="170"/>
              <w:spacing w:after="0"/>
              <w:rPr>
                <w:sz w:val="20"/>
                <w:szCs w:val="20"/>
                <w:color w:val="auto"/>
              </w:rPr>
            </w:pPr>
            <w:r>
              <w:rPr>
                <w:rFonts w:ascii="Arial" w:cs="Arial" w:eastAsia="Arial" w:hAnsi="Arial"/>
                <w:sz w:val="16"/>
                <w:szCs w:val="16"/>
                <w:b w:val="1"/>
                <w:bCs w:val="1"/>
                <w:color w:val="auto"/>
                <w:w w:val="93"/>
              </w:rPr>
              <w:t>As Of and For The</w:t>
            </w:r>
          </w:p>
        </w:tc>
      </w:tr>
      <w:tr>
        <w:trPr>
          <w:trHeight w:val="16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center"/>
              <w:ind w:right="500"/>
              <w:spacing w:after="0" w:line="162" w:lineRule="exact"/>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4"/>
                <w:szCs w:val="14"/>
                <w:color w:val="auto"/>
              </w:rPr>
            </w:pPr>
          </w:p>
        </w:tc>
        <w:tc>
          <w:tcPr>
            <w:tcW w:w="2160" w:type="dxa"/>
            <w:vAlign w:val="bottom"/>
            <w:gridSpan w:val="4"/>
          </w:tcPr>
          <w:p>
            <w:pPr>
              <w:jc w:val="center"/>
              <w:ind w:right="170"/>
              <w:spacing w:after="0" w:line="162" w:lineRule="exact"/>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Borders>
              <w:bottom w:val="single" w:sz="8" w:color="auto"/>
            </w:tcBorders>
          </w:tcPr>
          <w:p>
            <w:pPr>
              <w:spacing w:after="0"/>
              <w:rPr>
                <w:sz w:val="18"/>
                <w:szCs w:val="18"/>
                <w:color w:val="auto"/>
              </w:rPr>
            </w:pPr>
          </w:p>
        </w:tc>
      </w:tr>
      <w:tr>
        <w:trPr>
          <w:trHeight w:val="209"/>
        </w:trPr>
        <w:tc>
          <w:tcPr>
            <w:tcW w:w="6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2020</w:t>
            </w: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Class A Common Stockholders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Distribution to Post Holdings, Inc.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Impact of initial public offering</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(2,112.4)</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Net earnings attributable to Post Holdings, Inc.</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(524.4)</w:t>
            </w: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hedges,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End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information and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 has a single operating and reportable segment, with its principal products being protein-based consumer goods.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subsidiary of BellRing Inc.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The members of BellRing LLC are Post and BellRing Inc.</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2021, Post held 97.5 million BellRing LLC units, equal to 71.2% of the economic interest in BellRing LLC, and one share of Class B common stock of BellRing Inc., $0.01 par value per share (the “Class B Common Stock”), which represented 67% of the combined voting power of the common stock of BellRing Inc. The Class B Common Stock has no dividend or other economic rights.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2021, the public stockholders of BellRing Inc. (i) owned 39.5 million shares of Class A Common Stock, which represented 33% of the combined voting power of BellRing Inc. common stock and 100% of the economic interest in BellRing Inc., and (ii) through BellRing Inc.’s ownership of BellRing LLC units, indirectly held 28.8% of the economic interest in BellRing LLC.</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BellRing Inc. and BellRing LLC will at all times maintain, subject to certain exceptions, a one-to-one ratio between the number of shares of Class A Common Stock issued by BellRing Inc. and the number of BellRing LLC units owned by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results of BellRing LLC and its subsidiaries are consolidated with BellRing Inc., and a portion of the consolidated net earnings of BellRing LLC are allocated to the redeemable noncontrolling interest (the “NCI”). The calculation of the NCI is based on Post’s ownership percentage of BellRing LLC units during each period, and reflects the entitlement of Post to a portion of the consolidated net earnings of BellRing LLC.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accounting principles generally accepted in the United States of America (“GAAP”), under the rules and regulations of the United States (“U.S.”) Securities and Exchange Commission (the “SEC”), and on a basis substantially consistent with the audited consolidated financial statements of the Company as of and for the year ended September 30, 2020. These unaudited condensed consolidated financial statements should be read in conjunction with such audited consolidated financial statements, which are included in the Company’s Annual Report on Form 10-K for the fiscal year ended September 30, 2020, filed with the SEC on November 20, 2020, as amended on March 9, 2021.</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financial position, cash flows and stockholders’ equity for the interim periods presented. Interim results are not necessarily indicative of the results for any other interim period or for the entire fiscal year.</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 prior to the IPO included in the nine months ended June 30, 2020, these unaudited condensed consolidated financial statements present the combined results of operations, comprehensive income, financial position, cash flows and stockholders’ equity of the active nutrition business of Post, including allocations of certain Post corporate expenses related to various services that were provided to the Company by Post. All intercompany balances and transactions have been eliminated. Transactions between the Company and Post are included in these financial statements. See Note 5 for further information on transactions with Post.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Financial Accounting Standards Board (the “FASB”) issued Accounting Standards Update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provides guidance on the measurement of credit losses for most financial assets and certain other instruments. This ASU replaced the prior incurred loss impairment approach with a methodology to reflect expected credit losses and requires consideration of a broader range of reasonable and supportable information to explain credit loss estimates. The Company adopted this ASU on October 1, 2020. In conjunction with the adoption of this ASU, the Company updated its methodology for calculating its allowance for doubtful accounts. The adoption of this ASU did not have a material impact on the Company’s consolidated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RESTRUCTURING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October 2020, the Company announced its plan to strategically realign its business, resulting in the closing of its Dallas, Texas office and the downsizing of its Munich, Germany location. These actions were substantially completed as of June 30,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9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938"/>
        </w:trPr>
        <w:tc>
          <w:tcPr>
            <w:tcW w:w="9740" w:type="dxa"/>
            <w:vAlign w:val="bottom"/>
            <w:gridSpan w:val="2"/>
          </w:tcPr>
          <w:p>
            <w:pPr>
              <w:ind w:left="340"/>
              <w:spacing w:after="0"/>
              <w:rPr>
                <w:sz w:val="20"/>
                <w:szCs w:val="20"/>
                <w:color w:val="auto"/>
              </w:rPr>
            </w:pPr>
            <w:r>
              <w:rPr>
                <w:rFonts w:ascii="Arial" w:cs="Arial" w:eastAsia="Arial" w:hAnsi="Arial"/>
                <w:sz w:val="18"/>
                <w:szCs w:val="18"/>
                <w:color w:val="auto"/>
              </w:rPr>
              <w:t>Restructuring charges and the associated liabilities for employee-related costs are shown in the following table.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97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3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40" w:type="dxa"/>
            <w:vAlign w:val="bottom"/>
            <w:gridSpan w:val="2"/>
          </w:tcPr>
          <w:p>
            <w:pPr>
              <w:ind w:left="140"/>
              <w:spacing w:after="0"/>
              <w:rPr>
                <w:sz w:val="20"/>
                <w:szCs w:val="20"/>
                <w:color w:val="auto"/>
              </w:rPr>
            </w:pPr>
            <w:r>
              <w:rPr>
                <w:rFonts w:ascii="Arial" w:cs="Arial" w:eastAsia="Arial" w:hAnsi="Arial"/>
                <w:sz w:val="18"/>
                <w:szCs w:val="18"/>
                <w:color w:val="auto"/>
              </w:rPr>
              <w:t>Charge to expense</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9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Non-cash charges</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97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expected restructuring charges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Cumulative restructuring charges incurred to date</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expected restructuring charges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and nine months ended June 30, 2021, the Company incurred total restructuring charges of $(0.1) and $4.7, respectively. Restructuring charges were included in “Selling, general and administrative expenses” in the Condensed Consolidated Statements of Operations. No restructuring charges were incurred during the three or nine months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uses certain functions and services performed by Post. These functions and services include legal, finance, internal audit, treasury, information technology support, insurance and tax matters, the use of office and/or data center space, payroll processing services and tax compliance services. These functions and services are provided by Post under a master services agreement (the “MSA”). In addition to charges for these services, the Company also incurs certain pass-through charges from Post, primarily relating to stock-based compensation for employees participating in Post’s stock-based compensation plans. For the three and nine months ended June 30, 2021, MSA fees were $0.6 and $1.7, respectively, and stock-based compensation expense related to Post’s stock-based compensation plans was $0.6 and $2.0, respectively. For the three and nine months ended June 30, 2020, MSA fees were $0.6 and $1.6, respectively, and stock-based compensation expense related to Post’s stock-based compensation plans was $1.0 and $2.9, respectively. MSA fees and stock-based compensation expense were reported in “Selling, general and administrative expenses” in the Condensed Consolidated Statements of Operations.</w:t>
      </w:r>
    </w:p>
    <w:p>
      <w:pPr>
        <w:spacing w:after="0" w:line="7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sells certain products to and licenses certain intellectual property to and from Post and its subsidiaries based upon pricing governed by agreements between the Company and Post and its subsidiaries, consistent with pricing of similar arm's-length transactions. During each of the three and nine months ended June 30, 2021 and 2020, net sales to, purchases from and royalties paid to and received from Post and its subsidiaries were immaterial.</w:t>
      </w:r>
    </w:p>
    <w:p>
      <w:pPr>
        <w:spacing w:after="0" w:line="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 series of agreements with Post which govern the ongoing relationship between the Company and Post. These agreements include the amended and restated limited liability company agreement of BellRing LLC (the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with Post at both June 30, 2021 and September 30, 2020 related to sales with Post and its subsidiaries. The Company had $1.4 and $1.3 of payables with Post at June 30, 2021 and September 30, 2020, respectively, related to MSA fees and pass-through charges owed by the Company to Post, as well as related party purchases. The receivables and payables were included in “Receivables, net” and “Accounts payable,” respectively, on the Condensed Consolidated Balance Sheets. During the nine months ended June 30, 2021, BellRing LLC paid $15.7 to Post related to quarterly tax distributions from BellRing LLC to Post made pursuant to the terms of the LLC Agreement and $1.8 for state corporate tax withholdings on behalf of Post. During the nine months ended June 30, 2020, BellRing LLC paid $17.3 to Post related to quarterly tax distributions from BellRing LLC to Post made pursuant to the terms of the LLC Agreement and $2.0 for state corporate tax withholdings on behalf of Post.</w:t>
      </w:r>
    </w:p>
    <w:p>
      <w:pPr>
        <w:spacing w:after="0" w:line="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on the provisions of the tax receivable agreement, BellRing Inc. must pay to Post (or certain of its transferees or other assignees) 85% of the amount of cash savings, if any, in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payable to Post related to the tax receivable agreement were $10.5 and $10.9 at June 30, 2021 and September 30, 2020, respectively, and were recorded in “Other liabilities” on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both June 30, 2021 and September 30, 2020, Post held 97.5 million BellRing LLC units, equal to 71.2% of the economic interest in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Post’s ownership of BellRing LLC units represents a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or loss (“OCI”) and distributions or dividends or (ii) the redemption value. As of June 30, 2021 and September 30, 2020, the carrying amount of the NCI was recorded at its redemption value of $3,054.9 and $2,021.6, respectively. Changes in the redemption value of the NCI are recorded to additional paid-in capital, to the extent available, and “Accumulated deficit” on the Condensed Consolidated Balance Sheets.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both June 30, 2021 and September 30, 2020, BellRing Inc. owned 28.8% of the outstanding BellRing LLC units. For the three and nine months ended June 30, 2021 and 2020, the financial results of BellRing LLC and its subsidiaries were consolidated with BellRing Inc., and the portion of the consolidated net earnings of BellRing LLC to which Post was entitled was allocated to the NCI during each period.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as of and for the nine months ended June 30, 2020 represents the period beginning October 21, 2019, the effective date of the IPO, and ending June 30, 2020 (see Note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3"/>
              </w:rPr>
              <w:t>As Of and For The</w:t>
            </w:r>
          </w:p>
        </w:tc>
        <w:tc>
          <w:tcPr>
            <w:tcW w:w="240" w:type="dxa"/>
            <w:vAlign w:val="bottom"/>
          </w:tcPr>
          <w:p>
            <w:pPr>
              <w:spacing w:after="0"/>
              <w:rPr>
                <w:sz w:val="16"/>
                <w:szCs w:val="16"/>
                <w:color w:val="auto"/>
              </w:rPr>
            </w:pPr>
          </w:p>
        </w:tc>
        <w:tc>
          <w:tcPr>
            <w:tcW w:w="210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3"/>
              </w:rPr>
              <w:t>As Of and For The</w:t>
            </w:r>
          </w:p>
        </w:tc>
      </w:tr>
      <w:tr>
        <w:trPr>
          <w:trHeight w:val="162"/>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480"/>
              <w:spacing w:after="0" w:line="162" w:lineRule="exact"/>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4"/>
                <w:szCs w:val="14"/>
                <w:color w:val="auto"/>
              </w:rPr>
            </w:pPr>
          </w:p>
        </w:tc>
        <w:tc>
          <w:tcPr>
            <w:tcW w:w="2100" w:type="dxa"/>
            <w:vAlign w:val="bottom"/>
            <w:gridSpan w:val="4"/>
          </w:tcPr>
          <w:p>
            <w:pPr>
              <w:jc w:val="center"/>
              <w:ind w:right="151"/>
              <w:spacing w:after="0" w:line="162" w:lineRule="exact"/>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Net earnings attributable to NCI after IPO</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IPO</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effects of changes in ownership in BellRing LLC on BellRing Inc.’s equity. The period for the nine months ended June 30, 2020 represents the period beginning October 21, 2019, the effective date of the IPO, and ending June 30, 2020 (see Note 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IPO</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w w:val="92"/>
              </w:rPr>
              <w:t>Changes from net earnings available to Class A Common Stockholders and transfers</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2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1,918.5</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to NCI</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both June 30, 2021 and 2020, BellRing Inc. held 28.8% of the economic interest in BellRing LLC (see Note 1), which, as a result of the IPO and formation transactions, is treated as a partnership for U.S. federal income tax purposes. As a partnership, BellRing LLC itself is generally not subject to U.S. federal income tax under current U.S. tax laws.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effective income tax rate was 8.1% and 7.3% for the three and nine months ended June 30, 2021, respectively, and 7.2% and 12.5% for the three and nine months ended June 30, 2020, respectively. The decrease in the effective income tax rate for the nine months ended June 30, 2021 compared to the prior year period was primarily due to the Company taking into account for U.S. federal, state and local income tax purposes its 28.8% distributive share of the items of income, gain, loss and deduction of BellRing LLC in the period subsequent to the IPO. Prior to the IPO and formation transactions, the Company reported 100% of the income, gain, loss and deduction of BellRing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each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The period for the nine months ended June 30, 2020 represents the period beginning October 21, 2019, the effective date of the IPO, and ending June 30, 2020 (see Note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earnings available to Class A Common Stockholders for basic earnings per share</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3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Net earnings available to Class A Common Stockholders for diluted earnings per</w:t>
            </w:r>
          </w:p>
        </w:tc>
        <w:tc>
          <w:tcPr>
            <w:tcW w:w="720" w:type="dxa"/>
            <w:vAlign w:val="bottom"/>
            <w:tcBorders>
              <w:top w:val="single" w:sz="8" w:color="auto"/>
            </w:tcBorders>
            <w:vMerge w:val="restart"/>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for basic earnings per share (in millions)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39.5</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dilutive restricted stock units (in millions)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for diluted earnings per share (in millions)</w:t>
            </w: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39.7</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39.5</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0.24</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0.08</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Class A Common Stock</w:t>
            </w:r>
          </w:p>
        </w:tc>
        <w:tc>
          <w:tcPr>
            <w:tcW w:w="720" w:type="dxa"/>
            <w:vAlign w:val="bottom"/>
            <w:tcBorders>
              <w:bottom w:val="single" w:sz="8" w:color="auto"/>
            </w:tcBorders>
          </w:tcPr>
          <w:p>
            <w:pPr>
              <w:jc w:val="right"/>
              <w:ind w:right="533"/>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0.24</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ind w:right="532"/>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0.08</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Weighted average shares for diluted earnings per share excluded equity awards of zero and 0.2 million for the three and nine months ended June 30, 2021, respectively, and 0.1 million for each of the three and nine months ended June 30, 2020, as they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INVENTORIES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3"/>
        </w:trPr>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85"/>
              </w:rPr>
              <w:t>22.6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color w:val="auto"/>
                <w:w w:val="93"/>
              </w:rPr>
              <w:t>(12.4)</w:t>
            </w: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85"/>
              </w:rPr>
              <w:t>10.2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June 30, 2021 and September 30, 2020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12 — INTANGIBLE ASSETS, NET</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Arial" w:cs="Arial" w:eastAsia="Arial" w:hAnsi="Arial"/>
                <w:sz w:val="18"/>
                <w:szCs w:val="18"/>
                <w:color w:val="auto"/>
              </w:rPr>
              <w:t>Total intangible assets are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December 2020, the Company finalized its plan to discontinue the </w:t>
      </w:r>
      <w:r>
        <w:rPr>
          <w:rFonts w:ascii="Arial" w:cs="Arial" w:eastAsia="Arial" w:hAnsi="Arial"/>
          <w:sz w:val="16"/>
          <w:szCs w:val="16"/>
          <w:i w:val="1"/>
          <w:iCs w:val="1"/>
          <w:color w:val="auto"/>
        </w:rPr>
        <w:t>Supreme Protein</w:t>
      </w:r>
      <w:r>
        <w:rPr>
          <w:rFonts w:ascii="Arial" w:cs="Arial" w:eastAsia="Arial" w:hAnsi="Arial"/>
          <w:sz w:val="16"/>
          <w:szCs w:val="16"/>
          <w:color w:val="auto"/>
        </w:rPr>
        <w:t xml:space="preserve"> brand and related sales of </w:t>
      </w:r>
      <w:r>
        <w:rPr>
          <w:rFonts w:ascii="Arial" w:cs="Arial" w:eastAsia="Arial" w:hAnsi="Arial"/>
          <w:sz w:val="16"/>
          <w:szCs w:val="16"/>
          <w:i w:val="1"/>
          <w:iCs w:val="1"/>
          <w:color w:val="auto"/>
        </w:rPr>
        <w:t>Supreme Protein</w:t>
      </w:r>
      <w:r>
        <w:rPr>
          <w:rFonts w:ascii="Arial" w:cs="Arial" w:eastAsia="Arial" w:hAnsi="Arial"/>
          <w:sz w:val="16"/>
          <w:szCs w:val="16"/>
          <w:color w:val="auto"/>
        </w:rPr>
        <w:t xml:space="preserve"> products. In connection with the discontinuance, the Company updated the useful lives of the customer relationships and trademarks associated with the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brand to reflect the remaining period in which the Company continued to sell existing</w:t>
      </w:r>
      <w:r>
        <w:rPr>
          <w:rFonts w:ascii="Arial" w:cs="Arial" w:eastAsia="Arial" w:hAnsi="Arial"/>
          <w:sz w:val="16"/>
          <w:szCs w:val="16"/>
          <w:i w:val="1"/>
          <w:iCs w:val="1"/>
          <w:color w:val="auto"/>
        </w:rPr>
        <w:t xml:space="preserve"> Supreme Protein </w:t>
      </w:r>
      <w:r>
        <w:rPr>
          <w:rFonts w:ascii="Arial" w:cs="Arial" w:eastAsia="Arial" w:hAnsi="Arial"/>
          <w:sz w:val="16"/>
          <w:szCs w:val="16"/>
          <w:color w:val="auto"/>
        </w:rPr>
        <w:t>product inventory. Accelerated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$11.8 and $29.9 was recorded during the three and nine months ended June 30, 2021, respectively, resulting from the updated useful lives of the customer relationships and trademarks associated with the </w:t>
      </w:r>
      <w:r>
        <w:rPr>
          <w:rFonts w:ascii="Arial" w:cs="Arial" w:eastAsia="Arial" w:hAnsi="Arial"/>
          <w:sz w:val="16"/>
          <w:szCs w:val="16"/>
          <w:i w:val="1"/>
          <w:iCs w:val="1"/>
          <w:color w:val="auto"/>
        </w:rPr>
        <w:t>Supreme Protein</w:t>
      </w:r>
      <w:r>
        <w:rPr>
          <w:rFonts w:ascii="Arial" w:cs="Arial" w:eastAsia="Arial" w:hAnsi="Arial"/>
          <w:sz w:val="16"/>
          <w:szCs w:val="16"/>
          <w:color w:val="auto"/>
        </w:rPr>
        <w:t xml:space="preserve"> brand, which were fully amortized and written off as of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6 years and most leases provide the Company with the option to exercise one or more renewal terms.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lease expense is recognized on a straight-line basis over the lease term and is included in “Selling, general and administrative expenses” in the Condensed Consolidated Statements of Operations. Costs associated with finance leases and lease income do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following table presents maturities of the Company’s operating lease 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2021</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Implied interest</w:t>
            </w:r>
          </w:p>
        </w:tc>
        <w:tc>
          <w:tcPr>
            <w:tcW w:w="10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supplemental operations statement information related to the Company’s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000" w:type="dxa"/>
            <w:vAlign w:val="bottom"/>
            <w:gridSpan w:val="4"/>
          </w:tcPr>
          <w:p>
            <w:pPr>
              <w:jc w:val="center"/>
              <w:ind w:left="276"/>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3"/>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335"/>
              <w:spacing w:after="0"/>
              <w:rPr>
                <w:sz w:val="20"/>
                <w:szCs w:val="20"/>
                <w:color w:val="auto"/>
              </w:rPr>
            </w:pPr>
            <w:r>
              <w:rPr>
                <w:rFonts w:ascii="Arial" w:cs="Arial" w:eastAsia="Arial" w:hAnsi="Arial"/>
                <w:sz w:val="16"/>
                <w:szCs w:val="16"/>
                <w:b w:val="1"/>
                <w:bCs w:val="1"/>
                <w:color w:val="auto"/>
                <w:w w:val="90"/>
              </w:rPr>
              <w:t>June 30,</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w w:val="87"/>
              </w:rPr>
              <w:t>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Short-term lease expense during each of the three and nine months ended June 30, 2021 and 2020 was immaterial. Operating cash flows for amounts included in the measurement of the Company’s operating lease liabilities were $2.3 and $2.7 for the nine months ended June 30, 2021 and 2020, respectively. Right-of-use assets obtained in exchange for operating lease liabilities during the nine months ended June 30, 2021 and 2020 were immaterial.</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 average remaining lease term of the Company’s operating leases was approximately 5 years and 6 years as of June 30, 2021 and September 30, 2020, respectively. The weighted average incremental borrowing rate was 4.3% and 4.2% as of June 30, 2021 and September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both June 30, 2021 and September 30, 2020, the Company had pay-fixed, receive-variable interest rate swaps with a notional amount of $350.0. The interest rate swaps mature in December 2022 and require monthly settlements, which began on January 31, 2020, and are used to hedge forecasted interest payments on the Company’s variable rate debt (see Note 16).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 over the term of the related debt.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June 30, 2021, accumulated OCI, including amounts reported as NCI, included a $7.7 net hedging loss before taxes ($7.2 after taxes). At September 30, 2020, accumulated OCI, including amounts reported as NCI, included a $9.4 net hedging loss before taxes ($8.8 after taxes). Approximately $2.3 of the net hedging loss reported in accumulated OCI at June 30, 2021 is expected to be reclassified into earnings within the next 12 months.</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Condensed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the Company’s net hedging losses on interest rate swaps which were included in “Interest expense, net” in the Condensed Consolidated Statements of Operations and the net cash settlements paid on interest rate swaps.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1.3</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0.6</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7"/>
              </w:rPr>
              <w:t>0.6</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hedging losses</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87"/>
              </w:rPr>
              <w:t>1.9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settlements paid</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7"/>
              </w:rPr>
              <w:t>(0.7)</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following table represents the Company’s liabilities and NCI measured at fair value on a recurring basis and the basis for that measurement according to the levels in the fair value hierarchy in Accounting Standards Codification (“ASC”) Topic 820, “Fair Value Measurement.”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2021</w:t>
            </w: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6"/>
                <w:szCs w:val="16"/>
                <w:b w:val="1"/>
                <w:bCs w:val="1"/>
                <w:color w:val="auto"/>
              </w:rPr>
              <w:t>Level 2</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3,054.9</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 fair value of the NCI is calculated as its redemption value based on the Class A Common Stock price and number of BellRing LLC units owned by Post as of the end of each period (see Note 6).</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The fair value of any outstanding borrowings under the Revolving Credit Facility (as defined in Note 16) as of June 30, 2021 and September 30, 2020 approximated their carrying values. Based on current market rates, the fair value (Level 2) of the Term B Facility (as defined in Note 16) was $622.6 and $674.0 as of June 30, 2021 and September 30, 2020, respectively.</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“Long-term debt” on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principal amount of debt</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issuance costs,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Unamortized discount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(as amended,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Any outstanding amounts under the Revolving Credit Facility and Term B Facility must be repaid on or before October 21, 2024.</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26, 2021, BellRing LLC entered into a second amendment to its Credit Agreement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LIBOR as a reference interest rate and (iv) provided that if on or before August 26, 2021 BellRing LLC repays the Term B Facility in whole or in part with the proceeds of new or replacement debt at a lower effective interest rate, or further amends the Credit Agreement to reduce the effective interest rate applicable to the Term B Facility, BellRing LLC must pay a 1.00% premium on the amount repaid or subject to the interest rate reduction. In connection with the Amendment, BellRing LLC paid debt refinancing fees of $0.1 and $1.6 in the three and nine months ended June 30, 2021, respectively, which were included in “Loss on refinancing of debt” in the Condensed Consolidated Statements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Subsequent to the Amendment, borrowings under the Term B Facility bear interest, at the option of BellRing LLC, at an annual rate equal to either</w:t>
      </w:r>
    </w:p>
    <w:p>
      <w:pPr>
        <w:spacing w:after="0" w:line="46" w:lineRule="exact"/>
        <w:rPr>
          <w:sz w:val="20"/>
          <w:szCs w:val="20"/>
          <w:color w:val="auto"/>
        </w:rPr>
      </w:pPr>
    </w:p>
    <w:p>
      <w:pPr>
        <w:jc w:val="both"/>
        <w:ind w:firstLine="8"/>
        <w:spacing w:after="0" w:line="255" w:lineRule="auto"/>
        <w:tabs>
          <w:tab w:leader="none" w:pos="25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Eurodollar rate or (b) the base rate determined by reference to the greatest of (i) the prime rate, (ii) the federal funds effective rate plus 0.50% per annum and (iii) the one-month Eurodollar rate plus 1.00% per annum, in each case plus an applicable margin of 4.00% for Eurodollar rate-based loans and 3.00% for base rate-based loans.</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Term B Facility requires quarterly scheduled amortization payments of $8.75 which began on March 31, 2020, with the balance to be paid at maturity on October 21, 2024. Interest was paid on each Interest Payment Date (as defined in the Credit Agreement) during each of the nine months ended June 30, 2021 and 2020. The Term B Facility contains customary mandatory prepayment provisions, including provisions for mandatory prepayment</w:t>
      </w:r>
    </w:p>
    <w:p>
      <w:pPr>
        <w:spacing w:after="0" w:line="2" w:lineRule="exact"/>
        <w:rPr>
          <w:sz w:val="20"/>
          <w:szCs w:val="20"/>
          <w:color w:val="auto"/>
        </w:rPr>
      </w:pPr>
    </w:p>
    <w:p>
      <w:pPr>
        <w:jc w:val="both"/>
        <w:ind w:firstLine="8"/>
        <w:spacing w:after="0" w:line="269"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the net cash proceeds of certain asset sales and (b) of 75% of consolidated excess cash flow (as defined in the Credit Agreement) (which percentage will be reduced to 50% if the secured net leverage ratio (as defined in the Credit Agreement) is less than or equal to 3.35:1.00 as of a fiscal year end). During the nine months ended June 30, 2021, the Company repaid $28.8 on its Term B Facility as a mandatory prepayment from fiscal 2020 excess cash flow, which was in addition to the scheduled amortization payments. The Company classified $79.5 related to the estimated mandatory prepayment of fiscal 2021 excess cash flow in “Current portion of long-term debt” on the Condensed Consolidated Balance Sheet at June 30, 2021. The Company may prepay the Term B Facility at its option without penalty or premium, except as restricted by the Amendment. The interest rate on the Term B Facility was 4.75% and 6.00% as of June 30, 2021 and September 30, 2020, respectively.</w:t>
      </w:r>
    </w:p>
    <w:p>
      <w:pPr>
        <w:spacing w:after="0" w:line="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Borrowings under the Revolving Credit Facility bear interest, at the option of BellRing LLC, at an annual rate equal to either the Eurodollar rate or the base rate (determined as described above) plus a margin, which initially was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were initially accrued at the rate of 0.50% per annum and thereafter, depending on BellRing LLC’s secured net leverage ratio, will accrue at rates ranging from 0.25% to 0.50% per annum. There were no amounts drawn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Revolving Credit Facility as of June 30, 2021. The interest rate on the drawn portion of the Revolving Credit Facility was 5.25% as of September 30, 2020.</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 months ended June 30, 2021 and 2020, BellRing LLC borrowed $20.0 and $185.0 under the Revolving Credit Facility, respectively, and repaid $50.0 and $130.0 on the Revolving Credit Facility, respectively. The available borrowing capacity under the Revolving Credit Facility was $200.0 and $170.0 as of June 30, 2021 and September 30, 2020, respectively. There were no outstanding letters of credit as of June 30, 2021 or September 30, 2020.</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not to exceed 6.00 to 1.00, measured as of the last day of each fiscal quarter. The total net leverage ratio of BellRing LLC did not exceed this threshold as of June 30, 2021.</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New Jersey case was voluntarily dismissed.</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or nine months ended June 30, 2021 or 2020. At both June 30, 2021 and September 30, 2020, the Company had accrued $8.5 related to this matter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financial statements and notes thereto in our Annual Report on Form 10-K for the fiscal year ended September 30, 2020, as amended, and the “Cautionary Statement on Forward-Looking Statements” section included below. The terms “our,” “we,” “us,” “Company” and “BellRing” as used herein refer to BellRing Brands, Inc. and its consolidated subsidiaries.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are a consumer products holding company operating in the global convenient nutrition category and a provider of ready-to-drink (“RTD”) protein shakes, other RTD beverages, powders, nutrition bars and nutritional supplements. We have a single operating and reportable segment, with our principal products being protein-based consumer goods. Our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BellRing Inc.’s subsidiary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continue to closely monitor the impact of the COVID-19 pandemic on our business and remain focused on ensuring the health and safety of our employees, and serving customers and consumers. Our primary categories returned to growth rates in line with their pre-pandemic levels during the fourth quarter of fiscal 2020 and have remained strong in subsequent periods. For additional discussion, refer to “Liquidity and Capital Resources” and “Cautionary Statement on Forward-Looking Statements” within this section, as well as “Risk Factors” in Item 1A of Part II of this report.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2020, we announced our plan to strategically realign our business, resulting in the closing of our Dallas, Texas office and the downsizing of our Munich, Germany location. These actions were substantially completed as of June 30, 2021. For additional information on restructuring costs, refer to Note 4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5"/>
              </w:rPr>
              <w:t>Three Months Ended June 30,</w:t>
            </w: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2"/>
              </w:rPr>
              <w:t>Nine Months Ended June 30,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13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Loss on refinancing of debt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earnings</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attributable to NCI</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Earnings Available to</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Class A Common</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188 %</w:t>
            </w:r>
          </w:p>
        </w:tc>
        <w:tc>
          <w:tcPr>
            <w:tcW w:w="2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8"/>
        </w:trPr>
        <w:tc>
          <w:tcPr>
            <w:tcW w:w="2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Stockholders</w:t>
            </w: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Net sales increased $138.4 million, or 68%, during the three months ended June 30, 2021 compared to the corresponding prior year period, driven by increased volume and the lapping of prior year negative impacts of the COVID-19 pandemic.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$111.8 million, or 65%, with volume up 60%. Volume increases were driven by higher RTD protein shake product volumes in the club, food, drug and mass (“FDM”) and eCommerce channels. Average net selling prices increased in the three months ended June 30, 2021 due to targeted price increases, partially offset by increased promotional spending.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$21.6 million, or 99%, with volume up 77%. Average net selling prices increased in the three months ended June 30, 2021 due to favorable product mix and decreased promotional spending. Sales of all other products were up $5.0 million.</w:t>
      </w:r>
    </w:p>
    <w:p>
      <w:pPr>
        <w:spacing w:after="0" w:line="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Net sales increased $201.4 million, or 29%, during the nine months ended June 30, 2021, compared to the corresponding prior year period.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$164.9 million, or 28%, with volume up 28%. Volume increases were driven by higher RTD protein shake product volumes in the FDM, club and eCommerce channels.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$34.0 million, or 44%, with volume up 25%. Average net selling prices increased in the nine months ended June 30, 2021 due to favorable product mix. Sales of all other products were up $2.5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Operating profit increased $20.9 million, or 68%, during the three months ended June 30, 2021, when compared to the prior year period. This increase was primarily driven by higher net sales, as previously discussed, partially offset by accelerated amortization expense of $11.8 million related to the discontinuance of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higher net product costs of $10.5 million due to unfavorable freight, manufacturing and raw material costs, increased advertising and promotional spending of $3.4 million and higher employee-related costs.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Operating profit decreased $0.1 million, or less than 1%, during the nine months ended June 30, 2021, when compared to the prior year period</w:t>
      </w:r>
      <w:r>
        <w:rPr>
          <w:rFonts w:ascii="Arial" w:cs="Arial" w:eastAsia="Arial" w:hAnsi="Arial"/>
          <w:sz w:val="16"/>
          <w:szCs w:val="16"/>
          <w:color w:val="EE2724"/>
        </w:rPr>
        <w:t>.</w:t>
      </w:r>
      <w:r>
        <w:rPr>
          <w:rFonts w:ascii="Arial" w:cs="Arial" w:eastAsia="Arial" w:hAnsi="Arial"/>
          <w:sz w:val="16"/>
          <w:szCs w:val="16"/>
          <w:color w:val="auto"/>
        </w:rPr>
        <w:t xml:space="preserve"> This decrease was primarily driven by accelerated amortization expense of $29.9 million related to the discontinuance of the </w:t>
      </w:r>
      <w:r>
        <w:rPr>
          <w:rFonts w:ascii="Arial" w:cs="Arial" w:eastAsia="Arial" w:hAnsi="Arial"/>
          <w:sz w:val="16"/>
          <w:szCs w:val="16"/>
          <w:i w:val="1"/>
          <w:iCs w:val="1"/>
          <w:color w:val="auto"/>
        </w:rPr>
        <w:t>Supreme Protein</w:t>
      </w:r>
      <w:r>
        <w:rPr>
          <w:rFonts w:ascii="Arial" w:cs="Arial" w:eastAsia="Arial" w:hAnsi="Arial"/>
          <w:sz w:val="16"/>
          <w:szCs w:val="16"/>
          <w:color w:val="auto"/>
        </w:rPr>
        <w:t xml:space="preserve"> brand, higher net product costs of $20.7 million due to unfavorable freight and raw material costs, restructuring and facility closure costs, including accelerated depreciation, of $5.6 million, increased advertising and promotional spending of $5.9 million and higher employee-related costs. These negative impacts were substantially offset by higher net sales, as previously discussed, and lower costs related to the separation from Post of $1.9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expense, net decreased $5.8 million during the three months ended June 30, 2021 compared to the prior year period. This decrease was primarily due to lower aggregate principal amounts outstanding under BellRing LLC’s term B loan facility (the “Term B Facility”) and under BellRing LLC’s revolving credit facility (the “Revolving Credit Facility”) and lower net hedging losses recognized on interest rate swaps of $1.4 million during the three months ended June 30, 2021 compared to the prior year period. In addition, the weighted-average interest rate on the aggregate principal amounts outstanding on the Term B Facility and under the Revolving Credit Facility decreased to 4.8% for the three months ended June 30, 2021 from 5.9% for the three months ended June 30, 2020, driven by lower variable interest rates and the refinancing of the Term B Facility during the second quarter of fiscal 2021.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expense, net decreased $7.6 million during the nine months ended June 30, 2021 compared to the prior year period. This decrease was primarily due to lower aggregate principal amounts outstanding under the Term B Facility and under the Revolving Credit Facility during the nine months ended June 30, 2021 compared to the prior year period. In addition, the weighted-average interest rate on the aggregate principal amounts outstanding under the Term B Facility and under the Revolving Credit Facility decreased to 5.5% for the nine months ended June 30, 2021 from 6.4% for the nine months ended June 30, 2020, driven by lower variable interest rates and the refinancing of the Term B Facility during the second quarter of fiscal 2021. See Note 16 and Note 14 within “Notes to Condensed Consolidated Financial Statements” for additional information on our debt and interest rate swaps,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Refinancing of Debt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and nine months ended June 30, 2021, we recognized losses related to refinancing fees incurred in conjunction with the refinancing of our Term B Facility of $0.1 million and $1.6 million, respectively. See Note 16 within “Notes to Condensed Consolidated Financial Statements” for additional information on our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income tax rate was 8.1% and 7.3% for the three and nine months ended June 30, 2021, respectively, and 7.2% and 12.5% for the three and nine months ended June 30, 2020, respectively. The decrease in the effective income tax rate for the nine months ended June 30, 2021 compared to the prior year period was primarily due to us taking into account for U.S. federal income tax purposes our 28.8% distributive share of the items of income, gain, loss and deduction of BellRing LLC in the period subsequent to the IPO. Prior to the IPO and formation transactions, we reported 100% of the income, gain, loss and deduction of BellRing LLC. 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including both scheduled amortization payments and any mandatory prepayments required from excess cash flow,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2021. Our ability to generate positive cash flows from operations is dependent on general economic conditions, competitive pressures and other business risk factors. If we are unable to generate sufficient cash flows from operations, or otherwise to comply with the terms of BellRing LLC’s credit facilities, we may be required to seek additional financing alternatives. Additionally, we may seek to repurchase shares of our Class A Common Stock. Such repurchases, if any, will depend on prevailing market conditions, our liquidity requirements, contractual restrictions and other factors. The amounts involved may be material.</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During the second quarter of fiscal 2021, BellRing LLC entered into a second amendment to its credit agreement (as amended, the “Credit Agreement,” and such amendment, the “Amendment”). The Amendment provided for the refinancing of the Term B Facility on substantially the same terms as in effect prior to the BellRing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the London Interbank Offered Rate as a reference interest rate and (iv) provided that if on or before August 26, 2021 BellRing LLC repays the Term B Facility in whole or in part with the proceeds of new or replacement debt at a lower effective interest rate, or further amends the Credit Agreement to reduce the effective interest rate applicable to the Term B Facility, BellRing LLC must pay a 1.00% premium on the amount repaid or subject to the interest rate reduction.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increase in cash and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w:t>
      </w:r>
    </w:p>
    <w:p>
      <w:pPr>
        <w:jc w:val="center"/>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44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12" w:lineRule="exact"/>
        <w:rPr>
          <w:sz w:val="20"/>
          <w:szCs w:val="20"/>
          <w:color w:val="auto"/>
        </w:rPr>
      </w:pPr>
    </w:p>
    <w:p>
      <w:pPr>
        <w:sectPr>
          <w:pgSz w:w="11900" w:h="16838" w:orient="portrait"/>
          <w:cols w:equalWidth="0" w:num="2">
            <w:col w:w="8180" w:space="720"/>
            <w:col w:w="2340"/>
          </w:cols>
          <w:pgMar w:left="320" w:top="125" w:right="339" w:bottom="1440" w:gutter="0" w:footer="0" w:header="0"/>
        </w:sectPr>
      </w:pPr>
    </w:p>
    <w:p>
      <w:pPr>
        <w:jc w:val="both"/>
        <w:ind w:firstLine="324"/>
        <w:spacing w:after="0" w:line="272" w:lineRule="auto"/>
        <w:rPr>
          <w:sz w:val="20"/>
          <w:szCs w:val="20"/>
          <w:color w:val="auto"/>
        </w:rPr>
      </w:pPr>
      <w:r>
        <w:rPr>
          <w:rFonts w:ascii="Arial" w:cs="Arial" w:eastAsia="Arial" w:hAnsi="Arial"/>
          <w:sz w:val="17"/>
          <w:szCs w:val="17"/>
          <w:color w:val="auto"/>
        </w:rPr>
        <w:t>Cash provided by operating activities for the nine months ended June 30, 2021 was $145.9 million compared to cash provided by operating activities of $27.2 million for the nine months ended June 30, 2020. The increase was primarily driven by favorable working capital changes of $78.8 million, which were primarily due to fluctuations in the timing of purchases and payments of trade payables, the build up of inventory in the prior year period related to lower net sales caused by the COVID-19 pandemic and the timing of promotional activity and fluctuations in the timing of sales and collections of trade receivables. In addition, interest payments decreased $9.5 million compared to the prior year period due to lower aggregate principal amounts outstanding under the Term B Facility and Revolving Credit Facility, as well as the refinancing of the Term B Facility. These positive impacts were partially offset by restructuring costs payments of $4.6 million and increased tax payments of $3.9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nine months ended June 30, 2021 decreased $0.5 million compared to the corresponding period in the prior year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2021</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used in financing activities for the nine months ended June 30, 2021 was $105.0 million. BellRing LLC drew an aggregate of $20.0 million under the Revolving Credit Facility, repaid $55.0 million on the principal balance of the Term B Facility and repaid $50.0 million on the Revolving Credit Facility during the period. In addition, BellRing LLC had net cash transfers of $17.5 million to Post which included tax distributions to Post pursuant to BellRing LLC’s amended and restated limited liability company agreement and state tax withholdings payments on behalf of Post.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2020</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Cash used in financing activities for the nine months ended June 30, 2020 was $9.1 million. BellRing LLC received proceeds of $686.0 million, net of discount, related to the issuance of the Term B Facility and drew an aggregate of $185.0 million on the Revolving Credit Facility. In addition, BellRing Inc. received $524.4 million from the issuance of its Class A Common Stock in conjunction with the IPO. BellRing LLC had net cash transfers of $22.4 million to Post, which included cash deposits prior to the IPO, tax distributions to Post pursuant to BellRing LLC’s amended and restated limited liability company agreement and state tax withholdings payments on behalf of Post. BellRing LLC also repaid the $1,225.0 million outstanding principal balance of the bridge loan assumed from Post in conjunction with the IPO, repaid $130.0 million of outstanding borrowings on the Revolving Credit Facility and repaid $17.5 million on the principal balance of the Term B Facility. In connection with the issuance of BellRing LLC’s long-term debt, BellRing LLC paid $9.6 million in debt issuance costs and deferred financing fees.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June 30, 2021, and we do not believe non-compliance is reasonably likely in the foreseeable future.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BellRing LLC to incur other secured or unsecured debt, in all cases subject to conditions and limitations on the amount as defined and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2020, as filed with the Securities and Exchange Commission (the “SEC”) on November 20, 2020, as amended on March 9, 2021. There have been no significant changes to our critical accounting policies and estimates since September 30, 2020.</w:t>
      </w:r>
    </w:p>
    <w:p>
      <w:pPr>
        <w:spacing w:after="0" w:line="18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 within “Notes to Condensed Consolidated Financial Statements” for a discussion regarding recently issued accounting standards.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the effect of the COVID-19 pandemic on our business and our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results of operations, financial condition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0"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manufacturers to manufacture and deliver our products, operating costs, demand for our on-the-go products and our operations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102"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9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volatility in the cost or availability of inputs to our business (including freight, raw materials, packaging, energy and other supplies);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fires and evacuations related thereto, changes in weather conditions, natural disasters, agricultural diseases and pests and other events beyond our control;</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 other litigation;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and labeling;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U.S. and global capital and credit markets, changes in interest rates, volatility in the market value of derivatives and fluctuations in foreign currency exchange rates;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us, our obligations under various agreements with Post, including under the tax receivable agreement, and Post’s proposed plan to distribute its interest in us;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the additional expenses we will continue to incur to create and maintain the corporate infrastructure to operate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our guidance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2020, filed with the SEC on November 20, 2020, as amended on March 9, 2021.</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in Item 2 of Part I of this report, as well as “Risk Factors” in Item 1A of Part II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which it did on certain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fiscal 2021. However, for competitive reasons, the Company may not be able to pass along the full effect of increases in raw materials and other input costs as they are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2021 and September 30, 2020, BellRing LLC had aggregate principal amounts of $618.7 million and $673.7 million outstanding on its Term B Facility, respectively, and aggregate principal amounts of zero and $30.0 million outstanding under its Revolving Credit Facility, respectively. Borrowings under the Term B Facility and the Revolving Credit Facility bear interest at variable rates. Including the impact of interest rate swaps, a hypothetical 10% increase in interest rates would have an immaterial impact on both interest expense and interest paid during each of the three and nine months ended June 30, 2021 and 2020. For additional information regarding BellRing LLC’s debt, see Note 16 within “Notes to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both June 30, 2021 and September 30, 2020, the Company had interest rate swaps with a notional value of $350.0 million. A hypothetical 10% adverse change in interest rates would have an immaterial impact on the fair value of the interest rate swaps as of both June 30, 2021 and September 30, 2020. For additional information regarding the Company’s interest rate swap contracts, see Note 14 within “Notes to Condensed Consolidated Financial Statements.”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June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information required under this Item 1 is set forth in Note 17 within “Notes to Condensed Consolidated Financial Statements (Unaudited)”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June 30, 2021.</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information set forth elsewhere in this Quarterly Report on Form 10-Q (the “Quarterly Report”) and the risk factor set forth below, you should carefully consider the risk factors we previously disclosed in our Annual Report on Form 10-K, filed with the United States Securities and Exchange Commission on November 20, 2020, as of and for the year ended September 30, 2020, as amended (the “Annual Report”). Other than the additional risk factor disclosed herein, as of the date of this Quarterly Report, there have been no material changes to the risk factors previously disclosed in the Annual Report. These risks could materially and adversely affect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Post’s proposed plan to distribute its interest in us is subject to inherent risks.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Post intends to distribute a significant portion of its interest in us to Post’s shareholders under a plan of distribution that could include a pro-rata distribution, an exchange offer or a combination of both. This proposed plan is subject to certain conditions, including the approval of our stockholders and the receipt of certain regulatory approvals. No assurance can be given that any of the foregoing conditions will be met. The proposed plan is subject to inherent risks and uncertainties, including, among others: risks that the proposed plan as a whole will not be consummated or that the distribution of our Class A common stock will not be consummated; increased levels of indebtedness and leverage; increased demands on our management and employees to accomplish the proposed plan; and significant transaction costs. In addition, no assurance can be given that the market will react favorably to the proposed plan or any of the transactions contemplated thereby.</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did not make any repurchases of its Class A common stock during the three months ended June 30, 2021. The following table sets forth information with respect to repurchases of shares of our Class A common stock, $0.01 par value per share, during the three months ended June 30, 2021 and our Class A common stock repurchase authorization.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2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that May Yet be Purchased</w:t>
            </w:r>
          </w:p>
        </w:tc>
        <w:tc>
          <w:tcPr>
            <w:tcW w:w="0" w:type="dxa"/>
            <w:vAlign w:val="bottom"/>
          </w:tcPr>
          <w:p>
            <w:pPr>
              <w:spacing w:after="0"/>
              <w:rPr>
                <w:sz w:val="1"/>
                <w:szCs w:val="1"/>
                <w:color w:val="auto"/>
              </w:rPr>
            </w:pPr>
          </w:p>
        </w:tc>
      </w:tr>
      <w:tr>
        <w:trPr>
          <w:trHeight w:val="176"/>
        </w:trPr>
        <w:tc>
          <w:tcPr>
            <w:tcW w:w="340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Period</w:t>
            </w: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Shares</w:t>
            </w: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Paid per</w:t>
            </w:r>
          </w:p>
        </w:tc>
        <w:tc>
          <w:tcPr>
            <w:tcW w:w="2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2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the Plans or Programs (a)</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(a)</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Plans or Programs (b)</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May 1, 2021 - May 31, 2021</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2700" w:type="dxa"/>
            <w:vAlign w:val="bottom"/>
          </w:tcPr>
          <w:p>
            <w:pPr>
              <w:ind w:left="2440"/>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24"/>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700" w:type="dxa"/>
            <w:vAlign w:val="bottom"/>
          </w:tcPr>
          <w:p>
            <w:pPr>
              <w:ind w:left="2440"/>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broker’s commissions.</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12, 2020, the Company’s Board of Directors approved a $60,000,000 share repurchase authorization (the “Authorization”). The Authorization was effective November 12, 2020 and expires on November 12, 2022.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20" w:type="dxa"/>
            <w:vAlign w:val="bottom"/>
            <w:gridSpan w:val="18"/>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0360" w:type="dxa"/>
            <w:vAlign w:val="bottom"/>
            <w:gridSpan w:val="19"/>
          </w:tcPr>
          <w:p>
            <w:pPr>
              <w:spacing w:after="0"/>
              <w:rPr>
                <w:sz w:val="20"/>
                <w:szCs w:val="20"/>
                <w:color w:val="auto"/>
              </w:rPr>
            </w:pPr>
            <w:r>
              <w:rPr>
                <w:rFonts w:ascii="Arial" w:cs="Arial" w:eastAsia="Arial" w:hAnsi="Arial"/>
                <w:sz w:val="18"/>
                <w:szCs w:val="18"/>
                <w:color w:val="auto"/>
              </w:rPr>
              <w:t>The following exhibits are either provided with this Form 10-Q or are incorporated herein by reference.</w:t>
            </w:r>
          </w:p>
        </w:tc>
      </w:tr>
      <w:tr>
        <w:trPr>
          <w:trHeight w:val="240"/>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5"/>
              </w:rPr>
              <w:t>Exhibit No.</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gridSpan w:val="15"/>
          </w:tcPr>
          <w:p>
            <w:pPr>
              <w:spacing w:after="0"/>
              <w:rPr>
                <w:sz w:val="20"/>
                <w:szCs w:val="20"/>
                <w:color w:val="auto"/>
              </w:rPr>
            </w:pPr>
            <w:r>
              <w:rPr>
                <w:rFonts w:ascii="Arial" w:cs="Arial" w:eastAsia="Arial" w:hAnsi="Arial"/>
                <w:sz w:val="16"/>
                <w:szCs w:val="16"/>
                <w:b w:val="1"/>
                <w:bCs w:val="1"/>
                <w:color w:val="auto"/>
              </w:rPr>
              <w:t>Description</w:t>
            </w:r>
          </w:p>
        </w:tc>
      </w:tr>
      <w:tr>
        <w:trPr>
          <w:trHeight w:val="186"/>
        </w:trPr>
        <w:tc>
          <w:tcPr>
            <w:tcW w:w="840" w:type="dxa"/>
            <w:vAlign w:val="bottom"/>
            <w:shd w:val="clear" w:color="auto" w:fill="CCEEFF"/>
          </w:tcPr>
          <w:p>
            <w:pPr>
              <w:jc w:val="center"/>
              <w:ind w:left="171"/>
              <w:spacing w:after="0" w:line="186" w:lineRule="exact"/>
              <w:rPr>
                <w:sz w:val="20"/>
                <w:szCs w:val="20"/>
                <w:color w:val="auto"/>
              </w:rPr>
            </w:pPr>
            <w:r>
              <w:rPr>
                <w:rFonts w:ascii="Arial" w:cs="Arial" w:eastAsia="Arial" w:hAnsi="Arial"/>
                <w:sz w:val="18"/>
                <w:szCs w:val="18"/>
                <w:color w:val="auto"/>
                <w:w w:val="87"/>
              </w:rPr>
              <w:t>3.1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15"/>
            <w:shd w:val="clear" w:color="auto" w:fill="CCEEFF"/>
          </w:tcPr>
          <w:p>
            <w:pPr>
              <w:spacing w:after="0" w:line="186"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Amended and Restated Certificate of Incorporation of BellRing Brands, Inc. (Incorporated by reference to Exhibit 3.1 to</w:t>
              </w:r>
            </w:hyperlink>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8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the Company’s Form 8-K filed on October 21,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jc w:val="center"/>
              <w:ind w:left="171"/>
              <w:spacing w:after="0" w:line="189" w:lineRule="exact"/>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15"/>
          </w:tcPr>
          <w:p>
            <w:pPr>
              <w:spacing w:after="0" w:line="189"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Amended and Restated Bylaws of BellRing Brands, Inc. (Incorporated by reference to Exhibit 3.1 to the Company’s Form</w:t>
              </w:r>
            </w:hyperlink>
          </w:p>
        </w:tc>
      </w:tr>
      <w:tr>
        <w:trPr>
          <w:trHeight w:val="155"/>
        </w:trPr>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8-K filed on January 19, 2021)</w:t>
              </w:r>
            </w:hyperlink>
          </w:p>
        </w:tc>
        <w:tc>
          <w:tcPr>
            <w:tcW w:w="20" w:type="dxa"/>
            <w:vAlign w:val="bottom"/>
          </w:tcPr>
          <w:p>
            <w:pPr>
              <w:spacing w:after="0"/>
              <w:rPr>
                <w:sz w:val="13"/>
                <w:szCs w:val="13"/>
                <w:color w:val="auto"/>
              </w:rPr>
            </w:pPr>
          </w:p>
        </w:tc>
      </w:tr>
      <w:tr>
        <w:trPr>
          <w:trHeight w:val="21"/>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jc w:val="center"/>
              <w:ind w:left="171"/>
              <w:spacing w:after="0" w:line="189" w:lineRule="exact"/>
              <w:rPr>
                <w:sz w:val="20"/>
                <w:szCs w:val="20"/>
                <w:color w:val="auto"/>
              </w:rPr>
            </w:pPr>
            <w:r>
              <w:rPr>
                <w:rFonts w:ascii="Arial" w:cs="Arial" w:eastAsia="Arial" w:hAnsi="Arial"/>
                <w:sz w:val="18"/>
                <w:szCs w:val="18"/>
                <w:color w:val="auto"/>
                <w:w w:val="87"/>
              </w:rPr>
              <w:t>4.1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15"/>
            <w:shd w:val="clear" w:color="auto" w:fill="CCEEFF"/>
          </w:tcPr>
          <w:p>
            <w:pPr>
              <w:spacing w:after="0" w:line="189"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Form of Class A Common Stock Certificate of BellRing Brands, Inc. (Incorporated by reference to Exhibit 4.1 to the</w:t>
              </w:r>
            </w:hyperlink>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6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44">
              <w:r>
                <w:rPr>
                  <w:rFonts w:ascii="Arial" w:cs="Arial" w:eastAsia="Arial" w:hAnsi="Arial"/>
                  <w:sz w:val="18"/>
                  <w:szCs w:val="18"/>
                  <w:color w:val="0000FF"/>
                </w:rPr>
                <w:t>Company’s Form S-1 filed on September 20, 2019)</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jc w:val="center"/>
              <w:ind w:left="191"/>
              <w:spacing w:after="0" w:line="189" w:lineRule="exact"/>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15"/>
          </w:tcPr>
          <w:p>
            <w:pPr>
              <w:spacing w:after="0" w:line="189" w:lineRule="exact"/>
              <w:rPr>
                <w:rFonts w:ascii="Arial" w:cs="Arial" w:eastAsia="Arial" w:hAnsi="Arial"/>
                <w:sz w:val="18"/>
                <w:szCs w:val="18"/>
                <w:color w:val="0000FF"/>
                <w:w w:val="92"/>
              </w:rPr>
            </w:pPr>
            <w:hyperlink w:anchor="page29">
              <w:r>
                <w:rPr>
                  <w:rFonts w:ascii="Arial" w:cs="Arial" w:eastAsia="Arial" w:hAnsi="Arial"/>
                  <w:sz w:val="18"/>
                  <w:szCs w:val="18"/>
                  <w:color w:val="0000FF"/>
                  <w:w w:val="92"/>
                </w:rPr>
                <w:t>Certification of Robert V. Vitale pursuant to Rule 13a-14(a), as adopted pursuant to Section 302 of the Sarbanes-Oxley Act</w:t>
              </w:r>
            </w:hyperlink>
          </w:p>
        </w:tc>
      </w:tr>
      <w:tr>
        <w:trPr>
          <w:trHeight w:val="155"/>
        </w:trPr>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9">
              <w:r>
                <w:rPr>
                  <w:rFonts w:ascii="Arial" w:cs="Arial" w:eastAsia="Arial" w:hAnsi="Arial"/>
                  <w:sz w:val="18"/>
                  <w:szCs w:val="18"/>
                  <w:color w:val="0000FF"/>
                </w:rPr>
                <w:t>of 2002, dated August 6, 2021</w:t>
              </w:r>
            </w:hyperlink>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jc w:val="center"/>
              <w:ind w:left="191"/>
              <w:spacing w:after="0" w:line="189" w:lineRule="exact"/>
              <w:rPr>
                <w:sz w:val="20"/>
                <w:szCs w:val="20"/>
                <w:color w:val="auto"/>
              </w:rPr>
            </w:pPr>
            <w:r>
              <w:rPr>
                <w:rFonts w:ascii="Arial" w:cs="Arial" w:eastAsia="Arial" w:hAnsi="Arial"/>
                <w:sz w:val="18"/>
                <w:szCs w:val="18"/>
                <w:color w:val="auto"/>
                <w:w w:val="91"/>
              </w:rPr>
              <w:t>31.2</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15"/>
            <w:shd w:val="clear" w:color="auto" w:fill="CCEEFF"/>
          </w:tcPr>
          <w:p>
            <w:pPr>
              <w:spacing w:after="0" w:line="189" w:lineRule="exact"/>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Darcy H. Davenport pursuant to Rule 13a-14(a), as adopted pursuant to Section 302 of the Sarbanes-Oxley</w:t>
              </w:r>
            </w:hyperlink>
          </w:p>
        </w:tc>
      </w:tr>
      <w:tr>
        <w:trPr>
          <w:trHeight w:val="176"/>
        </w:trPr>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1"/>
              </w:rPr>
            </w:pPr>
            <w:hyperlink w:anchor="page30">
              <w:r>
                <w:rPr>
                  <w:rFonts w:ascii="Arial" w:cs="Arial" w:eastAsia="Arial" w:hAnsi="Arial"/>
                  <w:sz w:val="18"/>
                  <w:szCs w:val="18"/>
                  <w:color w:val="0000FF"/>
                  <w:w w:val="91"/>
                </w:rPr>
                <w:t>Act of 2002, dated August 6, 2021</w:t>
              </w:r>
            </w:hyperlink>
          </w:p>
        </w:tc>
        <w:tc>
          <w:tcPr>
            <w:tcW w:w="644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840" w:type="dxa"/>
            <w:vAlign w:val="bottom"/>
          </w:tcPr>
          <w:p>
            <w:pPr>
              <w:jc w:val="center"/>
              <w:ind w:left="191"/>
              <w:spacing w:after="0" w:line="189" w:lineRule="exact"/>
              <w:rPr>
                <w:sz w:val="20"/>
                <w:szCs w:val="20"/>
                <w:color w:val="auto"/>
              </w:rPr>
            </w:pPr>
            <w:r>
              <w:rPr>
                <w:rFonts w:ascii="Arial" w:cs="Arial" w:eastAsia="Arial" w:hAnsi="Arial"/>
                <w:sz w:val="18"/>
                <w:szCs w:val="18"/>
                <w:color w:val="auto"/>
                <w:w w:val="91"/>
              </w:rPr>
              <w:t>31.3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15"/>
          </w:tcPr>
          <w:p>
            <w:pPr>
              <w:spacing w:after="0" w:line="189" w:lineRule="exact"/>
              <w:rPr>
                <w:rFonts w:ascii="Arial" w:cs="Arial" w:eastAsia="Arial" w:hAnsi="Arial"/>
                <w:sz w:val="18"/>
                <w:szCs w:val="18"/>
                <w:color w:val="0000FF"/>
                <w:w w:val="92"/>
              </w:rPr>
            </w:pPr>
            <w:hyperlink w:anchor="page31">
              <w:r>
                <w:rPr>
                  <w:rFonts w:ascii="Arial" w:cs="Arial" w:eastAsia="Arial" w:hAnsi="Arial"/>
                  <w:sz w:val="18"/>
                  <w:szCs w:val="18"/>
                  <w:color w:val="0000FF"/>
                  <w:w w:val="92"/>
                </w:rPr>
                <w:t>Certification of Paul A. Rode pursuant to Rule 13a-14(a), as adopted pursuant to Section 302 of the Sarbanes-Oxley Act of</w:t>
              </w:r>
            </w:hyperlink>
          </w:p>
        </w:tc>
      </w:tr>
      <w:tr>
        <w:trPr>
          <w:trHeight w:val="155"/>
        </w:trPr>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31">
              <w:r>
                <w:rPr>
                  <w:rFonts w:ascii="Arial" w:cs="Arial" w:eastAsia="Arial" w:hAnsi="Arial"/>
                  <w:sz w:val="18"/>
                  <w:szCs w:val="18"/>
                  <w:color w:val="0000FF"/>
                </w:rPr>
                <w:t>2002, dated August 6, 2021</w:t>
              </w:r>
            </w:hyperlink>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jc w:val="center"/>
              <w:ind w:left="191"/>
              <w:spacing w:after="0" w:line="189" w:lineRule="exact"/>
              <w:rPr>
                <w:sz w:val="20"/>
                <w:szCs w:val="20"/>
                <w:color w:val="auto"/>
              </w:rPr>
            </w:pPr>
            <w:r>
              <w:rPr>
                <w:rFonts w:ascii="Arial" w:cs="Arial" w:eastAsia="Arial" w:hAnsi="Arial"/>
                <w:sz w:val="18"/>
                <w:szCs w:val="18"/>
                <w:color w:val="auto"/>
                <w:w w:val="91"/>
              </w:rPr>
              <w:t>32.1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15"/>
            <w:shd w:val="clear" w:color="auto" w:fill="CCEEFF"/>
          </w:tcPr>
          <w:p>
            <w:pPr>
              <w:spacing w:after="0" w:line="189" w:lineRule="exact"/>
              <w:rPr>
                <w:rFonts w:ascii="Arial" w:cs="Arial" w:eastAsia="Arial" w:hAnsi="Arial"/>
                <w:sz w:val="18"/>
                <w:szCs w:val="18"/>
                <w:color w:val="0000FF"/>
                <w:w w:val="95"/>
              </w:rPr>
            </w:pPr>
            <w:hyperlink w:anchor="page32">
              <w:r>
                <w:rPr>
                  <w:rFonts w:ascii="Arial" w:cs="Arial" w:eastAsia="Arial" w:hAnsi="Arial"/>
                  <w:sz w:val="18"/>
                  <w:szCs w:val="18"/>
                  <w:color w:val="0000FF"/>
                  <w:w w:val="95"/>
                </w:rPr>
                <w:t>Certification of Robert V. Vitale, Darcy H. Davenport and Paul A. Rode, pursuant to 18 U.S.C. Section 1350 as adopted</w:t>
              </w:r>
            </w:hyperlink>
          </w:p>
        </w:tc>
      </w:tr>
      <w:tr>
        <w:trPr>
          <w:trHeight w:val="156"/>
        </w:trPr>
        <w:tc>
          <w:tcPr>
            <w:tcW w:w="8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pursuant to Section 906 of the Sarbanes-Oxley Act of 2002, dated August 6, 2021</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320" w:right="160" w:hanging="900"/>
        <w:spacing w:after="0" w:line="22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 (Form 10-Q for the quarterly period ended June 30, 2021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52335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523355" cy="257175"/>
                    </a:xfrm>
                    <a:prstGeom prst="rect">
                      <a:avLst/>
                    </a:prstGeom>
                    <a:noFill/>
                  </pic:spPr>
                </pic:pic>
              </a:graphicData>
            </a:graphic>
          </wp:anchor>
        </w:drawing>
      </w:r>
    </w:p>
    <w:p>
      <w:pPr>
        <w:ind w:left="1320" w:right="160" w:hanging="900"/>
        <w:spacing w:after="0" w:line="234"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June 30, 2021, formatted in iXBRL (Inline eXtensible Business Reporting Language)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25" w:right="12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100" w:right="1640" w:hanging="7505"/>
        <w:spacing w:after="0" w:line="273" w:lineRule="auto"/>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wp:posOffset>
            </wp:positionV>
            <wp:extent cx="2366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1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320" w:top="125" w:right="3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5020" w:type="dxa"/>
            <w:vAlign w:val="bottom"/>
            <w:gridSpan w:val="2"/>
          </w:tcPr>
          <w:p>
            <w:pPr>
              <w:ind w:left="1340"/>
              <w:spacing w:after="0"/>
              <w:rPr>
                <w:sz w:val="20"/>
                <w:szCs w:val="20"/>
                <w:color w:val="auto"/>
              </w:rPr>
            </w:pPr>
            <w:r>
              <w:rPr>
                <w:rFonts w:ascii="Arial" w:cs="Arial" w:eastAsia="Arial" w:hAnsi="Arial"/>
                <w:sz w:val="18"/>
                <w:szCs w:val="18"/>
                <w:color w:val="auto"/>
              </w:rPr>
              <w:t>By:  /s/ Robert V. Vitale</w:t>
            </w:r>
          </w:p>
        </w:tc>
      </w:tr>
      <w:tr>
        <w:trPr>
          <w:trHeight w:val="222"/>
        </w:trPr>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5020" w:type="dxa"/>
            <w:vAlign w:val="bottom"/>
            <w:gridSpan w:val="2"/>
          </w:tcPr>
          <w:p>
            <w:pPr>
              <w:ind w:left="1340"/>
              <w:spacing w:after="0"/>
              <w:rPr>
                <w:sz w:val="20"/>
                <w:szCs w:val="20"/>
                <w:color w:val="auto"/>
              </w:rPr>
            </w:pPr>
            <w:r>
              <w:rPr>
                <w:rFonts w:ascii="Arial" w:cs="Arial" w:eastAsia="Arial" w:hAnsi="Arial"/>
                <w:sz w:val="18"/>
                <w:szCs w:val="18"/>
                <w:color w:val="auto"/>
              </w:rPr>
              <w:t>By:  /s/ Darcy H. Davenport</w:t>
            </w:r>
          </w:p>
        </w:tc>
      </w:tr>
      <w:tr>
        <w:trPr>
          <w:trHeight w:val="222"/>
        </w:trPr>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5020" w:type="dxa"/>
            <w:vAlign w:val="bottom"/>
            <w:gridSpan w:val="2"/>
          </w:tcPr>
          <w:p>
            <w:pPr>
              <w:ind w:left="1340"/>
              <w:spacing w:after="0"/>
              <w:rPr>
                <w:sz w:val="20"/>
                <w:szCs w:val="20"/>
                <w:color w:val="auto"/>
              </w:rPr>
            </w:pPr>
            <w:r>
              <w:rPr>
                <w:rFonts w:ascii="Arial" w:cs="Arial" w:eastAsia="Arial" w:hAnsi="Arial"/>
                <w:sz w:val="18"/>
                <w:szCs w:val="18"/>
                <w:color w:val="auto"/>
              </w:rPr>
              <w:t>By:  /s/ Paul A. Rode</w:t>
            </w:r>
          </w:p>
        </w:tc>
      </w:tr>
      <w:tr>
        <w:trPr>
          <w:trHeight w:val="222"/>
        </w:trPr>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3" w:lineRule="auto"/>
        <w:tabs>
          <w:tab w:leader="none" w:pos="3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1500" w:hanging="652"/>
        <w:spacing w:after="0" w:line="277"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5040" w:type="dxa"/>
            <w:vAlign w:val="bottom"/>
            <w:gridSpan w:val="2"/>
          </w:tcPr>
          <w:p>
            <w:pPr>
              <w:ind w:left="1280"/>
              <w:spacing w:after="0"/>
              <w:rPr>
                <w:sz w:val="20"/>
                <w:szCs w:val="20"/>
                <w:color w:val="auto"/>
              </w:rPr>
            </w:pPr>
            <w:r>
              <w:rPr>
                <w:rFonts w:ascii="Arial" w:cs="Arial" w:eastAsia="Arial" w:hAnsi="Arial"/>
                <w:sz w:val="18"/>
                <w:szCs w:val="18"/>
                <w:color w:val="auto"/>
              </w:rPr>
              <w:t>By:  /s/ Robert V. Vitale</w:t>
            </w:r>
          </w:p>
        </w:tc>
      </w:tr>
      <w:tr>
        <w:trPr>
          <w:trHeight w:val="222"/>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pacing w:after="0" w:line="32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2" w:name="page33"/>
    <w:bookmarkEnd w:id="32"/>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5040" w:type="dxa"/>
            <w:vAlign w:val="bottom"/>
            <w:gridSpan w:val="2"/>
          </w:tcPr>
          <w:p>
            <w:pPr>
              <w:ind w:left="1280"/>
              <w:spacing w:after="0"/>
              <w:rPr>
                <w:sz w:val="20"/>
                <w:szCs w:val="20"/>
                <w:color w:val="auto"/>
              </w:rPr>
            </w:pPr>
            <w:r>
              <w:rPr>
                <w:rFonts w:ascii="Arial" w:cs="Arial" w:eastAsia="Arial" w:hAnsi="Arial"/>
                <w:sz w:val="18"/>
                <w:szCs w:val="18"/>
                <w:color w:val="auto"/>
              </w:rPr>
              <w:t>By:  /s/ Darcy H. Davenport</w:t>
            </w:r>
          </w:p>
        </w:tc>
      </w:tr>
      <w:tr>
        <w:trPr>
          <w:trHeight w:val="222"/>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3" w:name="page34"/>
    <w:bookmarkEnd w:id="33"/>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5040" w:type="dxa"/>
            <w:vAlign w:val="bottom"/>
            <w:gridSpan w:val="2"/>
          </w:tcPr>
          <w:p>
            <w:pPr>
              <w:ind w:left="1280"/>
              <w:spacing w:after="0"/>
              <w:rPr>
                <w:sz w:val="20"/>
                <w:szCs w:val="20"/>
                <w:color w:val="auto"/>
              </w:rPr>
            </w:pPr>
            <w:r>
              <w:rPr>
                <w:rFonts w:ascii="Arial" w:cs="Arial" w:eastAsia="Arial" w:hAnsi="Arial"/>
                <w:sz w:val="18"/>
                <w:szCs w:val="18"/>
                <w:color w:val="auto"/>
              </w:rPr>
              <w:t>By:  /s/ Paul A. Rode</w:t>
            </w:r>
          </w:p>
        </w:tc>
      </w:tr>
      <w:tr>
        <w:trPr>
          <w:trHeight w:val="222"/>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01"/>
    </w:lvl>
  </w:abstractNum>
  <w:abstractNum w:abstractNumId="8">
    <w:nsid w:val="66EF438D"/>
    <w:multiLevelType w:val="hybridMultilevel"/>
    <w:lvl w:ilvl="0">
      <w:lvlJc w:val="left"/>
      <w:lvlText w:val="%1"/>
      <w:numFmt w:val="decimal"/>
      <w:start w:val="104"/>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2" Type="http://schemas.openxmlformats.org/officeDocument/2006/relationships/hyperlink" Target="http://www.sec.gov/Archives/edgar/data/1772016/000119312519270862/d812149dex31.htm" TargetMode="External"/><Relationship Id="rId43" Type="http://schemas.openxmlformats.org/officeDocument/2006/relationships/hyperlink" Target="http://www.sec.gov/Archives/edgar/data/1772016/000177201621000006/exhib31amendedrestatedby.htm" TargetMode="External"/><Relationship Id="rId44" Type="http://schemas.openxmlformats.org/officeDocument/2006/relationships/hyperlink" Target="http://www.sec.gov/Archives/edgar/data/1772016/000119312519250692/d7275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2021-08-06T13:11:50Z</dcterms:created>
  <dcterms:modified xsi:type="dcterms:W3CDTF">2021-08-06T13:11:50Z</dcterms:modified>
</cp:coreProperties>
</file>