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424815</wp:posOffset>
            </wp:positionV>
            <wp:extent cx="117411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11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87-3296749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2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2503 S. Hanley Road</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 Louis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63144</w:t>
      </w:r>
    </w:p>
    <w:p>
      <w:pPr>
        <w:spacing w:after="0" w:line="43" w:lineRule="exact"/>
        <w:rPr>
          <w:sz w:val="24"/>
          <w:szCs w:val="24"/>
          <w:color w:val="auto"/>
        </w:rPr>
      </w:pPr>
    </w:p>
    <w:p>
      <w:pPr>
        <w:sectPr>
          <w:pgSz w:w="11900" w:h="16838" w:orient="portrait"/>
          <w:cols w:equalWidth="0" w:num="4">
            <w:col w:w="3300" w:space="720"/>
            <w:col w:w="2080" w:space="720"/>
            <w:col w:w="2100" w:space="720"/>
            <w:col w:w="1380"/>
          </w:cols>
          <w:pgMar w:left="440" w:top="376" w:right="43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8800" w:space="720"/>
            <w:col w:w="15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8, 2022, BellRing Brands, Inc. (“BellRing”) issued a press release announcing an underwritten offering (the “Offering”) of shares of common stock of BellRing, par value $0.01 per share, by certain selling stockholders. As part of and subject to the completion of the Offering, BellRing expects to concurrently repurchase 800,000 shares out of the aggregate 14,800,000 shares of its common stock that are the subject of the Offering. A copy of the press release is furnished as Exhibit 99.1 hereto and is incorporated herein by reference.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August 9, 2022, BellRing issued a press release announcing the upsizing and pricing of the Offering. A copy of the press release is furnished as Exhibit 99.2 hereto and is incorporated herein by reference.</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8, 2022, BellRing entered into an Underwriting Agreement (the “Underwriting Agreement”), by and among BellRing, the selling stockholders named therein (collectively, the “Selling Stockholders”), Post Holdings, Inc., and J.P. Morgan Securities LLC, Barclays Capital Inc., Morgan Stanley &amp; Co. LLC, Citigroup Global Markets Inc. and Goldman Sachs &amp; Co. LLC, as representatives of the several underwriters named therein, relating to the Offering by the Selling Stockholders of 14,800,000 shares (the “Shares”) of BellRing’s common stock. The Offering was made pursuant to the Company’s Registration Statement on Form S-3 (File No. 333-266656), filed on August 8, 2022. BellRing will not receive any proceeds from the Offering.</w:t>
      </w:r>
    </w:p>
    <w:p>
      <w:pPr>
        <w:spacing w:after="0" w:line="18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addition, pursuant to the Underwriting Agreement, BellRing will repurchase from the underwriters 800,000 Shares at the price at which the underwriters have agreed to purchase the Shares from the selling stockholders in the Offering. The repurchase is subject to the completion of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the Shares and the share repurchase are expected to close on August 11, 2022, subject to customary closing conditions.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Underwriting Agreement is qualified in its entirety by the terms of such agreement, which is incorporated herein by reference and attached to this report as Exhibit 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4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2"/>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4480" w:type="dxa"/>
            <w:vAlign w:val="bottom"/>
          </w:tcPr>
          <w:p>
            <w:pPr>
              <w:spacing w:after="0"/>
              <w:rPr>
                <w:sz w:val="17"/>
                <w:szCs w:val="17"/>
                <w:color w:val="auto"/>
              </w:rPr>
            </w:pPr>
          </w:p>
        </w:tc>
        <w:tc>
          <w:tcPr>
            <w:tcW w:w="518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Description</w:t>
            </w:r>
          </w:p>
        </w:tc>
      </w:t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August 8, 2022, by and among BellRing Brands, Inc., the Selling Stockholders named therein, Post</w:t>
            </w:r>
          </w:p>
        </w:tc>
        <w:tc>
          <w:tcPr>
            <w:tcW w:w="160" w:type="dxa"/>
            <w:vAlign w:val="bottom"/>
          </w:tcPr>
          <w:p>
            <w:pPr>
              <w:spacing w:after="0"/>
              <w:rPr>
                <w:sz w:val="23"/>
                <w:szCs w:val="23"/>
                <w:color w:val="auto"/>
              </w:rPr>
            </w:pPr>
          </w:p>
        </w:tc>
      </w:tr>
      <w:tr>
        <w:trPr>
          <w:trHeight w:val="196"/>
        </w:trPr>
        <w:tc>
          <w:tcPr>
            <w:tcW w:w="840" w:type="dxa"/>
            <w:vAlign w:val="bottom"/>
          </w:tcPr>
          <w:p>
            <w:pPr>
              <w:spacing w:after="0"/>
              <w:rPr>
                <w:sz w:val="17"/>
                <w:szCs w:val="17"/>
                <w:color w:val="auto"/>
              </w:rPr>
            </w:pPr>
          </w:p>
        </w:tc>
        <w:tc>
          <w:tcPr>
            <w:tcW w:w="9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Inc. and J.P. Morgan Securities LLC, Barclays Capital Inc., Morgan Stanley &amp; Co. LLC, Citigroup Global Markets Inc. and</w:t>
            </w:r>
          </w:p>
        </w:tc>
      </w:tr>
      <w:tr>
        <w:trPr>
          <w:trHeight w:val="196"/>
        </w:trPr>
        <w:tc>
          <w:tcPr>
            <w:tcW w:w="840" w:type="dxa"/>
            <w:vAlign w:val="bottom"/>
          </w:tcPr>
          <w:p>
            <w:pPr>
              <w:spacing w:after="0"/>
              <w:rPr>
                <w:sz w:val="17"/>
                <w:szCs w:val="17"/>
                <w:color w:val="auto"/>
              </w:rPr>
            </w:pPr>
          </w:p>
        </w:tc>
        <w:tc>
          <w:tcPr>
            <w:tcW w:w="6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Goldman Sachs &amp; Co. LLC, as representatives of the several underwriters named therein.</w:t>
            </w:r>
          </w:p>
        </w:tc>
        <w:tc>
          <w:tcPr>
            <w:tcW w:w="3200" w:type="dxa"/>
            <w:vAlign w:val="bottom"/>
            <w:gridSpan w:val="2"/>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August 8, 2022, announcing the Offering</w:t>
            </w:r>
          </w:p>
        </w:tc>
        <w:tc>
          <w:tcPr>
            <w:tcW w:w="5180" w:type="dxa"/>
            <w:vAlign w:val="bottom"/>
            <w:gridSpan w:val="4"/>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August 9, 2022, announcing the upsizing and pricing of the Offering</w:t>
            </w:r>
          </w:p>
        </w:tc>
      </w:tr>
      <w:tr>
        <w:trPr>
          <w:trHeight w:val="20"/>
        </w:trPr>
        <w:tc>
          <w:tcPr>
            <w:tcW w:w="840" w:type="dxa"/>
            <w:vAlign w:val="bottom"/>
          </w:tcPr>
          <w:p>
            <w:pPr>
              <w:spacing w:after="0" w:line="20" w:lineRule="exact"/>
              <w:rPr>
                <w:sz w:val="1"/>
                <w:szCs w:val="1"/>
                <w:color w:val="auto"/>
              </w:rPr>
            </w:pPr>
          </w:p>
        </w:tc>
        <w:tc>
          <w:tcPr>
            <w:tcW w:w="644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34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234"/>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8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Rosenthal</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Rosenthal</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General Counsel</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14,800,000 S</w:t>
      </w:r>
      <w:r>
        <w:rPr>
          <w:rFonts w:ascii="Times New Roman" w:cs="Times New Roman" w:eastAsia="Times New Roman" w:hAnsi="Times New Roman"/>
          <w:sz w:val="14"/>
          <w:szCs w:val="14"/>
          <w:b w:val="1"/>
          <w:bCs w:val="1"/>
          <w:color w:val="auto"/>
        </w:rPr>
        <w:t>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ELL</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RANDS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8,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ITIGROUP</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II attached hereto,</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J.P. Morgan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10019</w:t>
      </w:r>
    </w:p>
    <w:p>
      <w:pPr>
        <w:spacing w:after="0" w:line="123"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 Morgan Stanley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 Citigroup Global Markets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112"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 Goldman Sachs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020"/>
          </w:cols>
          <w:pgMar w:left="440" w:top="117" w:right="439" w:bottom="1440" w:gutter="0" w:footer="0" w:header="0"/>
          <w:type w:val="continuous"/>
        </w:sectPr>
      </w:pP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financial institutions listed on Schedule I hereto, in their capacity as selling stockholders (in such capacity, the “</w:t>
      </w:r>
      <w:r>
        <w:rPr>
          <w:rFonts w:ascii="Times New Roman" w:cs="Times New Roman" w:eastAsia="Times New Roman" w:hAnsi="Times New Roman"/>
          <w:sz w:val="18"/>
          <w:szCs w:val="18"/>
          <w:b w:val="1"/>
          <w:bCs w:val="1"/>
          <w:color w:val="auto"/>
        </w:rPr>
        <w:t>Selling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r>
        <w:rPr>
          <w:rFonts w:ascii="Times New Roman" w:cs="Times New Roman" w:eastAsia="Times New Roman" w:hAnsi="Times New Roman"/>
          <w:sz w:val="17"/>
          <w:szCs w:val="17"/>
          <w:color w:val="auto"/>
        </w:rPr>
        <w:t>”), of the Stock (as defined below) of BellRing Brands,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subject to the terms and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in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propose, severally and not jointly, to sell to the several Underwriters named in Schedule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(in their capacity as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serve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14,800,000 shares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This Agreement is to confirm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concerning the purchase of the Stock from the Selling Stockholders by the Underwriters.</w:t>
      </w:r>
    </w:p>
    <w:p>
      <w:pPr>
        <w:sectPr>
          <w:pgSz w:w="11900" w:h="16838" w:orient="portrait"/>
          <w:cols w:equalWidth="0" w:num="1">
            <w:col w:w="11020"/>
          </w:cols>
          <w:pgMar w:left="440" w:top="117" w:right="439" w:bottom="1440" w:gutter="0" w:footer="0" w:header="0"/>
          <w:type w:val="continuous"/>
        </w:sectPr>
      </w:pPr>
    </w:p>
    <w:bookmarkStart w:id="4" w:name="page5"/>
    <w:bookmarkEnd w:id="4"/>
    <w:p>
      <w:pPr>
        <w:ind w:right="18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date hereof and prior to the execution of this Agreement, Post Holdings, Inc., a Missouri corporation (“</w:t>
      </w:r>
      <w:r>
        <w:rPr>
          <w:rFonts w:ascii="Times New Roman" w:cs="Times New Roman" w:eastAsia="Times New Roman" w:hAnsi="Times New Roman"/>
          <w:sz w:val="18"/>
          <w:szCs w:val="18"/>
          <w:b w:val="1"/>
          <w:bCs w:val="1"/>
          <w:color w:val="auto"/>
        </w:rPr>
        <w:t>Post</w:t>
      </w:r>
      <w:r>
        <w:rPr>
          <w:rFonts w:ascii="Times New Roman" w:cs="Times New Roman" w:eastAsia="Times New Roman" w:hAnsi="Times New Roman"/>
          <w:sz w:val="18"/>
          <w:szCs w:val="18"/>
          <w:color w:val="auto"/>
        </w:rPr>
        <w:t>”), entered into an exchange agreement with the Selling Stockholders (or their respective affiliates)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whereby Post agreed to transfer to the Selling Stockholders the Stock in exchange for the cancellation of certain indebtedness of Post owing to the Selling Stockholders (or their respective affiliates) (the “</w:t>
      </w:r>
      <w:r>
        <w:rPr>
          <w:rFonts w:ascii="Times New Roman" w:cs="Times New Roman" w:eastAsia="Times New Roman" w:hAnsi="Times New Roman"/>
          <w:sz w:val="18"/>
          <w:szCs w:val="18"/>
          <w:b w:val="1"/>
          <w:bCs w:val="1"/>
          <w:color w:val="auto"/>
        </w:rPr>
        <w:t>Debt-for-Equity Exchange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Subject to the sale of the Stock by the Selling Stockholders to the Underwriters in compliance with the terms of this Agreement, the Underwriters have agreed to sell to the Company, and the Company has agreed to herein to purchase from the Underwriters (the “</w:t>
      </w: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 an aggregate of 800,000 shares (the “</w:t>
      </w:r>
      <w:r>
        <w:rPr>
          <w:rFonts w:ascii="Times New Roman" w:cs="Times New Roman" w:eastAsia="Times New Roman" w:hAnsi="Times New Roman"/>
          <w:sz w:val="18"/>
          <w:szCs w:val="18"/>
          <w:b w:val="1"/>
          <w:bCs w:val="1"/>
          <w:color w:val="auto"/>
        </w:rPr>
        <w:t>Repurchase Shares</w:t>
      </w:r>
      <w:r>
        <w:rPr>
          <w:rFonts w:ascii="Times New Roman" w:cs="Times New Roman" w:eastAsia="Times New Roman" w:hAnsi="Times New Roman"/>
          <w:sz w:val="18"/>
          <w:szCs w:val="18"/>
          <w:color w:val="auto"/>
        </w:rPr>
        <w:t>”) pursuant to Section 3 of this Agreement.</w:t>
      </w:r>
    </w:p>
    <w:p>
      <w:pPr>
        <w:spacing w:after="0" w:line="17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S-3ASR (File No. 333-266656), including a prospectus, relating to the Stock. The registration statement as amended at the time it becomes effective, including the information (if any) deemed to be part of the registration statement at the time of effectiveness pursuant to Rule 430A under the Securities Act of 1933, as amended, and the rules and regulations of the Commission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base prospectus included in the Registration Statement, in the form in which it has most recently been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on or prior to the date of this Agreement is hereinafter referred to as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Any preliminary prospectus supplement in the form first used to confirm sales of Stock (or in the form made available to the Underwriters by the Company to meet requests of purchasers pursuant to Rule 173 under the Securities Act) relating to the Stock filed with the Commission pursuant to Rule 424(b) of the rules and regulations of the Commission under the Securities Act is hereinafter referred to as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various parts of the Initial Registration Statement, including all exhibits to the Initial Registration Statement and including all information contained in the form of final prospectus relating to the Stock filed with the Commission pursuant to Rule 424(b) under the Securities Act and deemed by virtue of Rule 430B under the Securities Act to be part of the Initial Registration Statement, each as amended at the time such part of the Initial Registration Statement became effective, are herein collectively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If the Company has filed an abbreviated registration statement with respect to the Stock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Registration Statement shall be deemed to include such Rule 462 Registration Statement. The final prospectus supplement, in the form first filed pursuant to Rule 424(b) under the Securities Act,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Any Preliminary Prospectus or the Prospectus shall be deemed to refer to and include any documents filed after the date of such Base Prospectus, Preliminary Prospectus or Prospectus, as the case may be,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incorporated therein;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prospectus contained in the Registration Statement.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and time as of which such registration statement, or the most recent post-effective amendment thereto, became effective, or is deemed to have become effective by the Commission, in accordance with the rules and regulations under the Securities Act.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“free writing prospectus”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Preliminary Prospectus together with the documents and pricing information set forth on Schedule IV and Schedule V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“broadly available road show” means a “bona fide electronic road show” as defined in Rule 433(h)(5) under the Securities Act that has been made available without restriction to any person. As used herein, the terms “Registration Statement,” “Base Prospectus,” “Preliminary Prospectus,” “Time of Sale Prospectus” and “Prospectus” shall include the documents, if any, incorporated by reference therein as of the date hereof. The terms “supplement,” “amendment” and “amend” as used herein with respect to the Registration Statement, the Base Prospectus, the Time of Sale Prospectus or the Prospectus shall include all documents subsequently filed by the Company with the Commission pursuant to the Exchange Act that are deemed to be incorporated by reference therein.</w:t>
      </w:r>
    </w:p>
    <w:p>
      <w:pPr>
        <w:spacing w:after="0" w:line="187" w:lineRule="exact"/>
        <w:rPr>
          <w:sz w:val="20"/>
          <w:szCs w:val="20"/>
          <w:color w:val="auto"/>
        </w:rPr>
      </w:pPr>
    </w:p>
    <w:p>
      <w:pPr>
        <w:ind w:right="300" w:firstLine="987"/>
        <w:spacing w:after="0" w:line="284" w:lineRule="auto"/>
        <w:tabs>
          <w:tab w:leader="none" w:pos="11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with each Underwriter,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Selling Stockholder and Post that:</w:t>
      </w:r>
    </w:p>
    <w:p>
      <w:pPr>
        <w:spacing w:after="0" w:line="52"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4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5:00 p.m. (Eastern time) on August 8, 2022. (i)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as of the Applicable Time, does not, and at the time of each sale of the Stock in connection with the offering when the Prospectus is not yet available to prospective purchasers and at the Delivery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as of the Applicable Time,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information contained in or omitted from the Registration Statement, the Time of Sale Prospectus or the Prospectus in reliance upon and in conformity with information relating to (i) any Underwriter, furnished to the Company in writing through the Representatives by or on behalf of any Underwriter specifically for inclusion therein, which information is limited to the information set forth in Section 9(f), (ii) each Selling Stockholder, furnished to the Company in writing by such Selling Stockholder specifically for inclusion therein, which information is limited to the legal name, and the number of shares of Stock offered by, such Selling Stockholder (with respect to each Selling Stockholder, such Selling Stockholder’s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or (iii) Post, furnished to the Company in writing by Post specifically for inclusion therein, which information is limited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 the row beginning with “Post Holdings, Inc.” in the table appearing under the caption “Selling Stockholders” in the Time of Sale Prospectus and the Prospectus (the “</w:t>
      </w:r>
      <w:r>
        <w:rPr>
          <w:rFonts w:ascii="Times New Roman" w:cs="Times New Roman" w:eastAsia="Times New Roman" w:hAnsi="Times New Roman"/>
          <w:sz w:val="18"/>
          <w:szCs w:val="18"/>
          <w:b w:val="1"/>
          <w:bCs w:val="1"/>
          <w:color w:val="auto"/>
        </w:rPr>
        <w:t>Post Information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left="-20" w:firstLine="436"/>
        <w:spacing w:after="0" w:line="253"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incorporated by reference in the Time of Sale Prospectus and the Prospectus, when they were filed with the Commission, conformed in all material respects to the applicable requirements of the Exchange Act and the rules and regulations of the Commission thereunder, and none of such documents contained an untrue statement of a material fact or omitted to state a material fact required to be stated therein or necessary to make the statements therein, in light of the circumstances under which they were made, not misleading; and any further documents so filed and incorporated by reference in the Prospectus or any further amendment or supplement thereto, when such documents are filed with the Commission, will conform, in all material respects, to the requirements of the Exchange Act and the rules and regulations of the Commission thereunder and will not contain an untrue statement of material fact or omit to state a material fact required to be stated therein or necessary to make the statements therein, in light of the circumstances under which they were made, not misleading. No documents were filed with the Commission since the Commission’s close of business on the business day immediately prior to the date of this Agreement and prior to the execution of this Agreement, except as set forth on Schedule V(b) hereto;</w:t>
      </w:r>
    </w:p>
    <w:p>
      <w:pPr>
        <w:spacing w:after="0" w:line="194"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V(a) hereto, and electronic road shows, if any, each furnished to you before first use, the Company has not prepared, used or referred to, and will not, without your prior consent, prepare, use or refer to, any free writing prospectus.</w:t>
      </w:r>
    </w:p>
    <w:p>
      <w:pPr>
        <w:spacing w:after="0" w:line="191"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(as defined below) has been duly incorporated or organized (as applicable), is validly existing and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individually or in the aggregate, reasonably be expected to have a material adverse effect on the condition (financial or otherwise), results of operations, stockholders’ equity, properties or business of the Company and the Subsidiaries,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Company and each of the Subsidiaries has all power and authority necessary to own or hold its properties and to conduct the businesses in which it is engaged. The Company does not own or control, directly or indirectly, any corporation, association or other entity other than the subsidiaries set forth on Schedule VI hereto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7" w:name="page8"/>
    <w:bookmarkEnd w:id="7"/>
    <w:p>
      <w:pPr>
        <w:ind w:right="140" w:firstLine="436"/>
        <w:spacing w:after="0" w:line="254" w:lineRule="auto"/>
        <w:tabs>
          <w:tab w:leader="none" w:pos="6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an authorized capitalization as set forth in the Time of Sale Prospectus and the Prospectus (except for subsequent issuances of capital stock, if any, pursuant to employee benefit plans described in each of the Time of Sale Prospectus and the Prospectus), and all of the issued shares of capital stock of the Company, as of the Delivery Date have been (or, in the case of the Stock, will be) duly authorized and validly issued, and are fully paid and non-assessable. All of the issued shares of capital stock of the Company and each of the Subsidiaries (as applicable) and the other ownership interests of each of the Subsidiaries (as applicable) have been duly authorized and validly issued, are fully paid and non-assessable and (except as set forth in each of the Time of Sale Prospectus and the Prospectus) and, in the case of such shares of capital stock or other ownership interests of each of the Subsidiaries, are owned directly or indirectly by such Subsidiaries, free and clear of all liens, encumbrances, equities or claims, except for (i) liens securing the Company’s senior secured credit facilities and (ii) such other liens, encumbrances, equities or claims as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Stock have been duly authorized and validly issued and are fully paid and non-assessable, and the shares of the Stock are not subject to any preemptive or similar rights. The shares of the Stock conform in all material respects to the description thereof in each of the Time of Sale Prospectus and the Prospectus.</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to which it is a party contemplated hereby and by the Registration Statement, the Time of Sale Prospectus and the Prospectus (including the Share Repurchase) will not (i) conflict with or result in a breach or violation of any of the terms or provisions of, impose any lien, charge or encumbrance upon any property or assets of any of the Company or the Subsidiaries, or constitute a default under, any indenture, mortgage, deed of trust, loan agreement, license, lease or other agreement or instrument to which any of the Company or the Subsidiaries is a party or by which any of the Company or the Subsidiaries is bound or to which any of the property or assets of any of the Company or the Subsidiaries is subject; (ii) result in any violation of the provisions of the charter or bylaws (or similar organizational documents) of any of the Company or the Subsidiaries; or (iii) result in any violation by the Company or the Subsidiaries of any statute or any judgment, order, decree, rule or regulation of any court or governmental agency or body having jurisdiction over any of the Company or the Subsidiaries or any of their properties or assets, except, with respect to clauses (i) and (iii), conflicts, breaches, violations, defaults, liens, charges or encumbrances that would not reasonably be expected to have a Material Adverse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left="4" w:right="60" w:firstLine="436"/>
        <w:spacing w:after="0" w:line="254" w:lineRule="auto"/>
        <w:tabs>
          <w:tab w:leader="none" w:pos="6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consent, approval, authorization or order of, or filing, registration or qualification with, any court or governmental agency or body having jurisdiction over any of the Company or the Subsidiaries or any of their respective properties or assets is required for the execution, delivery and performance by the Company of this Agreement, the issue of the Stock by the Company to Post and the consummation by the Company of the transactions to which it is a party contemplated hereby and by the Registration Statement, the Time of Sale Prospectus, except for such consents, approvals, authorizations, orders, filings, registrations or qualifications (w) as may be required under state securities or Blue Sky laws or foreign laws in connection with the purchase and distribution of the Stock by the Underwriters, (x) with respect to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(y) as may be required under the rules of The New York Stock Exchange or (z) as have been obtained or made and are in full force and effect.</w:t>
      </w:r>
    </w:p>
    <w:p>
      <w:pPr>
        <w:spacing w:after="0" w:line="191"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(including the related notes and supporting schedules) included or incorporated by reference in the Time of Sale Prospectus and Prospectus comply as to form in all material respects with the requirements of Regulation S-X under the Securities Act, present fairly the financial condition, results of operations and cash flows of the Company at the dates and for the periods indicated, and have been prepared in conformity with accounting principles generally accepted in the United States applied on a consistent basis throughout the periods involved. All disclosures included or incorporated by reference in the Registration Statement, the Time of Sale Prospectus and the Prospectus regarding “non-GAAP financial measures” (as such term is defined by the rules and regulations of Commission) comply in all material respects with Regulation G of the Exchange Act, and Item 10 of Regulation S-K of the Securities Act, to the extent applicable. The interactive data in eXtensible Business Reporting Language included or incorporated by reference in the Registration Statement, Time of Sale Prospectus and the Prospectus fairly presents the information called for in all material respects and has been prepared in accordance with the Commission’s rules and guidelines applicable thereto.</w:t>
      </w:r>
    </w:p>
    <w:p>
      <w:pPr>
        <w:spacing w:after="0" w:line="184" w:lineRule="exact"/>
        <w:rPr>
          <w:rFonts w:ascii="Times New Roman" w:cs="Times New Roman" w:eastAsia="Times New Roman" w:hAnsi="Times New Roman"/>
          <w:sz w:val="18"/>
          <w:szCs w:val="18"/>
          <w:color w:val="auto"/>
        </w:rPr>
      </w:pPr>
    </w:p>
    <w:p>
      <w:pPr>
        <w:ind w:left="4" w:firstLine="436"/>
        <w:spacing w:after="0" w:line="259" w:lineRule="auto"/>
        <w:tabs>
          <w:tab w:leader="none" w:pos="6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financial information included in the Registration Statement, Time of Sale Prospectus and the Prospectus (collectively, the “</w:t>
      </w:r>
      <w:r>
        <w:rPr>
          <w:rFonts w:ascii="Times New Roman" w:cs="Times New Roman" w:eastAsia="Times New Roman" w:hAnsi="Times New Roman"/>
          <w:sz w:val="18"/>
          <w:szCs w:val="18"/>
          <w:b w:val="1"/>
          <w:b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Forma Information</w:t>
      </w:r>
      <w:r>
        <w:rPr>
          <w:rFonts w:ascii="Times New Roman" w:cs="Times New Roman" w:eastAsia="Times New Roman" w:hAnsi="Times New Roman"/>
          <w:sz w:val="18"/>
          <w:szCs w:val="18"/>
          <w:color w:val="auto"/>
        </w:rPr>
        <w:t>”) include assumptions that provide a reasonable basis for presenting the significant effects directly attributable to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events described therein, the related pro forma adjustments give appropriate effect to those assumptions, and the pro forma adjustments reflect the proper application of those adjustments to the historical financial statement amounts in the Pro Forma Information. The Pro Forma Information complies as to form in all material respects with the applicable requirements of Rule 11-02 of Regulation S-X under the Securities Act.</w:t>
      </w:r>
    </w:p>
    <w:p>
      <w:pPr>
        <w:spacing w:after="0" w:line="183" w:lineRule="exact"/>
        <w:rPr>
          <w:rFonts w:ascii="Times New Roman" w:cs="Times New Roman" w:eastAsia="Times New Roman" w:hAnsi="Times New Roman"/>
          <w:sz w:val="18"/>
          <w:szCs w:val="18"/>
          <w:color w:val="auto"/>
        </w:rPr>
      </w:pPr>
    </w:p>
    <w:p>
      <w:pPr>
        <w:jc w:val="both"/>
        <w:ind w:left="4" w:right="140" w:firstLine="436"/>
        <w:spacing w:after="0" w:line="261" w:lineRule="auto"/>
        <w:tabs>
          <w:tab w:leader="none" w:pos="7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which has audited certain financial statements of the Company, whose reports appear or are incorporated by reference in the Time of Sale Prospectus and which has delivered the initial letter referred to in Section 8(f) hereof, are independent registered public accountants as required by the Securities Act and the rules and regulations thereunder and the rules and regulations of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maintain a system of internal accounting controls sufficient to provide reasonable assurances that</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 (ii) transactions are recorded as necessary (A) to permit preparation of the financial statements in conformity with generally accepted accounting principles or any other criteria applicable to such statements and (B) to maintain accountability for assets, (iii) access to the assets is permitted only in accordance with management’s general or specific authorization, (iv) the recorded accountability for assets is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 w:name="page10"/>
    <w:bookmarkEnd w:id="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 Except as described in the Time of Sale Prospectus and the Prospectus, since the end of the Company’s most recent audited fiscal year, (i) the Company has not been advised of or become aware of any material weakness in the Company’s internal control over financial reporting (whether or not remediated) and (ii) there has been no change in the Company’s internal control over financial reporting that has materially affected, or is reasonably likely to materially affect, the Company’s internal control over financial reporting.</w:t>
      </w:r>
    </w:p>
    <w:p>
      <w:pPr>
        <w:spacing w:after="0" w:line="189" w:lineRule="exact"/>
        <w:rPr>
          <w:sz w:val="20"/>
          <w:szCs w:val="20"/>
          <w:color w:val="auto"/>
        </w:rPr>
      </w:pPr>
    </w:p>
    <w:p>
      <w:pPr>
        <w:ind w:firstLine="436"/>
        <w:spacing w:after="0" w:line="258"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complies with the requirements of the Exchange Act; such disclosure controls and procedures have been designed to ensure that material information relating to the Company and the Subsidiaries is made known to the Company’s principal executive officer and principal financial officer by others within those entities; and to the Company’s knowledge, such disclosure controls and procedures are effective in all material respects to perform the functions for which they were established.</w:t>
      </w:r>
    </w:p>
    <w:p>
      <w:pPr>
        <w:spacing w:after="0" w:line="183"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balance sheet of the Company reviewed or audited by PricewaterhouseCoopers LLP, the Company has not been advised of or become aware of (A) any significant deficiencies not previously disclosed to the Company’s auditors and audit committee in the design or operation of internal controls that could adversely affect the ability of the Company or the Subsidiaries to record, process, summarize and report financial data, or any material weaknesses in internal controls or (B) any fraud, whether or not material, that involves management or other employees who have a significant role in the internal controls of the Company and each of the Subsidiaries.</w:t>
      </w:r>
    </w:p>
    <w:p>
      <w:pPr>
        <w:spacing w:after="0" w:line="183"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“Management’s Discussion and Analysis of Financial Condition and Results of Operations – Critical Accounting Estimates” set forth in the Company’s annual report on Form 10-K for the fiscal year ended September 30, 2021 incorporated by reference in the Time of Sale Prospectus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(ii) the judgments and uncertainties affecting the application of critical accounting policies; and (iii) the likelihood that materially different amounts would be reported under different conditions or using different assumptions and an explanation thereof, in each case to the extent required to be described in a registration statement filed under the Securities Act.</w:t>
      </w:r>
    </w:p>
    <w:p>
      <w:pPr>
        <w:spacing w:after="0" w:line="188" w:lineRule="exact"/>
        <w:rPr>
          <w:rFonts w:ascii="Times New Roman" w:cs="Times New Roman" w:eastAsia="Times New Roman" w:hAnsi="Times New Roman"/>
          <w:sz w:val="18"/>
          <w:szCs w:val="18"/>
          <w:color w:val="auto"/>
        </w:rPr>
      </w:pPr>
    </w:p>
    <w:p>
      <w:pPr>
        <w:ind w:right="380" w:firstLine="436"/>
        <w:spacing w:after="0" w:line="266"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in all material respects, with any provision of the Sarbanes-Oxley Act of 2002 and the rules and regulations promulgated in connection therewith, with which any of them are required to comply.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10" w:name="page11"/>
    <w:bookmarkEnd w:id="10"/>
    <w:p>
      <w:pPr>
        <w:ind w:left="4" w:firstLine="436"/>
        <w:spacing w:after="0" w:line="276" w:lineRule="auto"/>
        <w:tabs>
          <w:tab w:leader="none" w:pos="67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disclosed or incorporated by reference in the Time of Sale Prospectus and the Prospectus, since the date of the latest audited financial statements included or incorporated by reference in the Time of Sale Prospectus and the Prospectus, none of the Company or the Subsidiaries has</w:t>
      </w:r>
    </w:p>
    <w:p>
      <w:pPr>
        <w:ind w:left="4" w:hanging="4"/>
        <w:spacing w:after="0" w:line="251"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any loss or interference with its business from fire, explosion, flood or other calamity, whether or not covered by insurance, or from any labor disturbance or dispute or court or governmental action, order or decree, (ii) issued or granted any securities (other than as a result of the exercise, if any, of stock options or the award, if any, of stock options, restricted stock or other equity award in the ordinary course of business pursuant to the Company’s equity plans that are described in the Time of Sale Prospectus and the Prospectus),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capital stock, and, except as disclosed in the Time of Sale Prospectus and the Prospectus, since such date, there has not been any change in the capital stock or limited liability company interests, as applicable, or long-term debt of any of the Company or the Subsidiaries or any adverse change, or any development involving a prospective adverse change, in or affecting the condition (financial or otherwise), results of operations, stockholders’ equity, properties, management or business of the Company or the Subsidiaries taken as a whole, in each case except (a) as described in the Time of Sale Prospectus and the Prospectus or (b) as would not, individually or in the aggregate, reasonably be expected to have a Material Adverse Effect.</w:t>
      </w:r>
    </w:p>
    <w:p>
      <w:pPr>
        <w:spacing w:after="0" w:line="192"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5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good and marketable title to all real property and good and marketable title to all personal property owned by them, in each case, free and clear of all liens, encumbrances and defects, except (i) such liens, encumbrances and defects as are described in the Time of Sale Prospectus and the Prospectus, (ii) such as do not materially affect the value of such property and do not materially interfere with the use made and proposed to be made of such property by the Company and the Subsidiaries, (iii) liens securing the obligations under the Company’s senior secured credit facilities or (iv) such liens, encumbrances and defects as would not, individually or in the aggregate, reasonably be expected to have a Material Adverse Effect. All assets held under lease by the Company and the Subsidiaries are held by them under valid, subsisting and enforceable leases, with such exceptions as do not materially interfere with the use made and proposed to be made of such assets by the Company and the Subsidiaries.</w:t>
      </w:r>
    </w:p>
    <w:p>
      <w:pPr>
        <w:spacing w:after="0" w:line="191"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the Time of Sale Prospectus and the Prospectus, except for any of the foregoing that would not, individually or in the aggregate, reasonably be expected to have a Material Adverse Effect. The Company and the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the Subsidiaries has received notice of any revocation or modification of any such Permits or has any reason to believe that any such Permits will not be renewed in the ordinary course, except where such event would not reasonably be expected to have a Material Adverse Effect.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1" w:name="page12"/>
    <w:bookmarkEnd w:id="11"/>
    <w:p>
      <w:pPr>
        <w:ind w:right="60" w:firstLine="436"/>
        <w:spacing w:after="0" w:line="255"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Time of Sale Prospectus and the Prospectus, the Company and the Subsidiaries own or possess, or have applied for,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(except as would not, individually or in the aggregate, reasonably be expected to have a Material Adverse Effect), and the conduct of their respective businesses will not conflict with, and have not received any notice of any claim of conflict with, any such rights of others that would reasonably be expected to result, individually or in the aggregate, in a Material Adverse Effect.</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there are no legal or governmental proceedings pending to which any of the Company and the Subsidiaries are a party or of which any property or assets of the Company and the Subsidiaries are the subject that would, individually or in the aggregate, reasonably be expected to have a Material Adverse Effect or would, individually or in the aggregate, reasonably be expected to have a material adverse effect on the performance by the Company of this Agreement or the consummation of the transactions contemplated hereby; and to the Company’s knowledge, no such proceedings are threatened or contemplated by governmental authorities or others.</w:t>
      </w:r>
    </w:p>
    <w:p>
      <w:pPr>
        <w:spacing w:after="0" w:line="183"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documents required to be described in the Registration Statement, the Time of Sale Prospectus, or filed as exhibits to the Registration Statement, that are not described and filed as required. The statements made in the Time of Sale Prospectus, insofar as they purport to constitute summaries of the terms of the contracts and other documents that are so described and filed, constitute accurate summaries of the terms of such contracts and documents in all material respects. Neither the Company nor any of the Subsidiaries has received written notice that any other party to any such contract or other document has any intention not to render full performance as contemplated by the terms thereof except where such event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carry insurance, or are covered by insurance carried by other persons, from insurers of recognized financial responsibility in such amounts and covering such risks as is customary for companies engaged in similar businesses and in similar industries. All such policies of insurance are in full force and effect; the Company and the Subsidiaries are in compliance with the terms of such policies in all material respects; and none of the Company or the Subsidiaries has received notice from any insurer or agent of such insurer that capital improvements or other expenditures are required or necessary to be made in order to continue such insurance; there are no claims by the Company or the Subsidiaries under any such policy or instrument as to which any insurance company is denying liability or defending under a reservation of rights clause; and the Company does not have any reason to believe that any of the Company or the Subsidiaries will not continue to be insured under a renewal of their existing insurance coverage when such coverage expires or be able to obtain similar coverage from similar insurers, in each case other than as would not reasonably be expected to have a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jc w:val="both"/>
        <w:ind w:left="4" w:right="160" w:firstLine="436"/>
        <w:spacing w:after="0" w:line="261"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Time of Sale Prospectus and the Prospectus, no transaction, direct or indirect, that is required to be described in a registration statement of the Company pursuant to Item 404 of Regulation S-K exists between or among any of the Company and the Subsidiaries, on the one hand, and any related persons (as such term is defined in Item 404 of Regulation S-K), on the other hand, that is required to be described in the Time of Sale Prospectus which is not so described.</w:t>
      </w:r>
    </w:p>
    <w:p>
      <w:pPr>
        <w:spacing w:after="0" w:line="180" w:lineRule="exact"/>
        <w:rPr>
          <w:sz w:val="20"/>
          <w:szCs w:val="20"/>
          <w:color w:val="auto"/>
        </w:rPr>
      </w:pPr>
    </w:p>
    <w:p>
      <w:pPr>
        <w:ind w:left="4" w:firstLine="436"/>
        <w:spacing w:after="0" w:line="282" w:lineRule="auto"/>
        <w:tabs>
          <w:tab w:leader="none" w:pos="7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any of the Company or the Subsidiaries exists or, to the knowledge of the Company, is imminent that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7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4" w:right="40" w:firstLine="436"/>
        <w:spacing w:after="0" w:line="251" w:lineRule="auto"/>
        <w:tabs>
          <w:tab w:leader="none" w:pos="7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(i) are and, to the knowledge of the Company, in the five years immediately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or exposure to,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required by or issued pursuant to Environmental Laws to conduct their respective businesses in the manner described in the Time of Sale Prospectus and the Prospectus, and (ii) have not received written notice or do not otherwise have knowledge (I) of any actual or alleged violation of Environmental Laws, or (II) of any actual or potential liability for the presence, disposal or release of hazardous or toxic substances or wastes, pollutants or contaminants, except (A) in the case of clause (i) or (ii) where such non-compliance, violation or liability would not, individually or in the aggregate, reasonably be expected to have a Material Adverse Effect or (B) as described in the Time of Sale Prospectus and the Prospectus. Except as described in the Time of Sale Prospectus and the Prospectus, (x) there are no proceedings that are pending or, to the knowledge of the Company, threatened (in writing or known by an officer of the Company to be threatened), or contemplated against the Company and the Subsidiaries under Environmental Laws in which a governmental authority is also a party, other than such proceedings regarding which it is reasonably believed no monetary sanctions of $300,000 or more will be imposed, and</w:t>
      </w:r>
    </w:p>
    <w:p>
      <w:pPr>
        <w:spacing w:after="0" w:line="11" w:lineRule="exact"/>
        <w:rPr>
          <w:rFonts w:ascii="Times New Roman" w:cs="Times New Roman" w:eastAsia="Times New Roman" w:hAnsi="Times New Roman"/>
          <w:sz w:val="18"/>
          <w:szCs w:val="18"/>
          <w:color w:val="auto"/>
        </w:rPr>
      </w:pPr>
    </w:p>
    <w:p>
      <w:pPr>
        <w:ind w:left="4" w:right="140" w:hanging="4"/>
        <w:spacing w:after="0" w:line="255"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liabilities under Environmental Laws or concerning hazardous or toxic substances or wastes, pollutants or contaminants, that could reasonably be expected to have a material effect on the capital expenditures, earnings or competitive position of the Company or its subsidiaries.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 w:name="page14"/>
    <w:bookmarkEnd w:id="13"/>
    <w:p>
      <w:pPr>
        <w:ind w:left="4" w:firstLine="436"/>
        <w:spacing w:after="0" w:line="258" w:lineRule="auto"/>
        <w:tabs>
          <w:tab w:leader="none" w:pos="7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and the Subsidiaries has filed all federal, state, local and foreign tax returns required to be filed through the date hereof, subject to permitted extensions, and have paid all taxes due, in each case except as would not, individually or in the aggregate, reasonably be expected to have a Material Adverse Effect. No tax deficiency has been determined adversely to any of the Company or the Subsidiaries, nor does the Company have any knowledge of any tax deficiencies that have been, or would reasonably be expected to be asserted against any of the Company or the Subsidiaries, in each case that would, individually or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“employee benefit plan” (within the meaning of Section 3(3) of the Employee Retirement Security Act of 1974, as amended</w:t>
      </w:r>
    </w:p>
    <w:p>
      <w:pPr>
        <w:spacing w:after="0" w:line="27" w:lineRule="exact"/>
        <w:rPr>
          <w:sz w:val="20"/>
          <w:szCs w:val="20"/>
          <w:color w:val="auto"/>
        </w:rPr>
      </w:pPr>
    </w:p>
    <w:p>
      <w:pPr>
        <w:ind w:left="4"/>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its “</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in all material respects with its terms and with the requirements of all applicable statutes, rules and regulations including ERISA and the Code; (ii) to the knowledge of the Company, no prohibited transaction, within the meaning of Section 406 of ERISA or Section 4975 of the Code, has occurred with respect to any Plan excluding (A) transactions effected pursuant to a statutory or administrative exemption or (B) transactions that did not result in a material excise tax or transactions that result in a fiduciary violation that can be corrected; (iii) with respect to each Plan subject to Title IV of ERISA (A) no material “reportable event” (within the meaning of Section 4043(c) of ERISA) has occurred or is reasonably expected to occur, (B) there has been no failure to satisfy the minimum funding standard of Sections 302 and 303 of ERISA or Sections 412 and 430 of the Code (whether or not waived in accordance with Section 412(c) of the Code or Section 302(c) of ERISA) and no failure to make by its due date (which failure has not been corrected without material liability) a required installment under Section 430(j) of the Code with respect to any Plan or the failure to make any required contribution to a “multiemployer plan” within the meaning of Section 4001(c)(3) of ERISA (“</w:t>
      </w:r>
      <w:r>
        <w:rPr>
          <w:rFonts w:ascii="Times New Roman" w:cs="Times New Roman" w:eastAsia="Times New Roman" w:hAnsi="Times New Roman"/>
          <w:sz w:val="18"/>
          <w:szCs w:val="18"/>
          <w:b w:val="1"/>
          <w:bCs w:val="1"/>
          <w:color w:val="auto"/>
        </w:rPr>
        <w:t>Multiemployer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 as of the end of the most recent plan year for which a final valuation is available, the present value of the aggregate benefit liabilities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Plan (determined as of the end of the most recent plan year on the basis of the actuarial assumptions specified for funding purposes in the most recent actuarial valuation for such Plan) did not exceed the aggregate current fair market value of the assets of such Plan by more than $5.0 million,</w:t>
      </w:r>
    </w:p>
    <w:p>
      <w:pPr>
        <w:spacing w:after="0" w:line="5" w:lineRule="exact"/>
        <w:rPr>
          <w:sz w:val="20"/>
          <w:szCs w:val="20"/>
          <w:color w:val="auto"/>
        </w:rPr>
      </w:pPr>
    </w:p>
    <w:p>
      <w:pPr>
        <w:ind w:left="4" w:right="100" w:hanging="4"/>
        <w:spacing w:after="0" w:line="252" w:lineRule="auto"/>
        <w:tabs>
          <w:tab w:leader="none" w:pos="2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member of its Controlled Group has incurred, or reasonably expects to incur, any material liability under Title IV of ERISA (other than contributions to the Plan or premiums to the Pension Benefit Guaranty Corporation in the ordinary course and without default) in respect of a Plan (including a Multiemployer Plan); and (iv) each Plan intended to be a qualified plan under Section 401(a) of the Code has received a favorable determination letter or opinion/advisory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with respect to any Plan intended to be qualified under Section 401(a) of the Code, the Company intends to timely submit an application for such a letter and nothing has occurred that would prevent or cause the loss of such tax-qualified status.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firstLine="436"/>
        <w:spacing w:after="0" w:line="258" w:lineRule="auto"/>
        <w:tabs>
          <w:tab w:leader="none" w:pos="7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(i) as described in the Time of Sale Prospectus and the Prospectus, (ii) as provided in the Company’s senior secured credit facilities and senior notes due 2032 and (iii) where such restrictions would not reasonably be expected to have a Material Adverse Effect, no Subsidiary will be prohibited, directly or indirectly, from paying any dividends or distributions to the Company, from making any other distribution on such Subsidiary’s equity, from repaying to the Company any loans or advances from the Company or from transferring any property or assets to the Company or any other Subsidiary.</w:t>
      </w:r>
    </w:p>
    <w:p>
      <w:pPr>
        <w:spacing w:after="0" w:line="183" w:lineRule="exact"/>
        <w:rPr>
          <w:rFonts w:ascii="Times New Roman" w:cs="Times New Roman" w:eastAsia="Times New Roman" w:hAnsi="Times New Roman"/>
          <w:sz w:val="18"/>
          <w:szCs w:val="18"/>
          <w:color w:val="auto"/>
        </w:rPr>
      </w:pPr>
    </w:p>
    <w:p>
      <w:pPr>
        <w:ind w:right="260" w:firstLine="436"/>
        <w:spacing w:after="0" w:line="266"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or incorporated by reference in the Time of Sale Prospectus and the Prospectus and the financial statements of the Company included or incorporated by reference in the Time of Sale Prospectus and the Prospectus are based on or derived from sources that the Company believes to be reliable in all material respects.</w:t>
      </w:r>
    </w:p>
    <w:p>
      <w:pPr>
        <w:spacing w:after="0" w:line="175" w:lineRule="exact"/>
        <w:rPr>
          <w:rFonts w:ascii="Times New Roman" w:cs="Times New Roman" w:eastAsia="Times New Roman" w:hAnsi="Times New Roman"/>
          <w:sz w:val="18"/>
          <w:szCs w:val="18"/>
          <w:color w:val="auto"/>
        </w:rPr>
      </w:pPr>
    </w:p>
    <w:p>
      <w:pPr>
        <w:ind w:right="440" w:firstLine="436"/>
        <w:spacing w:after="0" w:line="266"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Share Repurchase as herein contemplated will not be, an “investment company” or a company “controlled” by an “investment company” within the meaning of the Investment Company Act of 1940, as amended, and the rules and regulations of the Commission thereunder.</w:t>
      </w:r>
    </w:p>
    <w:p>
      <w:pPr>
        <w:spacing w:after="0" w:line="175" w:lineRule="exact"/>
        <w:rPr>
          <w:rFonts w:ascii="Times New Roman" w:cs="Times New Roman" w:eastAsia="Times New Roman" w:hAnsi="Times New Roman"/>
          <w:sz w:val="18"/>
          <w:szCs w:val="18"/>
          <w:color w:val="auto"/>
        </w:rPr>
      </w:pPr>
    </w:p>
    <w:p>
      <w:pPr>
        <w:ind w:firstLine="436"/>
        <w:spacing w:after="0" w:line="255"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of the Time of Sale Prospectus and the Prospectus under the caption “Description of Capital Stock” insofar as they purport to constitute a summary of the terms of the Stock, and under the captions “Certain United States Federal Income Tax Consequences to Non-U.S. Holders” and “Underwriting (Conflicts of Interest),” insofar as they purport to summarize the provisions of the laws and documents referred to therein, are accurate summaries of such terms and provisions in all material respects; provided that no representation or warranty is made as to information contained in or omitted from the Time of Sale Prospectus and the Prospectus in reliance upon and in conformity with written information furnished to the Company through the Representatives by or on behalf of any Underwriter specifically for inclusion therein, which information is limited to the information set forth in Section 9(f).</w:t>
      </w:r>
    </w:p>
    <w:p>
      <w:pPr>
        <w:spacing w:after="0" w:line="188" w:lineRule="exact"/>
        <w:rPr>
          <w:rFonts w:ascii="Times New Roman" w:cs="Times New Roman" w:eastAsia="Times New Roman" w:hAnsi="Times New Roman"/>
          <w:sz w:val="18"/>
          <w:szCs w:val="18"/>
          <w:color w:val="auto"/>
        </w:rPr>
      </w:pPr>
    </w:p>
    <w:p>
      <w:pPr>
        <w:ind w:right="140" w:firstLine="436"/>
        <w:spacing w:after="0" w:line="258"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83"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contract, agreement or understanding with any person (other than this Agreement) that could give rise to a valid claim against any of them or the Underwriters for a brokerage commission, finder’s fee or like payment in connection with the offering and sale of the Stock.</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Stock (it being understood that the Company makes no representation with respect to any action taken by any Underwriter or their affiliates).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firstLine="436"/>
        <w:spacing w:after="0" w:line="261" w:lineRule="auto"/>
        <w:tabs>
          <w:tab w:leader="none" w:pos="8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distributed and, prior to the later to occur of the Delivery Date and completion of the distribution of the Stock, will not distribute any offering material in connection with the offering and sale of the Stock other than any Time of Sale Prospectus, the Prospectus, any free writing prospectus to which the Representatives have consented in accordance with Section 6(a)(vi) and any free writing prospectus set forth on Schedule V(a) hereto.</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nor any of the Subsidiaries, or any director or officer thereof, nor to the knowledge of the Company, any agent, employee, affiliate or other person associated with or acting on behalf of any of the Company or the Subsidiaries, (i) has taken or will take any action in furtherance of an offer, payment, promise to pay, or authorization or approval of the payment, giving or receipt of money, property, gift, other unlawful expense relating to political activity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has violated applicable anti-bribery and anti-corruption laws, including the Foreign Corrupt Practices Act of 1977, and the Company and the Subsidiaries have instituted and maintained and will continue to maintain policies and procedures reasonably designed to promote and achieve compliance with such laws and with the representations and warranties contained herein; or (iii) has made, offered or agreed to any bribe, rebate, payoff, influence payment, kickback or other unlawful payment or benefit.</w:t>
      </w:r>
    </w:p>
    <w:p>
      <w:pPr>
        <w:spacing w:after="0" w:line="194" w:lineRule="exact"/>
        <w:rPr>
          <w:rFonts w:ascii="Times New Roman" w:cs="Times New Roman" w:eastAsia="Times New Roman" w:hAnsi="Times New Roman"/>
          <w:sz w:val="18"/>
          <w:szCs w:val="18"/>
          <w:color w:val="auto"/>
        </w:rPr>
      </w:pPr>
    </w:p>
    <w:p>
      <w:pPr>
        <w:ind w:right="80" w:firstLine="436"/>
        <w:spacing w:after="0" w:line="254"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the Subsidiaries are and have been conducted at all times in compliance in all material respects with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the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or regulatory agency, authority or body or any arbitrator involving any of the Company or the Subsidiaries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ind w:right="120" w:firstLine="436"/>
        <w:spacing w:after="0" w:line="255"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Subsidiaries, or any director or officer thereof, nor, to the knowledge of the Company, any agent, employee or affiliate of any of the Company or the Subsidiaries, is currently the subject or the target of any sanctions administered or enforced by the U.S. government (including the Office of Foreign Assets Control of the U.S. Treasury Department or the U.S. Department of State),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the Subsidiaries located, organized or resident in a country or territory that is the subject or the target of Sanctions (currently the Crimea Region of Ukraine, the so-called Donetsk People’s Republic, the so-called Luhansk People’s Republic, Cuba, Iran, North Korea and Syria); and the Company will not directly or indirectly lend, contribute or otherwise make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the proceeds of the offering to any subsidiary, joint venture partner or other person or entity (i) to fund or facilitate any activities of or business with any person, or in any country or territory, that, at the time of such funding or facilitation, is the subject of Sanctions or (ii) in any other manner that will result in a violation by any person (including any person participating in the transaction, whether as underwriter, advisor, investor or otherwise) of Sanctions. For the past five years, the Company and the Subsidiaries have not knowingly engaged in, and are not now knowingly engaged in, any dealings or transactions with any person that at the time of the dealing or transaction is or was the subject or the target of Sanctions or with any country or territory that is the subject or target of Sanctions.</w:t>
      </w:r>
    </w:p>
    <w:p>
      <w:pPr>
        <w:spacing w:after="0" w:line="187" w:lineRule="exact"/>
        <w:rPr>
          <w:sz w:val="20"/>
          <w:szCs w:val="20"/>
          <w:color w:val="auto"/>
        </w:rPr>
      </w:pPr>
    </w:p>
    <w:p>
      <w:pPr>
        <w:jc w:val="both"/>
        <w:ind w:left="4" w:right="120" w:firstLine="436"/>
        <w:spacing w:after="0" w:line="312" w:lineRule="auto"/>
        <w:tabs>
          <w:tab w:leader="none" w:pos="78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forward-looking statement (within the meaning of Section 27A of the Securities Act and Section 21E of the Exchange Act) contained in the Time of Sale Prospectus and the Prospectus has been made or reaffirmed without a reasonable basis or has been disclosed other than in good faith.</w:t>
      </w:r>
    </w:p>
    <w:p>
      <w:pPr>
        <w:spacing w:after="0" w:line="139" w:lineRule="exact"/>
        <w:rPr>
          <w:rFonts w:ascii="Times New Roman" w:cs="Times New Roman" w:eastAsia="Times New Roman" w:hAnsi="Times New Roman"/>
          <w:sz w:val="17"/>
          <w:szCs w:val="17"/>
          <w:color w:val="auto"/>
        </w:rPr>
      </w:pPr>
    </w:p>
    <w:p>
      <w:pPr>
        <w:ind w:left="724" w:hanging="284"/>
        <w:spacing w:after="0"/>
        <w:tabs>
          <w:tab w:leader="none" w:pos="7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7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affiliates (i) has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authorized anyone other than the Representatives to engage in Testing-the-Waters Communications.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Rule 163B of the Securities Act.</w:t>
      </w:r>
    </w:p>
    <w:p>
      <w:pPr>
        <w:spacing w:after="0" w:line="183"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70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There has been no material security breach or incident, unauthorized access or disclosure, or other compromise of or relating to the information technology and computer systems, networks, hardware, software, data (including personal data) or databases (including the data and information of customers, employees, suppliers, vendors and any third-party data maintained, processed or stored by the Company and the Subsidiaries, and any such data processed or stored by third parties on behalf of the Company and the Subsidiaries), equipment or technology, in each case used or held for use in the business of the Company or the Subsidiaries (each of the foregoing items, and all such items collectively, “</w:t>
      </w:r>
      <w:r>
        <w:rPr>
          <w:rFonts w:ascii="Times New Roman" w:cs="Times New Roman" w:eastAsia="Times New Roman" w:hAnsi="Times New Roman"/>
          <w:sz w:val="17"/>
          <w:szCs w:val="17"/>
          <w:b w:val="1"/>
          <w:bCs w:val="1"/>
          <w:color w:val="auto"/>
        </w:rPr>
        <w:t>IT Systems and Data</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the Subsidiaries have been notified of, and have no knowledge of any material event or condition that would result in, any material security breach or incident, unauthorized access or disclosure or other compromise to their IT Systems and Data; (iii) the IT Systems and Data used by the Company and the Subsidiaries are sufficient for, and operate and perform in all material respects as required by, the operation of the businesses of the Company and the Subsidiaries as now conducted and as proposed in the Registration Statement, Time of Sale Prospectus and the Prospectus to be conducted; and (iv) the Company and the Subsidiaries have implemented appropriate controls, policies, procedures, and technological safeguards to maintain and protect the integrity, continuous operation, redundancy and security of their IT Systems and Data reasonably consistent with industry standards and practices. Except as would not, singly or in the aggregate, reasonably be expected to have a Material Adverse Effect, the Company and the Subsidiaries have operated and currently operate their businesses in compliance, and maintain appropriate information security policies and procedures designed to ensure such compliance, with</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17" w:name="page18"/>
    <w:bookmarkEnd w:id="17"/>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(collectively, “</w:t>
      </w:r>
      <w:r>
        <w:rPr>
          <w:rFonts w:ascii="Times New Roman" w:cs="Times New Roman" w:eastAsia="Times New Roman" w:hAnsi="Times New Roman"/>
          <w:sz w:val="18"/>
          <w:szCs w:val="18"/>
          <w:b w:val="1"/>
          <w:bCs w:val="1"/>
          <w:color w:val="auto"/>
        </w:rPr>
        <w:t>Privacy and Security Obligations</w:t>
      </w:r>
      <w:r>
        <w:rPr>
          <w:rFonts w:ascii="Times New Roman" w:cs="Times New Roman" w:eastAsia="Times New Roman" w:hAnsi="Times New Roman"/>
          <w:sz w:val="18"/>
          <w:szCs w:val="18"/>
          <w:color w:val="auto"/>
        </w:rPr>
        <w:t>”). The Company and the Subsidiaries use commercially reasonable efforts to ensure that all third parties permitted to access any IT Systems and Data on their behalf, or to whom they have provided confidential data or any data that constitutes IT Systems and Data, maintain the confidentiality, privacy and security of such IT Systems and Data and comply with applicable Privacy and Security Obligations.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(uu) [Reserved].</w:t>
      </w:r>
    </w:p>
    <w:p>
      <w:pPr>
        <w:spacing w:after="0" w:line="225"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Representatives or counsel for the Underwriters in connection with the offering of the Stock shall be deemed a representation and warranty made in the name and on behalf of the Company and not in such officer’s individual capacity, jointly and severally, as to matters covered thereby, to each Underwriter.</w:t>
      </w:r>
    </w:p>
    <w:p>
      <w:pPr>
        <w:spacing w:after="0" w:line="174" w:lineRule="exact"/>
        <w:rPr>
          <w:sz w:val="20"/>
          <w:szCs w:val="20"/>
          <w:color w:val="auto"/>
        </w:rPr>
      </w:pPr>
    </w:p>
    <w:p>
      <w:pPr>
        <w:ind w:left="1164" w:hanging="173"/>
        <w:spacing w:after="0"/>
        <w:tabs>
          <w:tab w:leader="none" w:pos="11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Selling Stockholders and Post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right="340" w:hanging="424"/>
        <w:spacing w:after="0" w:line="284"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Stockholders. </w:t>
      </w:r>
      <w:r>
        <w:rPr>
          <w:rFonts w:ascii="Times New Roman" w:cs="Times New Roman" w:eastAsia="Times New Roman" w:hAnsi="Times New Roman"/>
          <w:sz w:val="18"/>
          <w:szCs w:val="18"/>
          <w:color w:val="auto"/>
        </w:rPr>
        <w:t>Each of the Selling Stockholders, severally and not jointly and solely in its capacity as a Selling Stockholder, represents,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and agrees with each of the Underwriters that:</w:t>
      </w:r>
    </w:p>
    <w:p>
      <w:pPr>
        <w:spacing w:after="0" w:line="52" w:lineRule="exact"/>
        <w:rPr>
          <w:rFonts w:ascii="Times New Roman" w:cs="Times New Roman" w:eastAsia="Times New Roman" w:hAnsi="Times New Roman"/>
          <w:sz w:val="18"/>
          <w:szCs w:val="18"/>
          <w:color w:val="auto"/>
        </w:rPr>
      </w:pPr>
    </w:p>
    <w:p>
      <w:pPr>
        <w:ind w:left="444" w:hanging="4"/>
        <w:spacing w:after="0" w:line="253"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Selling Stockholder of this Agreement, the sale of the Stock by such Selling Stockholder hereunder and the consummation by such Selling Stockholder of the transactions to which it is a party contemplated hereby and by the Registration Statement, Time of Sale Prospectus and Prospectus, will not (i) conflict with or result in a breach or violation of any of the terms or provisions of, impose any lien, charge or encumbrance upon any property or assets of such Selling Stockholder pursuant to, or constitute a default under, any indenture, mortgage, deed of trust, loan agreement, license, lease or other agreement or instrument to which such Selling Stockholder is a party or by which such Selling Stockholder is bound or to which any of the property or assets of any of such Selling Stockholder is subject;</w:t>
      </w:r>
    </w:p>
    <w:p>
      <w:pPr>
        <w:spacing w:after="0" w:line="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the provisions of the charter or bylaws (or similar organizational documents) of such Selling Stockholder; or</w:t>
      </w:r>
    </w:p>
    <w:p>
      <w:pPr>
        <w:spacing w:after="0" w:line="9" w:lineRule="exact"/>
        <w:rPr>
          <w:rFonts w:ascii="Times New Roman" w:cs="Times New Roman" w:eastAsia="Times New Roman" w:hAnsi="Times New Roman"/>
          <w:sz w:val="18"/>
          <w:szCs w:val="18"/>
          <w:color w:val="auto"/>
        </w:rPr>
      </w:pPr>
    </w:p>
    <w:p>
      <w:pPr>
        <w:ind w:left="444" w:right="200" w:hanging="4"/>
        <w:spacing w:after="0" w:line="265" w:lineRule="auto"/>
        <w:tabs>
          <w:tab w:leader="none" w:pos="75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any violation by such Selling Stockholder of any statute or any judgment, order, decree, rule or regulation of any court or governmental agency or body having jurisdiction over such Selling Stockholder or any of its properties or assets, except, with respect to clauses</w:t>
      </w:r>
    </w:p>
    <w:p>
      <w:pPr>
        <w:ind w:left="444" w:right="420" w:hanging="4"/>
        <w:spacing w:after="0" w:line="260"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conflicts, breaches, violations, defaults, liens, charges or encumbrances that would not reasonably be expected to have a material adverse effect on the ability of such Selling Stockholder to consummate the transactions contemplated herein.</w:t>
      </w:r>
    </w:p>
    <w:p>
      <w:pPr>
        <w:spacing w:after="0" w:line="73" w:lineRule="exact"/>
        <w:rPr>
          <w:rFonts w:ascii="Times New Roman" w:cs="Times New Roman" w:eastAsia="Times New Roman" w:hAnsi="Times New Roman"/>
          <w:sz w:val="18"/>
          <w:szCs w:val="18"/>
          <w:color w:val="auto"/>
        </w:rPr>
      </w:pPr>
    </w:p>
    <w:p>
      <w:pPr>
        <w:ind w:left="444" w:right="140" w:hanging="4"/>
        <w:spacing w:after="0" w:line="282"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such Selling Stockholder or any of its properties or assets is required for the execution, delivery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8" w:name="page19"/>
    <w:bookmarkEnd w:id="18"/>
    <w:p>
      <w:pPr>
        <w:ind w:left="44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performance by such Selling Stockholder of this Agreement, the sale of the Stock by such Selling Stockholder hereunder and the consummation by such Selling Stockholder of the transactions to which it is a party contemplated hereby and by the Registration Statement, Time of Sale Prospectus and Prospectus, except for such consents, approvals, authorizations, orders, filings, registrations or qualifications (w) as may be required under state securities or Blue Sky laws or foreign laws in connection with the purchase and distribution of the Stock by the Underwriters,</w:t>
      </w:r>
    </w:p>
    <w:p>
      <w:pPr>
        <w:spacing w:after="0" w:line="3" w:lineRule="exact"/>
        <w:rPr>
          <w:sz w:val="20"/>
          <w:szCs w:val="20"/>
          <w:color w:val="auto"/>
        </w:rPr>
      </w:pPr>
    </w:p>
    <w:p>
      <w:pPr>
        <w:ind w:left="444" w:right="60" w:hanging="4"/>
        <w:spacing w:after="0" w:line="260" w:lineRule="auto"/>
        <w:tabs>
          <w:tab w:leader="none" w:pos="6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FINRA, (y) as may be required under the rules of The New York Stock Exchange or (z) as have been obtained or made and are in full force and effect.</w:t>
      </w:r>
    </w:p>
    <w:p>
      <w:pPr>
        <w:spacing w:after="0" w:line="73" w:lineRule="exact"/>
        <w:rPr>
          <w:sz w:val="20"/>
          <w:szCs w:val="20"/>
          <w:color w:val="auto"/>
        </w:rPr>
      </w:pPr>
    </w:p>
    <w:p>
      <w:pPr>
        <w:ind w:left="444" w:hanging="4"/>
        <w:spacing w:after="0" w:line="258"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Debt-for-Equity Exchange is consummated, such Selling Stockholder will have, immediately prior to the Delivery Date, good and valid title to, or a valid “security entitlement” within the meaning of Section 8-501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in respect of, the Stock to be sold by such Selling Stockholder hereunder at the Delivery Date, free and clear of all liens, encumbrances, equities or claims and, upon book-entry transfer of such Stock and payment therefor pursuant hereto, good and valid title to such Stock, free and clear of all liens, encumbrances, equities or claims, will pass to the several Underwriters.</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or on behalf of such Selling Stockholder.</w:t>
      </w:r>
    </w:p>
    <w:p>
      <w:pPr>
        <w:spacing w:after="0" w:line="117" w:lineRule="exact"/>
        <w:rPr>
          <w:rFonts w:ascii="Times New Roman" w:cs="Times New Roman" w:eastAsia="Times New Roman" w:hAnsi="Times New Roman"/>
          <w:sz w:val="18"/>
          <w:szCs w:val="18"/>
          <w:color w:val="auto"/>
        </w:rPr>
      </w:pPr>
    </w:p>
    <w:p>
      <w:pPr>
        <w:ind w:left="444" w:right="180" w:hanging="4"/>
        <w:spacing w:after="0" w:line="266"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except in its capacity as an Underwriter,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Stock.</w:t>
      </w:r>
    </w:p>
    <w:p>
      <w:pPr>
        <w:spacing w:after="0" w:line="67" w:lineRule="exact"/>
        <w:rPr>
          <w:rFonts w:ascii="Times New Roman" w:cs="Times New Roman" w:eastAsia="Times New Roman" w:hAnsi="Times New Roman"/>
          <w:sz w:val="18"/>
          <w:szCs w:val="18"/>
          <w:color w:val="auto"/>
        </w:rPr>
      </w:pPr>
    </w:p>
    <w:p>
      <w:pPr>
        <w:ind w:left="444" w:right="80" w:hanging="4"/>
        <w:spacing w:after="0" w:line="258" w:lineRule="auto"/>
        <w:tabs>
          <w:tab w:leader="none" w:pos="66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Stockholder’s Selling Stockholder Information in the Registration Statement, Time of Sale Prospectus and Prospectus at the Applicable Time is, and on the Delivery Date will be, true, correct and complete in all material respects and did not, as of the Applicable Time, and as of the Delivery Date, will not, contain any untrue statement of a material fact or omit to state a material fact necessary in order to make the statements therein, in the case of the Time of Sale Prospectus and the Prospectus, in the light of the circumstances under which they were made, not misleading.</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2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 </w:t>
      </w:r>
      <w:r>
        <w:rPr>
          <w:rFonts w:ascii="Times New Roman" w:cs="Times New Roman" w:eastAsia="Times New Roman" w:hAnsi="Times New Roman"/>
          <w:sz w:val="18"/>
          <w:szCs w:val="18"/>
          <w:color w:val="auto"/>
        </w:rPr>
        <w:t>Post represents, warrants and agrees with each Underwriter, each Selling Stockholder and the Company that:</w:t>
      </w:r>
    </w:p>
    <w:p>
      <w:pPr>
        <w:spacing w:after="0" w:line="119" w:lineRule="exact"/>
        <w:rPr>
          <w:rFonts w:ascii="Times New Roman" w:cs="Times New Roman" w:eastAsia="Times New Roman" w:hAnsi="Times New Roman"/>
          <w:sz w:val="18"/>
          <w:szCs w:val="18"/>
          <w:color w:val="auto"/>
        </w:rPr>
      </w:pPr>
    </w:p>
    <w:p>
      <w:pPr>
        <w:ind w:left="444" w:right="20" w:hanging="4"/>
        <w:spacing w:after="0" w:line="261"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Post of this Agreement, the exchange of the Stock by Post pursuant to the Debt-for-Equity Exchange and the consummation by Post of the transactions to which it is a party contemplated hereby and by the Registration Statement, Time of Sale Prospectus and Prospectus, will not (i) conflict with or result in a breach or violation of any of the terms or provisions of, impose any lien, charge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9" w:name="page20"/>
    <w:bookmarkEnd w:id="19"/>
    <w:p>
      <w:pPr>
        <w:jc w:val="both"/>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encumbrance upon any property or assets of Post pursuant to, or constitute a default under, any indenture, mortgage, deed of trust, loan agreement, license, lease or other agreement or instrument to which Post is a party or by which Post is bound or to which any of the property or assets of Post is subject; (ii) result in any violation of the provisions of the charter or bylaws (or similar organizational documents) of Post; or (iii) assuming the accuracy of the Company’s representations and warranties in Section 1 and the Selling Stockholders’ representations and warranties in</w:t>
      </w:r>
    </w:p>
    <w:p>
      <w:pPr>
        <w:spacing w:after="0" w:line="3"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Section 2(1), and compliance with their agreements contained therein, result in any violation by Post of any statute or any judgment, order, decree, rule or regulation of any court or governmental agency or body having jurisdiction over Post or any of its properties or assets, except, with respect to clauses (i) and (iii), conflicts, breaches, violations, defaults, liens, charges or encumbrances that would not reasonably be expected to have a material adverse effect on the ability of Post to consummate the transactions contemplated herein.</w:t>
      </w:r>
    </w:p>
    <w:p>
      <w:pPr>
        <w:spacing w:after="0" w:line="81" w:lineRule="exact"/>
        <w:rPr>
          <w:sz w:val="20"/>
          <w:szCs w:val="20"/>
          <w:color w:val="auto"/>
        </w:rPr>
      </w:pPr>
    </w:p>
    <w:p>
      <w:pPr>
        <w:ind w:left="4" w:hanging="4"/>
        <w:spacing w:after="0" w:line="268" w:lineRule="auto"/>
        <w:tabs>
          <w:tab w:leader="none" w:pos="25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accuracy of the Company’s representations and warranties in Section 1 and the Selling Stockholders’ representations and warranties in Section 2(1), and compliance with their agreements contained therein, no consent, approval, authorization or order of, or filing, registration or qualification with, any court or governmental agency or body having jurisdiction over Post or any of its properties or assets is required for the execution, delivery and performance by Post of this Agreement, the exchange of the Stock by Post pursuant to the Debt-for-Equity Exchange and the consummation by Post of the transactions contemplated hereby and by the Registration Statement, Time of Sale Prospectus and Prospectus to which it is a party, except for such consents, approvals, authorizations, orders, filings, registrations or qualifications (w) as may be required under state securities or Blue Sky laws or foreign laws in connection with the purchase and distribution of the Stock by the Underwriters,</w:t>
      </w:r>
    </w:p>
    <w:p>
      <w:pPr>
        <w:spacing w:after="0" w:line="2" w:lineRule="exact"/>
        <w:rPr>
          <w:rFonts w:ascii="Times New Roman" w:cs="Times New Roman" w:eastAsia="Times New Roman" w:hAnsi="Times New Roman"/>
          <w:sz w:val="17"/>
          <w:szCs w:val="17"/>
          <w:color w:val="auto"/>
        </w:rPr>
      </w:pPr>
    </w:p>
    <w:p>
      <w:pPr>
        <w:ind w:left="4" w:right="60" w:hanging="4"/>
        <w:spacing w:after="0" w:line="260"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FINRA, (y) as may be required under the rules of The New York Stock Exchange or (z) as have been obtained or made and are in full force and effect.</w:t>
      </w:r>
    </w:p>
    <w:p>
      <w:pPr>
        <w:spacing w:after="0" w:line="7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Post.</w:t>
      </w:r>
    </w:p>
    <w:p>
      <w:pPr>
        <w:spacing w:after="0" w:line="117" w:lineRule="exact"/>
        <w:rPr>
          <w:rFonts w:ascii="Times New Roman" w:cs="Times New Roman" w:eastAsia="Times New Roman" w:hAnsi="Times New Roman"/>
          <w:sz w:val="18"/>
          <w:szCs w:val="18"/>
          <w:color w:val="auto"/>
        </w:rPr>
      </w:pPr>
    </w:p>
    <w:p>
      <w:pPr>
        <w:ind w:left="4" w:right="420" w:hanging="4"/>
        <w:spacing w:after="0" w:line="282" w:lineRule="auto"/>
        <w:tabs>
          <w:tab w:leader="none" w:pos="2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has not taken, directly or indirectly, any action that is designed to or that has constituted or might reasonably be expected to cause or result in stabilization or manipulation of the price of any security of the Company in connection with the offering of the Stock.</w:t>
      </w:r>
    </w:p>
    <w:p>
      <w:pPr>
        <w:spacing w:after="0" w:line="53" w:lineRule="exact"/>
        <w:rPr>
          <w:rFonts w:ascii="Times New Roman" w:cs="Times New Roman" w:eastAsia="Times New Roman" w:hAnsi="Times New Roman"/>
          <w:sz w:val="18"/>
          <w:szCs w:val="18"/>
          <w:color w:val="auto"/>
        </w:rPr>
      </w:pPr>
    </w:p>
    <w:p>
      <w:pPr>
        <w:ind w:left="4" w:right="80" w:hanging="4"/>
        <w:spacing w:after="0" w:line="261"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Information in the Registration Statement, Time of Sale Prospectus and Prospectus at the Applicable Time is, and on the Delivery Date will be, true, correct and complete in all material respects and did not, at the Applicable Time, and as of the Delivery Date, will not, contain any untrue statement of a material fact or omit to state a material fact necessary in order to make the statements therein, in the case of the Time of Sale Prospectus and the Prospectus, in the light of the circumstances which they were made, not misleading.</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0" w:name="page21"/>
    <w:bookmarkEnd w:id="20"/>
    <w:p>
      <w:pPr>
        <w:ind w:left="440" w:hanging="4"/>
        <w:spacing w:after="0" w:line="282"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 is not prompted by any material non-public information concerning the Company or any of the Subsidiaries to exchange its Stock pursuant to the Debt-for-Equity Exchange.</w:t>
      </w:r>
    </w:p>
    <w:p>
      <w:pPr>
        <w:spacing w:after="0" w:line="53" w:lineRule="exact"/>
        <w:rPr>
          <w:rFonts w:ascii="Times New Roman" w:cs="Times New Roman" w:eastAsia="Times New Roman" w:hAnsi="Times New Roman"/>
          <w:sz w:val="18"/>
          <w:szCs w:val="18"/>
          <w:color w:val="auto"/>
        </w:rPr>
      </w:pPr>
    </w:p>
    <w:p>
      <w:pPr>
        <w:ind w:left="440" w:right="140" w:hanging="4"/>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is not (i) an employee benefit plan subject to Title I of ERISA, (ii) a plan or account subject to Section 4975 of the Code or (iii) an entity deemed to hold “plan assets” of any such plan or account under Section 3(42) of ERISA, 29 C.F.R. 2510.3-101, or otherwise.</w:t>
      </w:r>
    </w:p>
    <w:p>
      <w:pPr>
        <w:spacing w:after="0" w:line="159" w:lineRule="exact"/>
        <w:rPr>
          <w:rFonts w:ascii="Times New Roman" w:cs="Times New Roman" w:eastAsia="Times New Roman" w:hAnsi="Times New Roman"/>
          <w:sz w:val="18"/>
          <w:szCs w:val="18"/>
          <w:color w:val="auto"/>
        </w:rPr>
      </w:pPr>
    </w:p>
    <w:p>
      <w:pPr>
        <w:ind w:right="40" w:firstLine="987"/>
        <w:spacing w:after="0" w:line="255" w:lineRule="auto"/>
        <w:tabs>
          <w:tab w:leader="none" w:pos="11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of the Stock by the Underwriters. </w:t>
      </w:r>
      <w:r>
        <w:rPr>
          <w:rFonts w:ascii="Times New Roman" w:cs="Times New Roman" w:eastAsia="Times New Roman" w:hAnsi="Times New Roman"/>
          <w:sz w:val="18"/>
          <w:szCs w:val="18"/>
          <w:color w:val="auto"/>
        </w:rPr>
        <w:t>On the basis of the representations, warranties and covenants contained in, and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this Agreement, each of the Selling Stockholders agrees, severally and not jointly, to sell the shares of the Stock set forth opposite its name in Schedule I hereto to the several Underwriters, and each of the Underwriters, severally and not jointly, agrees to purchase from the Selling Stockholders the number of shares of the Stock (to be adjusted by the Representatives so as to eliminate fractional shares) determined by multiplying the aggregate number of shares of the Stock to be sold by the Selling Stockholder as set forth opposite its name in Schedule I hereto by a fraction, the numerator of which is the aggregate number of shares of the Stock to be purchased by such Underwriter as set forth opposite the name of such Underwriter in Schedule II hereto and the denominator of which is the aggregate number of shares of the Stock to be purchased by all the Underwriters from the Selling Stockholders hereunder.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purchase price payable by the Underwriters for the Stock is $23.13 per share.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No Selling Stockholder is obligated to deliver any of the Stock to be delivered on the applicable Delivery Date, except upon payment for all such Stock to be purchased on such Delivery Date as provided herein.</w:t>
      </w:r>
    </w:p>
    <w:p>
      <w:pPr>
        <w:spacing w:after="0" w:line="160" w:lineRule="exact"/>
        <w:rPr>
          <w:sz w:val="20"/>
          <w:szCs w:val="20"/>
          <w:color w:val="auto"/>
        </w:rPr>
      </w:pPr>
    </w:p>
    <w:p>
      <w:pPr>
        <w:ind w:right="200" w:firstLine="987"/>
        <w:spacing w:after="0" w:line="284" w:lineRule="auto"/>
        <w:tabs>
          <w:tab w:leader="none" w:pos="11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of Stock by the Underwriters</w:t>
      </w:r>
      <w:r>
        <w:rPr>
          <w:rFonts w:ascii="Times New Roman" w:cs="Times New Roman" w:eastAsia="Times New Roman" w:hAnsi="Times New Roman"/>
          <w:sz w:val="18"/>
          <w:szCs w:val="18"/>
          <w:color w:val="auto"/>
        </w:rPr>
        <w:t>. Upon authorization by the Representatives of the release of the Stock, the several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 to offer the Stock for sale upon the terms and conditions to be set forth in the Prospectus.</w:t>
      </w:r>
    </w:p>
    <w:p>
      <w:pPr>
        <w:spacing w:after="0" w:line="158"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and Payment for the Stock.</w:t>
      </w:r>
    </w:p>
    <w:p>
      <w:pPr>
        <w:spacing w:after="0" w:line="119" w:lineRule="exact"/>
        <w:rPr>
          <w:rFonts w:ascii="Times New Roman" w:cs="Times New Roman" w:eastAsia="Times New Roman" w:hAnsi="Times New Roman"/>
          <w:sz w:val="18"/>
          <w:szCs w:val="18"/>
          <w:color w:val="auto"/>
        </w:rPr>
      </w:pPr>
    </w:p>
    <w:p>
      <w:pPr>
        <w:ind w:left="980" w:right="20" w:firstLine="408"/>
        <w:spacing w:after="0" w:line="254" w:lineRule="auto"/>
        <w:tabs>
          <w:tab w:leader="none" w:pos="162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and payment for the Stock shall be made at 10:00 A.M., New York City time, on August 11, 2022 at the offices of Latham &amp; Watkins LLP. This date and time are sometimes referred to as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Delivery of the Stock shall be made to the Representatives for the account of each Underwriter against payment by the several Underwriters through the Representatives and of the respective aggregate purchase prices of the Stock being sold by the Selling Stockholders to or upon the order of the Selling Stockholders of the purchase price by wire transfer in Federal or other immediately available funds to the accounts specified by each of the Selling Stockholders. Time shall be of the essence, and delivery at the time and place specified pursuant to this Agreement is a further condition of the obligation of each Underwriter hereunder. The Selling Stockholders shall deliver the Stock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Representatives shall otherwise instruct.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1" w:name="page22"/>
    <w:bookmarkEnd w:id="21"/>
    <w:p>
      <w:pPr>
        <w:ind w:left="540" w:right="80" w:firstLine="408"/>
        <w:spacing w:after="0" w:line="256" w:lineRule="auto"/>
        <w:tabs>
          <w:tab w:leader="none" w:pos="119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Delivery Date, subject to the sale of the Stock by the Selling Stockholders to the Underwriters in compliance with the terms of this Agreement, and in consideration for the Repurchase Shares, the Company shall pay the purchase price set forth above for each Repurchase Shares by wire transfer in Federal or other immediately available funds to the account specified by the Underwriters to the Company at least twenty-four hours in advance. Payment for the Repurchase Shares shall be made against delivery by the Underwriters of the Repurchase Shares to the Company through the facilities of the DTC for the account of the Company on the Delivery Date.</w:t>
      </w:r>
    </w:p>
    <w:p>
      <w:pPr>
        <w:spacing w:after="0" w:line="185" w:lineRule="exact"/>
        <w:rPr>
          <w:rFonts w:ascii="Times New Roman" w:cs="Times New Roman" w:eastAsia="Times New Roman" w:hAnsi="Times New Roman"/>
          <w:sz w:val="18"/>
          <w:szCs w:val="18"/>
          <w:color w:val="auto"/>
        </w:rPr>
      </w:pPr>
    </w:p>
    <w:p>
      <w:pPr>
        <w:ind w:left="720" w:hanging="173"/>
        <w:spacing w:after="0"/>
        <w:tabs>
          <w:tab w:leader="none" w:pos="7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Company and the Underwriters</w:t>
      </w:r>
      <w:r>
        <w:rPr>
          <w:rFonts w:ascii="Times New Roman" w:cs="Times New Roman" w:eastAsia="Times New Roman" w:hAnsi="Times New Roman"/>
          <w:sz w:val="18"/>
          <w:szCs w:val="18"/>
          <w:color w:val="auto"/>
        </w:rPr>
        <w:t>. (a) The Company agrees:</w:t>
      </w:r>
    </w:p>
    <w:p>
      <w:pPr>
        <w:spacing w:after="0" w:line="119" w:lineRule="exact"/>
        <w:rPr>
          <w:rFonts w:ascii="Times New Roman" w:cs="Times New Roman" w:eastAsia="Times New Roman" w:hAnsi="Times New Roman"/>
          <w:sz w:val="18"/>
          <w:szCs w:val="18"/>
          <w:color w:val="auto"/>
        </w:rPr>
      </w:pPr>
    </w:p>
    <w:p>
      <w:pPr>
        <w:ind w:firstLine="419"/>
        <w:spacing w:after="0" w:line="252"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Securities Act) is required in connection with the offering or the sale of the Stock; to make no further amendment or any supplement to the Registration Statement, the Base Prospectus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Registration Statement, any Preliminary Prospectus, the Prospectus or any free writing prospectus in respect of the Stock, of the suspension of the qualification of the Stock for offering or sale in any jurisdiction, of the initiation or threatening of any proceeding or examination for any such purpose or pursuant to Section 8A of the Securities Act, or of any request by the Commission for the amending or supplementing of the Registration Statement, the Prospectus or any free writing prospectus or for additional information; and, in the event of the issuance of any stop order or of any order preventing or suspending the use of the Registration Statement, any Preliminary Prospectus, the Prospectus or any free writing prospectus relating to the Stock or suspending any such qualification, to use promptly its best efforts to obtain its withdrawal.</w:t>
      </w:r>
    </w:p>
    <w:p>
      <w:pPr>
        <w:spacing w:after="0" w:line="86" w:lineRule="exact"/>
        <w:rPr>
          <w:rFonts w:ascii="Times New Roman" w:cs="Times New Roman" w:eastAsia="Times New Roman" w:hAnsi="Times New Roman"/>
          <w:sz w:val="18"/>
          <w:szCs w:val="18"/>
          <w:color w:val="auto"/>
        </w:rPr>
      </w:pPr>
    </w:p>
    <w:p>
      <w:pPr>
        <w:jc w:val="both"/>
        <w:ind w:right="40" w:firstLine="419"/>
        <w:spacing w:after="0" w:line="266" w:lineRule="auto"/>
        <w:tabs>
          <w:tab w:leader="none" w:pos="6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Representatives, to furnish promptly to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70" w:right="479" w:bottom="1440" w:gutter="0" w:footer="0" w:header="0"/>
        </w:sectPr>
      </w:pPr>
    </w:p>
    <w:bookmarkStart w:id="22" w:name="page23"/>
    <w:bookmarkEnd w:id="22"/>
    <w:p>
      <w:pPr>
        <w:ind w:left="744" w:hanging="321"/>
        <w:spacing w:after="0"/>
        <w:tabs>
          <w:tab w:leader="none" w:pos="7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deliver promptly to the Representatives such number of the following documents as the Representatives shall reasonably request:</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conformed copies of the Registration Statement as originally filed with the Commission and each amendment thereto (in each case excluding exhibits other than this Agreement and the computation of per share earnings), (B) the Time of Sale Prospectus, the Prospectus and any amended or supplemented Prospectus, (C) each free writing prospectus, and (D) any document incorporated by reference in the Time of Sale Prospectus or the Prospectus; and, if the delivery of a prospectus (or in lieu thereof, the notice referred to in Rule 173(a) under the Securities Act) is required at any time after the date hereof in connection with the offering or sale of the Stock or any other securities relating thereto and if at such time any events shall have occurred as a result of which the Prospectus (or the Time of Sale Prospectus for the period before the Prospectus is available)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Securities Act or the Time of Sale Prospectus, as applicable) is delivered, not misleading, or, if for any other reason it shall be necessary to amend or supplement the Prospectus or Time of Sale Prospectus, as applicable, or to file under the Exchange Act any document incorporated by reference therein in order to comply with the Securities Act or the Exchange Act, to notify the Representatives and, upon its request, to file such document and to prepare and furnish without charge to each Underwriter and to any dealer in securities as many copies as the Representatives may from time to time reasonably request of an amended or supplemented Prospectus or Time of Sale Prospectus, as applicable, that will correct such statement or omission or effect such compliance.</w:t>
      </w:r>
    </w:p>
    <w:p>
      <w:pPr>
        <w:spacing w:after="0" w:line="83"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7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promptly with the Commission any amendment or supplement to the Registration Statement or the Prospectus that may, in the judgment of the Company or the Representatives, be required by the Securities Act or requested by the Commission.</w:t>
      </w:r>
    </w:p>
    <w:p>
      <w:pPr>
        <w:spacing w:after="0" w:line="53" w:lineRule="exact"/>
        <w:rPr>
          <w:rFonts w:ascii="Times New Roman" w:cs="Times New Roman" w:eastAsia="Times New Roman" w:hAnsi="Times New Roman"/>
          <w:sz w:val="18"/>
          <w:szCs w:val="18"/>
          <w:color w:val="auto"/>
        </w:rPr>
      </w:pPr>
    </w:p>
    <w:p>
      <w:pPr>
        <w:ind w:left="4" w:right="360" w:firstLine="419"/>
        <w:spacing w:after="0" w:line="266"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obtain the consent of the Representatives to the filing.</w:t>
      </w:r>
    </w:p>
    <w:p>
      <w:pPr>
        <w:spacing w:after="0" w:line="6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without the prior written consent of the Representatives.</w:t>
      </w:r>
    </w:p>
    <w:p>
      <w:pPr>
        <w:spacing w:after="0" w:line="67" w:lineRule="exact"/>
        <w:rPr>
          <w:rFonts w:ascii="Times New Roman" w:cs="Times New Roman" w:eastAsia="Times New Roman" w:hAnsi="Times New Roman"/>
          <w:sz w:val="18"/>
          <w:szCs w:val="18"/>
          <w:color w:val="auto"/>
        </w:rPr>
      </w:pPr>
    </w:p>
    <w:p>
      <w:pPr>
        <w:ind w:left="4" w:firstLine="419"/>
        <w:spacing w:after="0" w:line="254" w:lineRule="auto"/>
        <w:tabs>
          <w:tab w:leader="none" w:pos="7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free writing prospectus. If at any time after the date hereof any events shall have occurred as a result of which any free writing prospectus, as then amended or supplemented, would conflict with the information in the Registration Statement, the Time of Sale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free writing prospectus, to notify the Representatives and, upon their request, to file such document and to prepare and furnish without charge to each Underwriter as many copies as the Representatives may from time to time reasonably request of an amended or supplemented free writing prospectus that will correct such conflict, statement or omission or effect such compliance.</w:t>
      </w:r>
    </w:p>
    <w:p>
      <w:pPr>
        <w:spacing w:after="0" w:line="12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4"/>
          </w:cols>
          <w:pgMar w:left="876" w:top="270" w:right="439" w:bottom="1440" w:gutter="0" w:footer="0" w:header="0"/>
        </w:sectPr>
      </w:pPr>
    </w:p>
    <w:bookmarkStart w:id="23" w:name="page24"/>
    <w:bookmarkEnd w:id="23"/>
    <w:p>
      <w:pPr>
        <w:ind w:right="60" w:firstLine="419"/>
        <w:spacing w:after="0" w:line="258"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practicable after the Effective Date (it being understood that the Company shall have until at least 405 days or, if the fourth quarter following the fiscal quarter that includes the Effective Date is the last fiscal quarter of the Company’s fiscal year, 440 days after the end of the Company’s current fiscal quarter), to make generally available to the Company’s security holders and to deliver to the Representatives an earnings statement of the Company and the Subsidiaries (which need not be audited) complying with Section 11(a) of the Securities Act and the rules and regulations thereunder (including, at the option of the Company, Rule 158).</w:t>
      </w:r>
    </w:p>
    <w:p>
      <w:pPr>
        <w:spacing w:after="0" w:line="75"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Representatives may reasonably request to qualify the Stock for offering and sale under the securities or Blue Sky laws of such jurisdictions as the parties may agree and to comply with such laws so as to permit the continuance of sales and dealings therein in such jurisdictions for as long as may be necessary to complete the distribution of the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 w:firstLine="419"/>
        <w:spacing w:after="0" w:line="261" w:lineRule="auto"/>
        <w:tabs>
          <w:tab w:leader="none" w:pos="7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(if not previously delivered),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without the prior written consent of J.P. Morgan Securities LLC and Barclays Capital Inc. on behalf of the Underwriters, it will not,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or for membership interests of the Company or the Subsidiaries (such shares of Common Stock, membership interests or such other securities collectively, the “</w:t>
      </w:r>
      <w:r>
        <w:rPr>
          <w:rFonts w:ascii="Times New Roman" w:cs="Times New Roman" w:eastAsia="Times New Roman" w:hAnsi="Times New Roman"/>
          <w:sz w:val="18"/>
          <w:szCs w:val="18"/>
          <w:b w:val="1"/>
          <w:bCs w:val="1"/>
          <w:color w:val="auto"/>
        </w:rPr>
        <w:t>Locked-Up Securities</w:t>
      </w:r>
      <w:r>
        <w:rPr>
          <w:rFonts w:ascii="Times New Roman" w:cs="Times New Roman" w:eastAsia="Times New Roman" w:hAnsi="Times New Roman"/>
          <w:sz w:val="18"/>
          <w:szCs w:val="18"/>
          <w:color w:val="auto"/>
        </w:rPr>
        <w:t>”) or (2) enter into any swap or other arrangement that transfers to another, in whole or in part, any of the economic consequences of ownership of the Locked-Up Securities, whether any such transaction described in clause (1) or (2) above is to be settled by delivery of</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Locked-Up Securities or such other securities, in cash or otherwise. The foregoing sentence shall not apply to (a) the sale of the Stock under this Agreement or the Share Repurchase, (b) the issuance by the Company of any shares of Common Stock upon the exercise of an option or warrant or the conversion of a security outstanding on the date hereof, (c) any grants under the Company’s equity or stock plans in accordance with the terms of such plans as described in the Time of Sale Prospectus and the Prospectus, as such plans may be amended, and the filing of any registration statement on Form S-8 with respect thereto, (d)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and (e) Common Stock or rights to receive Common Stock (including securities convertible into or exercisable or exchangeable for Common Stock) issued or contemplated to be issued in connection with an acquisition or with a strategic or minority investment transaction; provided that (i) the aggregate number of shares of Common Stock issued or issuable upon exchange or conversion of any securities convertible into or exchangeable for Common Stock under clause (e) during the Restricted Period shall not exceed 10% of the total number of shares of Common Stock issued and outstanding as of the date of such acquisition or strategic or minority investment transaction, as the case may be, and (ii) any recipient of such Common Stock or rights to receive Common Stock (including securities convertible into or exercisable or exchangeable for Common Stock) shall have executed and delivered to J.P. Morgan Securities LLC and Barclays Capital Inc. a lock-up letter in the form of Exhibit A hereto.</w:t>
      </w:r>
    </w:p>
    <w:p>
      <w:pPr>
        <w:spacing w:after="0" w:line="87" w:lineRule="exact"/>
        <w:rPr>
          <w:sz w:val="20"/>
          <w:szCs w:val="20"/>
          <w:color w:val="auto"/>
        </w:rPr>
      </w:pPr>
    </w:p>
    <w:p>
      <w:pPr>
        <w:ind w:right="300" w:firstLine="419"/>
        <w:spacing w:after="0" w:line="282" w:lineRule="auto"/>
        <w:tabs>
          <w:tab w:leader="none" w:pos="8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(i) Post and (ii) any person becoming an executive officer (as defined in Rule 3b-7 of the Exchange Act) or director of the Company during the Restricted Period to enter into a Lock-Up Agreement substantially in the form of Exhibit A hereto.</w:t>
      </w:r>
    </w:p>
    <w:p>
      <w:pPr>
        <w:spacing w:after="0" w:line="53" w:lineRule="exact"/>
        <w:rPr>
          <w:rFonts w:ascii="Times New Roman" w:cs="Times New Roman" w:eastAsia="Times New Roman" w:hAnsi="Times New Roman"/>
          <w:sz w:val="18"/>
          <w:szCs w:val="18"/>
          <w:color w:val="auto"/>
        </w:rPr>
      </w:pPr>
    </w:p>
    <w:p>
      <w:pPr>
        <w:ind w:right="140" w:firstLine="419"/>
        <w:spacing w:after="0" w:line="266" w:lineRule="auto"/>
        <w:tabs>
          <w:tab w:leader="none" w:pos="7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their respective affiliates to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8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do and perform in all material respects all things required or necessary to be done and performed under this Agreement by it prior to each Delivery Date, and to satisfy in all material respects conditions precedent to the Underwriters’ obligations hereunder to purchase the Stock.</w:t>
      </w:r>
    </w:p>
    <w:p>
      <w:pPr>
        <w:spacing w:after="0" w:line="67" w:lineRule="exact"/>
        <w:rPr>
          <w:rFonts w:ascii="Times New Roman" w:cs="Times New Roman" w:eastAsia="Times New Roman" w:hAnsi="Times New Roman"/>
          <w:sz w:val="18"/>
          <w:szCs w:val="18"/>
          <w:color w:val="auto"/>
        </w:rPr>
      </w:pPr>
    </w:p>
    <w:p>
      <w:pPr>
        <w:ind w:right="840" w:firstLine="419"/>
        <w:spacing w:after="0" w:line="282" w:lineRule="auto"/>
        <w:tabs>
          <w:tab w:leader="none" w:pos="8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take any action prohibited by Regulation M under the Exchange Act in connection with the distribution of the Stock contemplated hereby.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5" w:name="page26"/>
    <w:bookmarkEnd w:id="25"/>
    <w:p>
      <w:pPr>
        <w:ind w:left="964" w:right="100" w:hanging="532"/>
        <w:spacing w:after="0" w:line="255"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color w:val="auto"/>
        </w:rPr>
        <w:t>Permitted Issuer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6(b), shall not be deemed to include information prepared by or on behalf of such Underwriter on the basis of or derived from issuer information.</w:t>
      </w:r>
    </w:p>
    <w:p>
      <w:pPr>
        <w:spacing w:after="0" w:line="186" w:lineRule="exact"/>
        <w:rPr>
          <w:rFonts w:ascii="Times New Roman" w:cs="Times New Roman" w:eastAsia="Times New Roman" w:hAnsi="Times New Roman"/>
          <w:sz w:val="18"/>
          <w:szCs w:val="18"/>
          <w:color w:val="auto"/>
        </w:rPr>
      </w:pPr>
    </w:p>
    <w:p>
      <w:pPr>
        <w:ind w:left="4" w:firstLine="987"/>
        <w:spacing w:after="0" w:line="268" w:lineRule="auto"/>
        <w:tabs>
          <w:tab w:leader="none" w:pos="1175"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Expenses. </w:t>
      </w:r>
      <w:r>
        <w:rPr>
          <w:rFonts w:ascii="Times New Roman" w:cs="Times New Roman" w:eastAsia="Times New Roman" w:hAnsi="Times New Roman"/>
          <w:sz w:val="17"/>
          <w:szCs w:val="17"/>
          <w:color w:val="auto"/>
        </w:rPr>
        <w:t>The Company covenants and agrees and with the several Underwriters and the Selling Stockholders, whether or not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contemplated by this Agreement are consummated or this Agreement is terminated, that the Company shall pay all expenses, costs, fees and taxes incident to and in connection with (a) the authorization, issuance,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the Base Prospectus, the Time of Sale Prospectus, the Prospectus, any free writing prospectus, and any amendment or supplement thereto; (c) the distribution of the Registration Statement (including any exhibits thereto), the Base Prospectus, the Time of Sale Prospectus, the Prospectus, any free writing prospectus,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Stock; (e) the inclusion of the Stock on The New York Stock Exchange and/or any other exchange; (f) the qualification of the Stock under the securities laws of the several jurisdictions as provided in Section 6(a)(ix) and the preparation, printing and distribution of a Blue Sky Memorandum (including related fees and expenses of outside counsel to the Underwriters not to exceed $15,000); (g) the preparation, printing and distribution of one or more versions of the Time of Sale Prospectus and the Prospectus for distribution in Canada, including in the form of a Canadian “wrapper” (excluding related fees and expenses of Canadian counsel to the Underwriters); (h) the investor presentations on any “road show,” undertaken in connection with the marketing of the Stock, including, without limitation, expenses associated with any electronic road show, travel and lodging expenses of the representatives and officers of the Company and the cost of any aircraft chartered in connection with the road show; (i) the filing fees incident to, and the reasonable fees and disbursements of counsel to the Underwriters in connection with, the review by FINRA of the terms of sale of the Stock (provided that the amount payable by the Company pursuant to subsection (f) and the reasonable fees and disbursements of counsel to the Underwriters described in this subsection (i) shall not exceed $30,000); and</w:t>
      </w:r>
    </w:p>
    <w:p>
      <w:pPr>
        <w:spacing w:after="0" w:line="197" w:lineRule="exact"/>
        <w:rPr>
          <w:rFonts w:ascii="Times New Roman" w:cs="Times New Roman" w:eastAsia="Times New Roman" w:hAnsi="Times New Roman"/>
          <w:sz w:val="17"/>
          <w:szCs w:val="17"/>
          <w:color w:val="auto"/>
        </w:rPr>
      </w:pPr>
    </w:p>
    <w:p>
      <w:pPr>
        <w:ind w:left="4" w:right="100" w:hanging="4"/>
        <w:spacing w:after="0" w:line="252" w:lineRule="auto"/>
        <w:tabs>
          <w:tab w:leader="none" w:pos="2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costs and expenses incident to the performance of the obligations of the Company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7, in Section 9 and in Section 12, the Underwriters and the Selling Stockholders shall pay their own costs and expenses, including the costs and expenses of their counsel, any transfer taxes on the Stock which they may sell and the expenses of advertising any offering of the Stock made by the Underwriters. This Section 7 shall not affect or modify the terms of any separate, valid agreement (including, without limitation, the Exchange Agreement or any registration rights agreement) relating to the allocation of payment of expenses or costs in connection with the transactions contemplated by this Agreement between the Company or Post, on the one hand, and any Selling Stockholder, on the other hand.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6" w:name="page27"/>
    <w:bookmarkEnd w:id="26"/>
    <w:p>
      <w:pPr>
        <w:ind w:right="40" w:firstLine="987"/>
        <w:spacing w:after="0" w:line="261" w:lineRule="auto"/>
        <w:tabs>
          <w:tab w:leader="none" w:pos="11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of Underwriters’ Obligations</w:t>
      </w:r>
      <w:r>
        <w:rPr>
          <w:rFonts w:ascii="Times New Roman" w:cs="Times New Roman" w:eastAsia="Times New Roman" w:hAnsi="Times New Roman"/>
          <w:sz w:val="18"/>
          <w:szCs w:val="18"/>
          <w:color w:val="auto"/>
        </w:rPr>
        <w:t>. Each of the Company and the Selling Stockholders acknowledge and agree that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hereunder are subject to the accuracy, when made and on each Delivery Date, of the representations and warranties of the Company and each of the Selling Stockholders contained herein, to the performance by the Company and each of the Selling Stockholders of their respective obligations hereunder, and to each of the following additional terms and conditions:</w:t>
      </w:r>
    </w:p>
    <w:p>
      <w:pPr>
        <w:spacing w:after="0" w:line="73" w:lineRule="exact"/>
        <w:rPr>
          <w:rFonts w:ascii="Times New Roman" w:cs="Times New Roman" w:eastAsia="Times New Roman" w:hAnsi="Times New Roman"/>
          <w:sz w:val="18"/>
          <w:szCs w:val="18"/>
          <w:color w:val="auto"/>
        </w:rPr>
      </w:pPr>
    </w:p>
    <w:p>
      <w:pPr>
        <w:ind w:left="440" w:right="100" w:firstLine="419"/>
        <w:spacing w:after="0" w:line="253"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6(a)(i) and any other material required to be filed by the Company pursuant to Rule 433(d) under the Act shall have been filed with the Commission within the applicable time periods prescribed for such filings by Rule 433. The Company shall have complied with all filing requirements applicable to any free writing prospectus used or referred to after the date hereof; no stop order suspending the effectiveness of the Registration Statement or preventing or suspending the use of the Prospectus or any free writing prospectus shall have been issued and no proceeding or examination for such purpose or pursuant to Section 8A of the Act shall have been initiated or threatened by the Commission; no stop order suspending or preventing the use of the Time of Sale Prospectus or any free writing prospectus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New York City time, on the date of this Agreement.</w:t>
      </w:r>
    </w:p>
    <w:p>
      <w:pPr>
        <w:spacing w:after="0" w:line="86"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and validity of this Agreement, the Stock, the Registration Statement, the Prospectus and any free writing prospectus, and all other legal matters relating to this Agreement and the transactions contemplated hereby shall be reasonably satisfactory in all material respects to counsel for the Underwriters, and the Company and each of the Selling Stockholders shall have furnished to such counsel all documents and information that they may reasonably request to enable them to pass upon such matters.</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counsel for the Company, shall have furnished to the Representatives its written opinion and negative assurance letter, as counsel to the Company, addressed to the Underwriters and dated such Delivery Date, substantially in the form attached hereto as Exhibit B.</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Cleary Gottlieb Steen &amp; Hamilton LLP and (ii) Lewis Rice LLC, as counsel for Post, shall have furnished to the Representatives their respective written opinions and negative assurance letters, addressed to the Underwriters and dated such Delivery Date, substantially in the forms attached hereto as Exhibit C and Exhibit 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Latham &amp; Watkins LLP, counsel for the Underwriters, such opinion or opinions and negative assurance letter, dated such Delivery Date, with respect to the issuance and sale of the Stock, the Registration Statement, the Time of Sale Prospectus and the Prospectus and other related matters as the Representatives may reasonably require, and the Company and each of the Selling Stockholders shall have furnished to such counsel such documents as they reasonably request for the purpose of enabling them to pass upon such matters.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7" w:name="page28"/>
    <w:bookmarkEnd w:id="27"/>
    <w:p>
      <w:pPr>
        <w:ind w:right="120" w:firstLine="419"/>
        <w:spacing w:after="0" w:line="255"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execution of this Agreement, the Representatives shall have received from PricewaterhouseCoopers LLP a letter with respect to the Company, in form and substance reasonably satisfactory to the Representatives, addressed to the Underwriters and dated the date hereof (i) confirming that they are an independent registered public accounting firm with respect to the Company, within the applicable rules and regulations adopted by the Commission and the PCAOB and (ii) stating, as of the date hereof (or, with respect to matters involving changes or developments since the respective dates as of which specified financial information is given in the Time of Sale Prospectus, as of a date not more than two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PricewaterhouseCoopers LLP, referred to in the preceding paragraph and delivered to the Representatives concurrently with the execution of this Agreement (the “</w:t>
      </w:r>
      <w:r>
        <w:rPr>
          <w:rFonts w:ascii="Times New Roman" w:cs="Times New Roman" w:eastAsia="Times New Roman" w:hAnsi="Times New Roman"/>
          <w:sz w:val="18"/>
          <w:szCs w:val="18"/>
          <w:b w:val="1"/>
          <w:bCs w:val="1"/>
          <w:color w:val="auto"/>
        </w:rPr>
        <w:t>initial letter</w:t>
      </w:r>
      <w:r>
        <w:rPr>
          <w:rFonts w:ascii="Times New Roman" w:cs="Times New Roman" w:eastAsia="Times New Roman" w:hAnsi="Times New Roman"/>
          <w:sz w:val="18"/>
          <w:szCs w:val="18"/>
          <w:color w:val="auto"/>
        </w:rPr>
        <w:t>”), the Company shall have furnished to the Representatives a letter (the “</w:t>
      </w:r>
      <w:r>
        <w:rPr>
          <w:rFonts w:ascii="Times New Roman" w:cs="Times New Roman" w:eastAsia="Times New Roman" w:hAnsi="Times New Roman"/>
          <w:sz w:val="18"/>
          <w:szCs w:val="18"/>
          <w:b w:val="1"/>
          <w:bCs w:val="1"/>
          <w:color w:val="auto"/>
        </w:rPr>
        <w:t>bring-down letter</w:t>
      </w:r>
      <w:r>
        <w:rPr>
          <w:rFonts w:ascii="Times New Roman" w:cs="Times New Roman" w:eastAsia="Times New Roman" w:hAnsi="Times New Roman"/>
          <w:sz w:val="18"/>
          <w:szCs w:val="18"/>
          <w:color w:val="auto"/>
        </w:rPr>
        <w:t>”) with respect to the Company, addressed to the Underwriters and dated such Delivery Date (i) confirming that they are an independent registered public accounting firm within the applicable rules and regulations adopted by the Commission and the PCAOB, (ii) stating, as of the date of the bring-down letter (or, with respect to matters involving changes or developments since the respective dates as of which specified financial information is given in the Prospectus, as of a date not more than two business days prior to the date of the bring-down letters), the conclusions and findings of PricewaterhouseCoopers LLP with respect to the financial information and other matters covered by the initial letter, and (iii) confirming in all material respects the conclusions and findings set forth in the initial letter.</w:t>
      </w:r>
    </w:p>
    <w:p>
      <w:pPr>
        <w:spacing w:after="0" w:line="83" w:lineRule="exact"/>
        <w:rPr>
          <w:rFonts w:ascii="Times New Roman" w:cs="Times New Roman" w:eastAsia="Times New Roman" w:hAnsi="Times New Roman"/>
          <w:sz w:val="18"/>
          <w:szCs w:val="18"/>
          <w:color w:val="auto"/>
        </w:rPr>
      </w:pPr>
    </w:p>
    <w:p>
      <w:pPr>
        <w:ind w:right="280" w:firstLine="419"/>
        <w:spacing w:after="0" w:line="266"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Representatives a certificate, dated such Delivery Date, of its General Counsel (in the name and on behalf of the Company and not in individual capacities) as to such matters as the Representatives may reasonably request, including, without limitation, a statement:</w:t>
      </w:r>
    </w:p>
    <w:p>
      <w:pPr>
        <w:spacing w:after="0" w:line="67"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15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 representations, warranties and agreements of the Company in Section 1 are true and correct in all material respects on and as of such Delivery Date (or, in the case of representations, warranties and agreements that are qualified by materiality or Material Adverse Effect, confirming that such representations, warranties and agreements are true and correct on and as of such Delivery Date);</w:t>
      </w:r>
    </w:p>
    <w:p>
      <w:pPr>
        <w:spacing w:after="0" w:line="71" w:lineRule="exact"/>
        <w:rPr>
          <w:rFonts w:ascii="Times New Roman" w:cs="Times New Roman" w:eastAsia="Times New Roman" w:hAnsi="Times New Roman"/>
          <w:sz w:val="18"/>
          <w:szCs w:val="18"/>
          <w:color w:val="auto"/>
        </w:rPr>
      </w:pPr>
    </w:p>
    <w:p>
      <w:pPr>
        <w:ind w:left="540" w:right="60" w:firstLine="408"/>
        <w:spacing w:after="0" w:line="276" w:lineRule="auto"/>
        <w:tabs>
          <w:tab w:leader="none" w:pos="1206"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Confirming that they have examined the Registration Statement, the Time of Sale Prospectus and the Prospectus and, in their opinion, (1) the Registration Statement, as of the Effective Date, (2) the Prospectus, as of its date and on the applicable Delivery Date, and</w:t>
      </w:r>
    </w:p>
    <w:p>
      <w:pPr>
        <w:ind w:left="800" w:hanging="253"/>
        <w:spacing w:after="0"/>
        <w:tabs>
          <w:tab w:leader="none" w:pos="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as of the date of this Agreement or as amended or supplemented, if applicable, as of the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8" w:name="page29"/>
    <w:bookmarkEnd w:id="28"/>
    <w:p>
      <w:pPr>
        <w:ind w:left="54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Date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provided that no representation or warranty is made as to (x) information contained in or omitted from the Time of Sale Prospectus and the Prospectus in reliance upon and in conformity with written information furnished to the Company through the Representatives by or on behalf of any Underwriter specifically for inclusion therein, which information is specified in Section 9(f), (y) any Selling Stockholder Information or (z) the Post Information;</w:t>
      </w:r>
    </w:p>
    <w:p>
      <w:pPr>
        <w:spacing w:after="0" w:line="79" w:lineRule="exact"/>
        <w:rPr>
          <w:sz w:val="20"/>
          <w:szCs w:val="20"/>
          <w:color w:val="auto"/>
        </w:rPr>
      </w:pPr>
    </w:p>
    <w:p>
      <w:pPr>
        <w:ind w:left="540" w:right="180" w:firstLine="408"/>
        <w:spacing w:after="0" w:line="289" w:lineRule="auto"/>
        <w:tabs>
          <w:tab w:leader="none" w:pos="1256"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 and</w:t>
      </w:r>
    </w:p>
    <w:p>
      <w:pPr>
        <w:spacing w:after="0" w:line="47" w:lineRule="exact"/>
        <w:rPr>
          <w:rFonts w:ascii="Times New Roman" w:cs="Times New Roman" w:eastAsia="Times New Roman" w:hAnsi="Times New Roman"/>
          <w:sz w:val="17"/>
          <w:szCs w:val="17"/>
          <w:color w:val="auto"/>
        </w:rPr>
      </w:pPr>
    </w:p>
    <w:p>
      <w:pPr>
        <w:ind w:left="540" w:right="140" w:firstLine="408"/>
        <w:spacing w:after="0" w:line="284" w:lineRule="auto"/>
        <w:tabs>
          <w:tab w:leader="none" w:pos="12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Section 8(i)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with respect to the judgment of the Representatives need be made) and Section 8(j).</w:t>
      </w:r>
    </w:p>
    <w:p>
      <w:pPr>
        <w:spacing w:after="0" w:line="52"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the Subsidiaries shall have sustained, since the date of the latest audited financial statements included or incorporated by reference in the Time of Sale Prospectus, any loss or interference with its business from fire, explosion, flood or other calamity, whether or not covered by insurance, or from any labor dispute or court or governmental action, order or decree, or (ii) except as described in the Time of Sale Prospectus and the Prospectus (exclusive of any amendments or supplements thereto) since such date there shall not have been any change in the capital stock or long-term debt of either the Company or the Subsidiaries or any change, or any development involving a prospective change, in or affecting the condition (financial or otherwise), results of operations, stockholders’ equity, properties, management or business of the Company and the Subsidiaries taken as a whole, the effect of which, in any such case described in clause (i) or (ii), is, individually or in the aggregate, in the good faith judgment of the Representatives, so material and adverse as to make it impracticable or inadvisable to proceed with the public offering, sale or delivery of the Stock being delivered on such Delivery Date on the terms and in the manner contemplated in the Prospectus.</w:t>
      </w:r>
    </w:p>
    <w:p>
      <w:pPr>
        <w:spacing w:after="0" w:line="86" w:lineRule="exact"/>
        <w:rPr>
          <w:rFonts w:ascii="Times New Roman" w:cs="Times New Roman" w:eastAsia="Times New Roman" w:hAnsi="Times New Roman"/>
          <w:sz w:val="18"/>
          <w:szCs w:val="18"/>
          <w:color w:val="auto"/>
        </w:rPr>
      </w:pPr>
    </w:p>
    <w:p>
      <w:pPr>
        <w:ind w:right="80" w:firstLine="419"/>
        <w:spacing w:after="0" w:line="261" w:lineRule="auto"/>
        <w:tabs>
          <w:tab w:leader="none" w:pos="6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Delivery Date (i) no downgrading shall have occurred in the rating accorded the Company or any of the securities of the Company or any of the Subsidiaries by any “nationally recognized statistical rating organization” (as defined by the Commission in Section 3(a)(62) of the Exchange Act), and (ii) no such organization shall have publicly announced that it has under surveillance or review, with possible negative implications, its rating of any of the Company’s securities.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29" w:name="page30"/>
    <w:bookmarkEnd w:id="29"/>
    <w:p>
      <w:pPr>
        <w:ind w:right="20" w:firstLine="419"/>
        <w:spacing w:after="0" w:line="253"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execution and delivery of this Agreement there shall not have occurred any of the following: (i) trading in securities generally on The New York Stock Exchange, the Nasdaq Global Select Market or in the over-the-counter market,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or by such exchange,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there shall have occurred any other calamity or crisis either within or outside of the United States, as to make it, in the good faith judgment of the Representatives, impracticable or inadvisable to proceed with the public offering or delivery of the Stock being delivered on such Delivery Date on the terms and in the manner contemplated in the Prospectus.</w:t>
      </w:r>
    </w:p>
    <w:p>
      <w:pPr>
        <w:spacing w:after="0" w:line="8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Stock Exchange shall have approved the Stock for listing, subject only to official notice of issuance.</w:t>
      </w:r>
    </w:p>
    <w:p>
      <w:pPr>
        <w:spacing w:after="0" w:line="117" w:lineRule="exact"/>
        <w:rPr>
          <w:rFonts w:ascii="Times New Roman" w:cs="Times New Roman" w:eastAsia="Times New Roman" w:hAnsi="Times New Roman"/>
          <w:sz w:val="18"/>
          <w:szCs w:val="18"/>
          <w:color w:val="auto"/>
        </w:rPr>
      </w:pPr>
    </w:p>
    <w:p>
      <w:pPr>
        <w:ind w:right="80" w:firstLine="419"/>
        <w:spacing w:after="0" w:line="266" w:lineRule="auto"/>
        <w:tabs>
          <w:tab w:leader="none" w:pos="7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Debt-for-Equity Exchange shall have been consummated (i) in accordance with the terms and conditions of the Exchange Agreement and (ii) consistent with the description thereof set forth in the Time of Sale Prospectus and the Prospectus, in each case, in all material respects.</w:t>
      </w:r>
    </w:p>
    <w:p>
      <w:pPr>
        <w:spacing w:after="0" w:line="67"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J.P. Morgan Securities LLC and Barclays Capital Inc. on behalf of the Underwriters and (i) the officers and directors of the Company and (ii) Post, relating to sales and certain other dispositions of shares of Common Stock, membership interests and certain other securities, delivered to J.P. Morgan Securities LLC and Barclays Capital Inc. on behalf of the Underwriters on or before the date hereof, shall be in full force and effect on such Delivery Date.</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have furnished to the Representatives a certificate, dated such Delivery Date, of its Chief Financial Officer (in the name and on behalf of Post and not in individual capacities) as to such matters as the Representatives may reasonably request, including, without limitation, a statement confirming that the representations, warranties and agreements of Post in Section (2)(2) are true and correct in all material respects on and as of such Delivery Date (or, in the case of representations, warranties and agreements that are qualified by materiality or Material Adverse Effect, confirming that such representations, warranties and agreements are true and correct on and as of such Delivery Date).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30" w:name="page31"/>
    <w:bookmarkEnd w:id="30"/>
    <w:p>
      <w:pPr>
        <w:ind w:left="440" w:right="38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prior to each Delivery Date, the Company and each of the Selling Stockholders shall have furnished to the Underwriters such further certificates and documents as the Representatives may reasonably request.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of the Company and the Underwriters acknowledges and agrees that the respective obligations of the Selling Stockholders to sell the Stock will be subject to the consummation of the Debt-for-Equity Exchange pursuant to the terms and conditions of the Exchange Agreement and receipt by the Selling Stockholders of the Stock from Post.</w:t>
      </w:r>
    </w:p>
    <w:p>
      <w:pPr>
        <w:spacing w:after="0" w:line="174" w:lineRule="exact"/>
        <w:rPr>
          <w:sz w:val="20"/>
          <w:szCs w:val="20"/>
          <w:color w:val="auto"/>
        </w:rPr>
      </w:pPr>
    </w:p>
    <w:p>
      <w:pPr>
        <w:ind w:left="1160" w:hanging="173"/>
        <w:spacing w:after="0"/>
        <w:tabs>
          <w:tab w:leader="none" w:pos="11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p>
    <w:p>
      <w:pPr>
        <w:spacing w:after="0" w:line="119" w:lineRule="exact"/>
        <w:rPr>
          <w:rFonts w:ascii="Times New Roman" w:cs="Times New Roman" w:eastAsia="Times New Roman" w:hAnsi="Times New Roman"/>
          <w:sz w:val="18"/>
          <w:szCs w:val="18"/>
          <w:color w:val="auto"/>
        </w:rPr>
      </w:pPr>
    </w:p>
    <w:p>
      <w:pPr>
        <w:ind w:left="440" w:firstLine="419"/>
        <w:spacing w:after="0" w:line="252"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each Underwriter, each Selling Stockholder and their respective affiliates, directors, officers and employees and each person, if any, who controls any Underwriter or any Selling Stockholder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Selling Stockholder, affiliate, director, officer, employee or controlling person (as applicable) may become subject, under the Securities Act or otherwise, insofar as such loss, claim, damage, liability or action arises out of, or is based upon, (i) any untrue statement or alleged untrue statement of a material fact contained in (A) the Base Prospectus, the Time of Sale Prospectus, the Registration Statement, the Prospectus or any amendment or supplement thereto, (B) any free writing prospectus or any amendment or supplement thereto, (C) any Permitted Issuer Information used or referred to in any “free writing prospectus” (as defined in Rule 405 under the Securities Act) used or referred to by any Underwriter or any Selling Stockholder, (D) any materials or information provided to investors by, or with the approval of, the Company in connection with the marketing of the offering of the Stock, including any “road show” (as defined in Rule 433 under the Securities Act) not constituting a free writing prospectus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or (E) any Blue Sky application or other document prepared or executed by the Company (or based upon any written information furnished by the Company) specifically for the purpose of qualifying any or all of the Stock under the securities laws of any state or other jurisdiction (any such application, document or information being hereinafter called a “</w:t>
      </w:r>
      <w:r>
        <w:rPr>
          <w:rFonts w:ascii="Times New Roman" w:cs="Times New Roman" w:eastAsia="Times New Roman" w:hAnsi="Times New Roman"/>
          <w:sz w:val="18"/>
          <w:szCs w:val="18"/>
          <w:b w:val="1"/>
          <w:bCs w:val="1"/>
          <w:color w:val="auto"/>
        </w:rPr>
        <w:t>Blue 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or (ii) the omission or alleged omission to state in the Time of Sale Prospectus, the Registration Statement, the Prospectus, any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prospectus or any amendment or supplement thereto or in any Permitted Issuer Information, any Written Testing-the-Waters Communication, any Marketing Materials or any Blue Sky Application, any material fact required to be stated therein or necessary to make the statements therein (except in the case of the Registration Statement, in light of the circumstances under which they were made) not misleading, and shall reimburse each Underwriter, each Selling Stockholder and each such affiliate, director, officer, employee or controlling person (as applicable) promptly upon demand for any legal or other expenses reasonably incurred by that Underwriter,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31" w:name="page32"/>
    <w:bookmarkEnd w:id="3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Selling Stockholder, affiliate, director, officer, employee or controlling person (as applicable)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the Base Prospectus, the Time of Sale Prospectus, the Registration Statement, the Prospectus, any free writing prospectus or any such amendment or supplement thereto, or in any Permitted Issuer Information, any Marketing Materials or any Blue Sky Application, in reliance upon and in conformity with written information (i) concerning such Underwriter furnished to the Company through the Representatives by or on behalf of any Underwriter specifically for inclusion therein, which information consists solely of the information specified in Section 9(f), (ii) concerning any Selling Stockholder furnished to the Company by such Selling Stockholder, to the extent such information constitutes Selling Stockholder Information or (iii) concerning Post furnished to the Company by Post, to the extent such information constitutes Post Information. The foregoing indemnity agreement is in addition to any liability that the Company may otherwise have to (i) any Underwriter or to any affiliate, director, officer, employee or controlling person of that Underwriter or (ii) any Selling Stockholder or to any affiliate, director, officer, employee or controlling person of that Selling Stockholder.</w:t>
      </w:r>
    </w:p>
    <w:p>
      <w:pPr>
        <w:spacing w:after="0" w:line="82" w:lineRule="exact"/>
        <w:rPr>
          <w:sz w:val="20"/>
          <w:szCs w:val="20"/>
          <w:color w:val="auto"/>
        </w:rPr>
      </w:pPr>
    </w:p>
    <w:p>
      <w:pPr>
        <w:ind w:firstLine="419"/>
        <w:spacing w:after="0" w:line="252"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Selling Stockholders, severally and not jointly,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to the extent and in the manner set forth in Section 9(a)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Selling Stockholder shall be liable only in any such case to the extent that any such loss, claim, damage, liability or action arises out of, or is based upon, any untrue statement or alleged untrue statement or omission or alleged omission made in the Base Prospectus, the Time of Sale Prospectus, the Registration Statement, the Prospectus, any free writing prospectus or any such amendment or supplement thereto, or in any Permitted Issuer Information, any Marketing Materials or any Blue Sky Application, in reliance upon and in conformity with such Selling Stockholder’s Selling Stockholder Information and (ii) the aggregate amount of such Selling Stockholder’s liability pursuant to this Section 9(b) shall not exceed the amount of the underwriting discount received by it or its affiliate, as applicable, in its or its affiliate’s capacity as an Underwriter hereunder. The foregoing indemnity agreement is in addition to any liability that any Selling Stockholder may otherwise have to any Underwriter or to any affiliate, director, officer, employee or controlling person of such Underwriter.</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32" w:name="page33"/>
    <w:bookmarkEnd w:id="32"/>
    <w:p>
      <w:pPr>
        <w:ind w:firstLine="419"/>
        <w:spacing w:after="0" w:line="252"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hereby agrees to indemnify and hold harmless the Company and each Selling Stockholder and its and their respective officers, employees, directors, and each person, if any, who controls the Company or any Selling Stockholder within the meaning of Section 15 of the Securities Act or Section 20 of the Exchange Act, from and against any loss, claim, damage or liability, joint or several, or any action in respect thereof, to which the Company, such Selling Stockholder or any such director, officer, employee or controlling person (as applicable) may become subject, under the Securities Act or otherwise, insofar as such loss, claim, damage, liability or action arises out of, or is based upon, (i) any untrue statement or alleged untrue statement of a material fact contained in the Base Prospectus, the Time of Sale Prospectus, the Registration Statement, the Prospectus, any free writing prospectus or any amendment or supplement thereto, or any Marketing Materials or Blue Sky Application, or (ii) the omission or alleged omission to state in the Time of Sale Prospectus, the Registration Statement, the Prospectus, any free writing prospectus or any amendment or supplement thereto, or any Marketing Materials or Blue Sky Application, any material fact required to be stated therein or necessary to make the statements therein (except in the case of the Registration Statement, in light of the circumstances under which they were made)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9(f). The foregoing indemnity agreement is in addition to any liability that any Underwriter may otherwise have to (i) the Company or any such affiliate, director, officer, employee or controlling person of the Company or (ii) any Selling Stockholder or any such affiliate, director, officer, employee or controlling person of such Selling Stockholder.</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 hereby agrees to indemnify and hold harmless each Underwriter and each Selling Stockholder, their respective affiliates, directors, officers and employees and each person, if any, who controls any Underwriter or any Selling Stockholder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Selling Stockholder, affiliate, director, officer, employee or controlling person may become subject, under the Securities Act or otherwise, insofar as such loss, claim, damage, liability or action arises to the extent and in the manner set forth in Section 9(a)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Post shall be liable only in any such case to the extent that any such loss, claim, damage, liability or action arises out of, or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any untrue statement or alleged untrue statement or omission or alleged omission made in the Base Prospectus, the Time of Sale Prospectus, the Registration Statement, the Prospectus, any free writing prospectus or any such amendment or supplement thereto, or in any Permitted Issuer Information, any Marketing Materials or any Blue Sky Application, in reliance upon and in conformity with the Post Information. The foregoing indemnity agreement is in addition to any liability that Post may otherwise have to any Underwriter or any Selling Stockholder or to any affiliate, director, officer, employee or controlling person of such Underwriter or such Selling Stockholder.</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40"/>
          </w:cols>
          <w:pgMar w:left="880" w:top="270" w:right="479" w:bottom="1440" w:gutter="0" w:footer="0" w:header="0"/>
        </w:sectPr>
      </w:pPr>
    </w:p>
    <w:bookmarkStart w:id="33" w:name="page34"/>
    <w:bookmarkEnd w:id="33"/>
    <w:p>
      <w:pPr>
        <w:ind w:left="4" w:right="120" w:firstLine="419"/>
        <w:spacing w:after="0" w:line="276" w:lineRule="auto"/>
        <w:tabs>
          <w:tab w:leader="none" w:pos="67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receipt by an indemnified party under paragraph (a), (b),(c) or (d) above of notice of any claim or the commencement of any action, the indemnified party shall, if a claim in respect thereof is to be made against the indemnifying party under paragraph (a), (b), (c) or</w:t>
      </w:r>
    </w:p>
    <w:p>
      <w:pPr>
        <w:ind w:left="4" w:right="40" w:hanging="4"/>
        <w:spacing w:after="0" w:line="265" w:lineRule="auto"/>
        <w:tabs>
          <w:tab w:leader="none" w:pos="25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notify the indemnifying party in writing of the claim or the commencement of that action; provided, however, that the failure to notify the indemnifying party shall not relieve it from any liability that it may have under paragraph (a), (b), (c) or (d) above except to the extent it has been materially prejudiced (through the forfeiture of substantive rights or defenses) by such failure; provided, further, that the failure to notify the indemnifying party shall not relieve it from any liability that it may have to an indemnified party otherwise than under paragraph (a), (b), (c) or</w:t>
      </w:r>
    </w:p>
    <w:p>
      <w:pPr>
        <w:ind w:left="4" w:hanging="4"/>
        <w:spacing w:after="0" w:line="250" w:lineRule="auto"/>
        <w:tabs>
          <w:tab w:leader="none" w:pos="2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9 for any legal or other expenses subsequently incurred by the indemnified party in connection with the defense thereof other than reasonable and costs of investigation;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Underwriters shall have the right to employ counsel to represent jointly the Underwriters and their respective affiliates, directors, officers, employees and controlling persons who may be subject to liability arising out of any claim in respect of which indemnity may be sought by the Underwriters against the Company, Post and/or any Selling Stockholder, as applicable under this Section 9, but the fees and expenses of such counsel shall be at the expense of the Underwriters unless (i) the Company, Post and/or any Selling Stockholder, as applicable and the Underwriters shall have so mutually agreed; (ii) the Company, Post and/or any Selling Stockholder, as applicable shall have failed within a reasonable time to retain counsel reasonably satisfactory to the Underwriters; (iii) the Underwriters and their respective affiliates, directors, officers, employees and controlling persons shall have reasonably concluded, based on the advice of counsel, that there may be legal defenses available to them that are different from or in addition to those available to the Company, Post and/or any Selling Stockholder, as applicable; or (iv) the named parties in any such proceeding (including any impleaded parties) include both the Underwriters or their respective affiliates, directors, officers, employees or controlling persons, on the one hand, and the Company, Post and/or any Selling Stockholder, as applicable, on the other hand, and representation of both sets of parties by the same counsel would present a conflict due to actual or potential differing interests between them, and in any such event the reasonable and documented fees and expenses of such separate counsel shall be paid by the Company, Post and/or any Selling Stockholder, as applicable. In no event shall the indemnifying parties be liable for the reasonable fees and expenses of more than one counsel (together with one local counsel in each jurisdiction) at any time for all indemnified parties in connection with any one action or separate but substantially similar or related actions arising in the same jurisdiction out of the same general allegations or circumstances; provided that if the use of such counsel chosen to represent all indemnified parties would present such counsel with a conflict of interest, each indemnified party shall have the right to select separate counsel to defend such action on behalf of such indemnified party and</w:t>
      </w:r>
    </w:p>
    <w:p>
      <w:pPr>
        <w:spacing w:after="0" w:line="139"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4"/>
          </w:cols>
          <w:pgMar w:left="876" w:top="270" w:right="49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indemnifying party shall be liable for the reasonable and documented fees and expenses of such counsel. No indemnifying party shall</w:t>
      </w:r>
    </w:p>
    <w:p>
      <w:pPr>
        <w:spacing w:after="0" w:line="27" w:lineRule="exact"/>
        <w:rPr>
          <w:sz w:val="20"/>
          <w:szCs w:val="20"/>
          <w:color w:val="auto"/>
        </w:rPr>
      </w:pPr>
    </w:p>
    <w:p>
      <w:pPr>
        <w:ind w:left="4" w:right="60" w:hanging="4"/>
        <w:spacing w:after="0" w:line="251" w:lineRule="auto"/>
        <w:tabs>
          <w:tab w:leader="none" w:pos="2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such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85" w:lineRule="exact"/>
        <w:rPr>
          <w:rFonts w:ascii="Times New Roman" w:cs="Times New Roman" w:eastAsia="Times New Roman" w:hAnsi="Times New Roman"/>
          <w:sz w:val="18"/>
          <w:szCs w:val="18"/>
          <w:color w:val="auto"/>
        </w:rPr>
      </w:pPr>
    </w:p>
    <w:p>
      <w:pPr>
        <w:ind w:left="4" w:firstLine="419"/>
        <w:spacing w:after="0" w:line="268" w:lineRule="auto"/>
        <w:tabs>
          <w:tab w:leader="none" w:pos="65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9 shall for any reason be unavailable to or insufficient to hold harmless an indemnified party under Section 9(a), 9(b), 9(c) and 9(d) in respect of any loss, claim, damage or liability, or any action in respect thereof, referred to therein, for which such indemnification would otherwise be available pursuant to its terms,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Post, on the one hand, and the Underwriters and the Selling Stockholders, on the other, from the offering of the Stock, or (ii) if the allocation provided by clause</w:t>
      </w:r>
    </w:p>
    <w:p>
      <w:pPr>
        <w:spacing w:after="0" w:line="4"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not permitted by applicable law, in such proportion as is appropriate to reflect not only the relative benefits referred to in clause</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in one regard, the Selling Stockholders in the second regard, Post in the third regard, and the Underwriters in the fourth regard, with respect to the statements or omissions that resulted in such loss, claim, damage or liability, or action in respect thereof, as well as any other relevant equitable considerations. The relative benefits received by the Company and Post, on the one hand, and the Underwriters and the Selling Stockholders, on the other, with respect to such offering shall be deemed to be in the same proportion as the total net proceeds from the offering of the Stock purchased under this Agreement (before deducting expenses) received by the Selling Stockholders, on the one hand, and the total underwriting discounts and commissions received by the Underwriters with respect to the shares of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in one regard, the Selling Stockholders in the second regard, Post in the third regard or the Underwriters in the fourth regard, the intent of the parties and their relative knowledge, access to information and opportunity to correct or prevent such statement or omission. The Company, Post, the Selling Stockholders and the Underwriters agree that it would not be just and equitable if contribution pursuant to this Section 9(f) were to be determined by pro rata allocation (even if the Underwriters were treated as one entity for such purpose)</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35" w:name="page36"/>
    <w:bookmarkEnd w:id="35"/>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9(f) shall be deemed to include, for purposes of this Section 9(f) and subject to the limitations set forth above, any legal or other expenses reasonably incurred by such indemnified party in connection with investigating or defending any such action or claim. Notwithstanding the provisions of this Section 9(f), (i) in no event shall an Underwriter be required to contribute any amount in excess of the amount by which the discount received by it exceeds the amount of any damages that such Underwriter has otherwise paid or become liable to pay by reason of any untrue or alleged untrue statement or omission or alleged omission, and (ii) in no event shall any Selling Stockholder be required to contribute any amount in excess of the amount by which the discount received by it or its affiliate, as applicable, in its or its affiliate’s capacity as an Underwriter hereunder, exceeds any damages which such Selling Stockholder has otherwise been required to pay by reason of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Section 9(f) are several in proportion to their respective underwriting obligations hereunder and not joint.</w:t>
      </w:r>
    </w:p>
    <w:p>
      <w:pPr>
        <w:spacing w:after="0" w:line="82" w:lineRule="exact"/>
        <w:rPr>
          <w:sz w:val="20"/>
          <w:szCs w:val="20"/>
          <w:color w:val="auto"/>
        </w:rPr>
      </w:pPr>
    </w:p>
    <w:p>
      <w:pPr>
        <w:ind w:left="420" w:right="60" w:firstLine="419"/>
        <w:spacing w:after="0" w:line="256" w:lineRule="auto"/>
        <w:tabs>
          <w:tab w:leader="none" w:pos="10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severally confirm and the Company and each of the Selling Stockholders, severally and not jointly, acknowledges and agrees that the statements regarding the concession and reallowance figures and the first three paragraphs relating to overallotment, stabilization and covering transactions by the Underwriters appearing under the caption “Underwriting (Conflicts of Interest)” in the Time of Sale Prospectus and the Prospectus are correct and constitute the only information concerning such Underwriters furnished in writing to the Company by or on behalf of the Underwriters specifically for inclusion in the Time of Sale Prospectus, the Registration Statement, the Prospectus, any free writing prospectus or any amendment or supplement thereto, any Blue Sky Application, or any Marketing Materials.</w:t>
      </w:r>
    </w:p>
    <w:p>
      <w:pPr>
        <w:spacing w:after="0" w:line="185" w:lineRule="exact"/>
        <w:rPr>
          <w:rFonts w:ascii="Times New Roman" w:cs="Times New Roman" w:eastAsia="Times New Roman" w:hAnsi="Times New Roman"/>
          <w:sz w:val="18"/>
          <w:szCs w:val="18"/>
          <w:color w:val="auto"/>
        </w:rPr>
      </w:pPr>
    </w:p>
    <w:p>
      <w:pPr>
        <w:ind w:left="-20" w:firstLine="987"/>
        <w:spacing w:after="0" w:line="253" w:lineRule="auto"/>
        <w:tabs>
          <w:tab w:leader="none" w:pos="12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 If any Underwriter or Underwriters default in their obligations to purchase the Stock hereunder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number of shares of the Stock that such defaulting Underwriter or Underwriters agreed but failed to purchase does not exceed 10% of the total number of shares of the Stock, the Representatives may make arrangements satisfactory to the Selling Stockholders for the purchase of such Stock by other persons, including any of the Underwriters, but if no such arrangements are made by the Delivery Date, the non-defaulting Underwriters shall be obligated severally, in proportion to their respective commitments hereunder, to purchase the Stock that such defaulting Underwriter agreed but failed to purchase. If any Underwriter or Underwriters so default and the aggregate number of shares of the Stock with respect to which such default or defaults occur exceeds 10% of the total number of shares of the Stock and arrangements satisfactory to the Representatives and the Selling Stockholders for the purchase of such Stock by other persons are not made within 36 hours after such default, this Agreement will terminate without liability on the part of any non-defaulting Underwriter, the Company or any Selling Stockholder, except as provided in Section 15. As used in this Agreement, the term “Underwriter” includes any person substituted for an Underwriter under this Section. Nothing herein will relieve a defaulting Underwriter from liability for its default.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60" w:top="270" w:right="479" w:bottom="1440" w:gutter="0" w:footer="0" w:header="0"/>
        </w:sectPr>
      </w:pPr>
    </w:p>
    <w:bookmarkStart w:id="36" w:name="page37"/>
    <w:bookmarkEnd w:id="36"/>
    <w:p>
      <w:pPr>
        <w:ind w:left="-20" w:right="80" w:firstLine="987"/>
        <w:spacing w:after="0" w:line="261" w:lineRule="auto"/>
        <w:tabs>
          <w:tab w:leader="none" w:pos="12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Termination. </w:t>
      </w:r>
      <w:r>
        <w:rPr>
          <w:rFonts w:ascii="Times New Roman" w:cs="Times New Roman" w:eastAsia="Times New Roman" w:hAnsi="Times New Roman"/>
          <w:sz w:val="18"/>
          <w:szCs w:val="18"/>
          <w:color w:val="auto"/>
        </w:rPr>
        <w:t>The Company and each Selling Stockholder acknowledges and agrees that the obligations of the Underwriters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terminated by the Representatives by notice given to and received by the Company and the Selling Stockholders prior to delivery of and payment for the Stock by the Underwriters if, prior to that time, any of the events described in Sections 8(i), 8(j) and 8(k) shall have occurred or if the Underwriters shall decline to purchase the Stock for any reason permitted under this Agreement.</w:t>
      </w:r>
    </w:p>
    <w:p>
      <w:pPr>
        <w:spacing w:after="0" w:line="179" w:lineRule="exact"/>
        <w:rPr>
          <w:rFonts w:ascii="Times New Roman" w:cs="Times New Roman" w:eastAsia="Times New Roman" w:hAnsi="Times New Roman"/>
          <w:sz w:val="18"/>
          <w:szCs w:val="18"/>
          <w:color w:val="auto"/>
        </w:rPr>
      </w:pPr>
    </w:p>
    <w:p>
      <w:pPr>
        <w:ind w:left="-20" w:firstLine="987"/>
        <w:spacing w:after="0" w:line="252" w:lineRule="auto"/>
        <w:tabs>
          <w:tab w:leader="none" w:pos="12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of Underwriters’ Expenses. </w:t>
      </w:r>
      <w:r>
        <w:rPr>
          <w:rFonts w:ascii="Times New Roman" w:cs="Times New Roman" w:eastAsia="Times New Roman" w:hAnsi="Times New Roman"/>
          <w:sz w:val="18"/>
          <w:szCs w:val="18"/>
          <w:color w:val="auto"/>
        </w:rPr>
        <w:t>If (a) any Selling Stockholder shall fail to tender the Stock for delivery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permitted under this Agreement (including due to the failure by Post to consummate the Debt-for-Equity Exchange pursuant to the Exchange Agreement), or (b) the Underwriters shall decline to purchase the Stock for any reason permitted under this Agreement (other than the failure of the condition set forth in Section 8(k) of this Agreement to be satisfied (other than a halt in trading of the securities of the Company)), Post or the Company, as applicable, will reimburse the Underwriters for all reasonable out-of-pocket expenses (including reasonable and documented fees and disbursements of outside counsel for the Underwriters) incurred by the Underwriters in connection with this Agreement and the proposed purchase and sale of the Stock, each to the extent that any such failure or reason is caused by an action, inaction or failure of such party (except that in the case of any failure or reason on the basis of Section 8(k), Post shall reimburse the Underwriters for all such expenses), and upon demand, Post or the Company, as the case may be, shall pay the full amount thereof to the Representatives. If this Agreement is terminated pursuant to Section 10 by reason of the default of one or more Underwriters or Selling Stockholders, Post shall not be obligated to reimburse any defaulting Underwriter on account of those expenses, and in the case of default of the Company or one or more Selling Stockholders, such defaulting party shall be responsible for reimbursing the Underwriters in accordance with this Section 12. To the extent this Section 12 in any way conflicts with that certain Registration Rights Agreement, dated March 10, 2022, by and among the Company, Post and the other stockholders party thereto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such Registration Rights Agreement is modified accordingly. Except as provided in this Section 12, nothing herein is intended to, nor shall it, modify the Registration Rights Agreement in any manner.</w:t>
      </w:r>
    </w:p>
    <w:p>
      <w:pPr>
        <w:spacing w:after="0" w:line="195"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Analyst Independence. </w:t>
      </w:r>
      <w:r>
        <w:rPr>
          <w:rFonts w:ascii="Times New Roman" w:cs="Times New Roman" w:eastAsia="Times New Roman" w:hAnsi="Times New Roman"/>
          <w:sz w:val="18"/>
          <w:szCs w:val="18"/>
          <w:color w:val="auto"/>
        </w:rPr>
        <w:t>The Company and each Selling Stockholder acknowledges that the Underwriters’ research analysts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and each Selling Stockholder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60" w:top="268" w:right="479" w:bottom="1440" w:gutter="0" w:footer="0" w:header="0"/>
        </w:sectPr>
      </w:pPr>
    </w:p>
    <w:bookmarkStart w:id="37" w:name="page38"/>
    <w:bookmarkEnd w:id="37"/>
    <w:p>
      <w:pPr>
        <w:ind w:left="1180" w:hanging="273"/>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etc. </w:t>
      </w:r>
      <w:r>
        <w:rPr>
          <w:rFonts w:ascii="Times New Roman" w:cs="Times New Roman" w:eastAsia="Times New Roman" w:hAnsi="Times New Roman"/>
          <w:sz w:val="18"/>
          <w:szCs w:val="18"/>
          <w:color w:val="auto"/>
        </w:rPr>
        <w:t>All statements, requests, notices and agreements hereunder shall be in writing, and:</w:t>
      </w:r>
    </w:p>
    <w:p>
      <w:pPr>
        <w:spacing w:after="0" w:line="119" w:lineRule="exact"/>
        <w:rPr>
          <w:rFonts w:ascii="Times New Roman" w:cs="Times New Roman" w:eastAsia="Times New Roman" w:hAnsi="Times New Roman"/>
          <w:sz w:val="18"/>
          <w:szCs w:val="18"/>
          <w:color w:val="auto"/>
        </w:rPr>
      </w:pPr>
    </w:p>
    <w:p>
      <w:pPr>
        <w:jc w:val="both"/>
        <w:ind w:left="900" w:right="20" w:firstLine="408"/>
        <w:spacing w:after="0" w:line="272" w:lineRule="auto"/>
        <w:tabs>
          <w:tab w:leader="none" w:pos="154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any Underwriter and/or Selling Stockholder, shall be delivered or sent by hand delivery, mail, overnight courier or facsimile transmission to J.P. Morgan Securities LLC, 383 Madison Avenue, New York, New York 10179 (Fax: (212) 622-8358), Attention: Equity Syndicate Desk, with a copy to the Legal Department and with a copy to Latham &amp; Watkins LLP, Attention: Ian D. Schuman (Fax:</w:t>
      </w:r>
    </w:p>
    <w:p>
      <w:pPr>
        <w:spacing w:after="0" w:line="1" w:lineRule="exact"/>
        <w:rPr>
          <w:rFonts w:ascii="Times New Roman" w:cs="Times New Roman" w:eastAsia="Times New Roman" w:hAnsi="Times New Roman"/>
          <w:sz w:val="17"/>
          <w:szCs w:val="17"/>
          <w:color w:val="auto"/>
        </w:rPr>
      </w:pPr>
    </w:p>
    <w:p>
      <w:pPr>
        <w:ind w:left="900" w:right="3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212-751-4864, e-mail: ian.schuman@lw.com); provided, however, that any notice to an Underwriter pursuant to Section 9(d) shall be delivered or sent by hand delivery, mail, facsimile or electronic transmission to such Underwriter.</w:t>
      </w:r>
    </w:p>
    <w:p>
      <w:pPr>
        <w:spacing w:after="0" w:line="73" w:lineRule="exact"/>
        <w:rPr>
          <w:rFonts w:ascii="Times New Roman" w:cs="Times New Roman" w:eastAsia="Times New Roman" w:hAnsi="Times New Roman"/>
          <w:sz w:val="17"/>
          <w:szCs w:val="17"/>
          <w:color w:val="auto"/>
        </w:rPr>
      </w:pPr>
    </w:p>
    <w:p>
      <w:pPr>
        <w:ind w:left="900" w:right="60" w:firstLine="408"/>
        <w:spacing w:after="0" w:line="258" w:lineRule="auto"/>
        <w:tabs>
          <w:tab w:leader="none" w:pos="15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overnight courier or email to BellRing Brands, Inc., 2503 S. Hanley Road, St. Louis, MO 63144, Attention: General Counsel (email: craig.rosenthal@bellringbrands.com), with a copy to Simpson Thacher &amp; Bartlett LLP, 425 Lexington Avenue, New York, NY 10017, Attention: Hui Lin (email: hui.lin@stblaw.com). Any such statements, requests, notices or agreements shall take effect at the time of receipt thereof. The Company shall be entitled to act and rely upon any request, consent, notice or agreement given or made on behalf of the Underwriters by the Representatives.</w:t>
      </w:r>
    </w:p>
    <w:p>
      <w:pPr>
        <w:spacing w:after="0" w:line="75" w:lineRule="exact"/>
        <w:rPr>
          <w:rFonts w:ascii="Times New Roman" w:cs="Times New Roman" w:eastAsia="Times New Roman" w:hAnsi="Times New Roman"/>
          <w:sz w:val="18"/>
          <w:szCs w:val="18"/>
          <w:color w:val="auto"/>
        </w:rPr>
      </w:pPr>
    </w:p>
    <w:p>
      <w:pPr>
        <w:jc w:val="both"/>
        <w:ind w:left="900" w:right="160" w:firstLine="408"/>
        <w:spacing w:after="0" w:line="261" w:lineRule="auto"/>
        <w:tabs>
          <w:tab w:leader="none" w:pos="154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Post, shall be delivered or sent by mail, overnight courier or email to Post Holdings, Inc., 2503 S. Hanley Road, St. Louis, MO 63144, Attention: Diedre Gray (email: diedre.gray@postholdings.com) and Matt Mainer (email: matt.mainer@postholdings.com), with a copy to Cleary Gottlieb Steen &amp; Hamilton LLP, One Liberty Plaza, New York, NY 10006, Attention: Charles W. Allen (e-mail: callen@cgsh.com).</w:t>
      </w:r>
    </w:p>
    <w:p>
      <w:pPr>
        <w:spacing w:after="0" w:line="177" w:lineRule="exact"/>
        <w:rPr>
          <w:rFonts w:ascii="Times New Roman" w:cs="Times New Roman" w:eastAsia="Times New Roman" w:hAnsi="Times New Roman"/>
          <w:sz w:val="18"/>
          <w:szCs w:val="18"/>
          <w:color w:val="auto"/>
        </w:rPr>
      </w:pPr>
    </w:p>
    <w:p>
      <w:pPr>
        <w:ind w:left="-80" w:firstLine="987"/>
        <w:spacing w:after="0" w:line="254" w:lineRule="auto"/>
        <w:tabs>
          <w:tab w:leader="none" w:pos="11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Underwriters,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with respect to Section 2(2), Section 9, Section 12, Section 14 and Section 16), the Company, the Selling Stockholders and its and their respective successors. This Agreement and the terms and provisions hereof are for the sole benefit of only those persons, except that the representations and warranties (other than those representations and warranties that are expressly made only to a specific party or parties hereto, which shall be for the benefit of such specified party or parties and their respective indemnified persons referred to in Section 9 and their respective successors and assigns), indemnities and agreements contained in this Agreement shall also be deemed to be for the benefit of the other indemnified persons referred to in Section 9 and their respective successors and assigns.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40"/>
          </w:cols>
          <w:pgMar w:left="520" w:top="268" w:right="539" w:bottom="1440" w:gutter="0" w:footer="0" w:header="0"/>
        </w:sectPr>
      </w:pPr>
    </w:p>
    <w:bookmarkStart w:id="38" w:name="page39"/>
    <w:bookmarkEnd w:id="38"/>
    <w:p>
      <w:pPr>
        <w:ind w:left="4" w:right="100" w:firstLine="987"/>
        <w:spacing w:after="0" w:line="261" w:lineRule="auto"/>
        <w:tabs>
          <w:tab w:leader="none" w:pos="12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Survival. </w:t>
      </w:r>
      <w:r>
        <w:rPr>
          <w:rFonts w:ascii="Times New Roman" w:cs="Times New Roman" w:eastAsia="Times New Roman" w:hAnsi="Times New Roman"/>
          <w:sz w:val="18"/>
          <w:szCs w:val="18"/>
          <w:color w:val="auto"/>
        </w:rPr>
        <w:t>The respective indemnities, rights of contribution, representations, warranties and agreements of the Company, Post,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and the Underwriters contained in this Agreement or made by or on behalf of them, respectively, pursuant to this Agreement, shall survive the delivery of the Stock and shall remain in full force and effect, regardless of any termination of this Agreement or any investigation made by or on behalf of any of them or any person controlling any of them.</w:t>
      </w:r>
    </w:p>
    <w:p>
      <w:pPr>
        <w:spacing w:after="0" w:line="179" w:lineRule="exact"/>
        <w:rPr>
          <w:rFonts w:ascii="Times New Roman" w:cs="Times New Roman" w:eastAsia="Times New Roman" w:hAnsi="Times New Roman"/>
          <w:sz w:val="18"/>
          <w:szCs w:val="18"/>
          <w:color w:val="auto"/>
        </w:rPr>
      </w:pPr>
    </w:p>
    <w:p>
      <w:pPr>
        <w:ind w:left="4" w:firstLine="987"/>
        <w:spacing w:after="0" w:line="267" w:lineRule="auto"/>
        <w:tabs>
          <w:tab w:leader="none" w:pos="12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the Terms “Business Day,” “Affiliate” and “Subsidiary.” </w:t>
      </w:r>
      <w:r>
        <w:rPr>
          <w:rFonts w:ascii="Times New Roman" w:cs="Times New Roman" w:eastAsia="Times New Roman" w:hAnsi="Times New Roman"/>
          <w:sz w:val="18"/>
          <w:szCs w:val="18"/>
          <w:color w:val="auto"/>
        </w:rPr>
        <w:t>For purposes of this Agreement, (a) “business day” means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on which The New York Stock Exchange, Inc. is open for trading, and (b) “affiliate” and “subsidiary” have the meanings set forth in Rule 405 under the Securities Act.</w:t>
      </w:r>
    </w:p>
    <w:p>
      <w:pPr>
        <w:spacing w:after="0" w:line="171" w:lineRule="exact"/>
        <w:rPr>
          <w:rFonts w:ascii="Times New Roman" w:cs="Times New Roman" w:eastAsia="Times New Roman" w:hAnsi="Times New Roman"/>
          <w:sz w:val="18"/>
          <w:szCs w:val="18"/>
          <w:color w:val="auto"/>
        </w:rPr>
      </w:pPr>
    </w:p>
    <w:p>
      <w:pPr>
        <w:ind w:left="4" w:right="100" w:firstLine="987"/>
        <w:spacing w:after="0" w:line="259" w:lineRule="auto"/>
        <w:tabs>
          <w:tab w:leader="none" w:pos="12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and any claim, controversy or dispute arising under or related to this Agreement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governed by and construed in accordance with the laws of the State of New York</w:t>
      </w:r>
      <w:r>
        <w:rPr>
          <w:rFonts w:ascii="Times New Roman" w:cs="Times New Roman" w:eastAsia="Times New Roman" w:hAnsi="Times New Roman"/>
          <w:sz w:val="18"/>
          <w:szCs w:val="18"/>
          <w:color w:val="auto"/>
        </w:rPr>
        <w:t>. The parties hereto agree that any suit or proceeding arising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this Agreement will be tried exclusively in the U.S. District Court of the Southern District of New York or, if that court does not have subject matter jurisdiction, in any state court located in The City and County of New York, and the parties hereto agree to submit to the jurisdiction of, and to venue in, such courts.</w:t>
      </w:r>
    </w:p>
    <w:p>
      <w:pPr>
        <w:spacing w:after="0" w:line="181" w:lineRule="exact"/>
        <w:rPr>
          <w:rFonts w:ascii="Times New Roman" w:cs="Times New Roman" w:eastAsia="Times New Roman" w:hAnsi="Times New Roman"/>
          <w:sz w:val="18"/>
          <w:szCs w:val="18"/>
          <w:color w:val="auto"/>
        </w:rPr>
      </w:pPr>
    </w:p>
    <w:p>
      <w:pPr>
        <w:jc w:val="both"/>
        <w:ind w:left="4" w:right="400" w:firstLine="987"/>
        <w:spacing w:after="0" w:line="267" w:lineRule="auto"/>
        <w:tabs>
          <w:tab w:leader="none" w:pos="12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each Selling Stockholder and the Underwriters hereby irrevocably waive, to the fullest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applicable law, any and all right to trial by jury in any legal proceeding arising out of or relating to this Agreement or the transactions contemplated hereby.</w:t>
      </w:r>
    </w:p>
    <w:p>
      <w:pPr>
        <w:spacing w:after="0" w:line="173" w:lineRule="exact"/>
        <w:rPr>
          <w:rFonts w:ascii="Times New Roman" w:cs="Times New Roman" w:eastAsia="Times New Roman" w:hAnsi="Times New Roman"/>
          <w:sz w:val="18"/>
          <w:szCs w:val="18"/>
          <w:color w:val="auto"/>
        </w:rPr>
      </w:pPr>
    </w:p>
    <w:p>
      <w:pPr>
        <w:ind w:left="4" w:firstLine="987"/>
        <w:spacing w:after="0" w:line="271" w:lineRule="auto"/>
        <w:tabs>
          <w:tab w:leader="none" w:pos="126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Fiduciary Duty</w:t>
      </w:r>
      <w:r>
        <w:rPr>
          <w:rFonts w:ascii="Times New Roman" w:cs="Times New Roman" w:eastAsia="Times New Roman" w:hAnsi="Times New Roman"/>
          <w:sz w:val="17"/>
          <w:szCs w:val="17"/>
          <w:color w:val="auto"/>
        </w:rPr>
        <w:t>. The Company and each Selling Stockholder acknowledges and agrees that in connection with this offering, sale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Stock 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any Selling Stockholder and any other person, on the one hand, and the Underwriters, on the other hand, exists;</w:t>
      </w:r>
    </w:p>
    <w:p>
      <w:pPr>
        <w:spacing w:after="0" w:line="1" w:lineRule="exact"/>
        <w:rPr>
          <w:rFonts w:ascii="Times New Roman" w:cs="Times New Roman" w:eastAsia="Times New Roman" w:hAnsi="Times New Roman"/>
          <w:sz w:val="17"/>
          <w:szCs w:val="17"/>
          <w:color w:val="auto"/>
        </w:rPr>
      </w:pPr>
    </w:p>
    <w:p>
      <w:pPr>
        <w:ind w:left="4" w:right="200" w:hanging="4"/>
        <w:spacing w:after="0" w:line="265" w:lineRule="auto"/>
        <w:tabs>
          <w:tab w:leader="none" w:pos="25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are not acting as advisors, expert or otherwise, to the Company or any Selling Stockholder, including, without limitation, with respect to the determination of the public offering price of the Stock, and such relationship between the Company and any Selling Stockholder, on the one hand, and the Underwriters, on the other, is entirely and solely commercial, based on arms-length negotiations; (c) any duties and obligations that the Underwriters may have to the Company and any Selling Stockholder shall be limited to those duties and obligations specifically stated herein; and</w:t>
      </w:r>
    </w:p>
    <w:p>
      <w:pPr>
        <w:ind w:left="4" w:right="60" w:hanging="4"/>
        <w:spacing w:after="0" w:line="255"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and their respective affiliates may have interests that differ from those of the Company and any Selling Stockholder. The Company and each Selling Stockholder hereby waives and agrees not to assert any claims that the Company and any Selling Stockholder may have against the Underwriters with respect to any breach of fiduciary duty in connection with this offering.</w:t>
      </w:r>
    </w:p>
    <w:p>
      <w:pPr>
        <w:spacing w:after="0" w:line="18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Each Selling Stockholder further acknowledges and agrees that, although the Underwriters may provide such Selling Stockholder with certain Regulation Best Interest and Form CRS disclosures or other related documentation in connection with the offering of the Stock, the Underwriters are not making a recommendation to any Selling Stockholder to participate in the offering or sell any Stock at the price set forth in Section 3 hereof, and nothing set forth in such disclosures or documentation is intended to suggest that any Underwriter is making such a recommendation.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68" w:right="459" w:bottom="1440" w:gutter="0" w:footer="0" w:header="0"/>
        </w:sectPr>
      </w:pPr>
    </w:p>
    <w:bookmarkStart w:id="39" w:name="page40"/>
    <w:bookmarkEnd w:id="39"/>
    <w:p>
      <w:pPr>
        <w:jc w:val="both"/>
        <w:ind w:left="-20" w:right="200" w:firstLine="987"/>
        <w:spacing w:after="0" w:line="267" w:lineRule="auto"/>
        <w:tabs>
          <w:tab w:leader="none" w:pos="12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73" w:lineRule="exact"/>
        <w:rPr>
          <w:rFonts w:ascii="Times New Roman" w:cs="Times New Roman" w:eastAsia="Times New Roman" w:hAnsi="Times New Roman"/>
          <w:sz w:val="18"/>
          <w:szCs w:val="18"/>
          <w:color w:val="auto"/>
        </w:rPr>
      </w:pPr>
    </w:p>
    <w:p>
      <w:pPr>
        <w:ind w:left="-20" w:firstLine="987"/>
        <w:spacing w:after="0" w:line="253" w:lineRule="auto"/>
        <w:tabs>
          <w:tab w:leader="none" w:pos="12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In the event that (a)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rFonts w:ascii="Times New Roman" w:cs="Times New Roman" w:eastAsia="Times New Roman" w:hAnsi="Times New Roman"/>
          <w:sz w:val="18"/>
          <w:szCs w:val="18"/>
          <w:color w:val="auto"/>
        </w:rPr>
      </w:pPr>
    </w:p>
    <w:p>
      <w:pPr>
        <w:ind w:left="-20" w:right="200" w:firstLine="987"/>
        <w:spacing w:after="0" w:line="261" w:lineRule="auto"/>
        <w:tabs>
          <w:tab w:leader="none" w:pos="12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together with any contemporaneous written agreements and any prior written agreements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superseded by this Agreement) that relate to the offering of the Stock, represents the entire agreement between the Company, the Selling Stockholders and the Underwriters with respect to the preparation of the Time of Sale Prospectus, the Prospectus, the conduct of the offering, and the purchase and sale of the Stock.</w:t>
      </w:r>
    </w:p>
    <w:p>
      <w:pPr>
        <w:spacing w:after="0" w:line="179" w:lineRule="exact"/>
        <w:rPr>
          <w:rFonts w:ascii="Times New Roman" w:cs="Times New Roman" w:eastAsia="Times New Roman" w:hAnsi="Times New Roman"/>
          <w:sz w:val="18"/>
          <w:szCs w:val="18"/>
          <w:color w:val="auto"/>
        </w:rPr>
      </w:pPr>
    </w:p>
    <w:p>
      <w:pPr>
        <w:ind w:left="-20" w:firstLine="987"/>
        <w:spacing w:after="0" w:line="257" w:lineRule="auto"/>
        <w:tabs>
          <w:tab w:leader="none" w:pos="12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one or more counterparts and, if executed in more than one counterpart,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Furthermore, the words “execution,”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60" w:top="268" w:right="47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sz w:val="20"/>
          <w:szCs w:val="20"/>
          <w:color w:val="auto"/>
        </w:rPr>
      </w:pPr>
    </w:p>
    <w:p>
      <w:pPr>
        <w:ind w:right="400" w:firstLine="987"/>
        <w:spacing w:after="0" w:line="284" w:lineRule="auto"/>
        <w:tabs>
          <w:tab w:leader="none" w:pos="12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inserted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20"/>
          </w:cols>
          <w:pgMar w:left="440" w:top="270" w:right="639" w:bottom="1440" w:gutter="0" w:footer="0" w:header="0"/>
        </w:sectPr>
      </w:pPr>
    </w:p>
    <w:bookmarkStart w:id="41" w:name="page42"/>
    <w:bookmarkEnd w:id="4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agreement among the Company the Selling Stockholders, Post and the Underwriters,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Craig L. Rosenthal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Selling Stockholder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Joe Nassirian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Joe Nassirian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Selling Stockholder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Kurt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Kurt Anthony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Selling Stockholder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Carl A. Stickel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Carl A. Stickel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Selling Stockholder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Ryan Cunn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Ryan Cunn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 Equity Capital Markets</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&amp; Co.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Selling Stockholder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Josh Kamboj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 Kamboj</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Post Holdings, Inc. (solely for purposes of Section 2(2),</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Section 9, Section 12, Section 14 and Section 16)</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Diedre J. Gray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EVP, General Counsel &amp; Chief Administrative</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 Secretary</w:t>
      </w:r>
    </w:p>
    <w:p>
      <w:pPr>
        <w:spacing w:after="0" w:line="2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780"/>
          </w:cols>
          <w:pgMar w:left="1440" w:top="270" w:right="6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ITIGROUP</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as Representatives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 as </w:t>
      </w:r>
      <w:r>
        <w:rPr>
          <w:rFonts w:ascii="Times New Roman" w:cs="Times New Roman" w:eastAsia="Times New Roman" w:hAnsi="Times New Roman"/>
          <w:sz w:val="18"/>
          <w:szCs w:val="18"/>
          <w:i w:val="1"/>
          <w:iCs w:val="1"/>
          <w:color w:val="auto"/>
        </w:rPr>
        <w:t>Authorized Representative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Joe Nassirian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Joe Nassirian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i w:val="1"/>
          <w:iCs w:val="1"/>
          <w:color w:val="auto"/>
        </w:rPr>
        <w:t>Authorized Representative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Victoria Hale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LLC, as </w:t>
      </w:r>
      <w:r>
        <w:rPr>
          <w:rFonts w:ascii="Times New Roman" w:cs="Times New Roman" w:eastAsia="Times New Roman" w:hAnsi="Times New Roman"/>
          <w:sz w:val="18"/>
          <w:szCs w:val="18"/>
          <w:i w:val="1"/>
          <w:iCs w:val="1"/>
          <w:color w:val="auto"/>
        </w:rPr>
        <w:t>Authorized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Kamboj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Josh Kamboj</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ITIGROUP</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ARKETS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i w:val="1"/>
          <w:iCs w:val="1"/>
          <w:color w:val="auto"/>
        </w:rPr>
        <w:t>Authorized Representative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Carl A. Stickel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Carl A. Stickel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G</w:t>
      </w:r>
      <w:r>
        <w:rPr>
          <w:rFonts w:ascii="Times New Roman" w:cs="Times New Roman" w:eastAsia="Times New Roman" w:hAnsi="Times New Roman"/>
          <w:sz w:val="14"/>
          <w:szCs w:val="14"/>
          <w:color w:val="auto"/>
        </w:rPr>
        <w:t>OLDMAN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ACHS</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LLC, as </w:t>
      </w:r>
      <w:r>
        <w:rPr>
          <w:rFonts w:ascii="Times New Roman" w:cs="Times New Roman" w:eastAsia="Times New Roman" w:hAnsi="Times New Roman"/>
          <w:sz w:val="18"/>
          <w:szCs w:val="18"/>
          <w:i w:val="1"/>
          <w:iCs w:val="1"/>
          <w:color w:val="auto"/>
        </w:rPr>
        <w:t>Authorized Representative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Cunn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Ryan Cunn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 Equity Capital Markets</w:t>
      </w:r>
    </w:p>
    <w:p>
      <w:pPr>
        <w:spacing w:after="0" w:line="207"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8"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87"/>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Stockholders</w:t>
            </w:r>
          </w:p>
        </w:tc>
        <w:tc>
          <w:tcPr>
            <w:tcW w:w="3700" w:type="dxa"/>
            <w:vAlign w:val="bottom"/>
            <w:vMerge w:val="restart"/>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6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4720" w:type="dxa"/>
            <w:vAlign w:val="bottom"/>
            <w:gridSpan w:val="2"/>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14,800,000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6" w:name="page47"/>
    <w:bookmarkEnd w:id="46"/>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432"/>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40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Shares of Stock</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18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4,033,000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6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2,997,000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4380" w:type="dxa"/>
            <w:vAlign w:val="bottom"/>
            <w:gridSpan w:val="2"/>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14,800,000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7" w:name="page48"/>
    <w:bookmarkEnd w:id="47"/>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9"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Holdings,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V. Vitale (also to sign in his capacity as an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Horn Davenport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Chonda J. Nwamu</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Horn Davenport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Rode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J. Cornille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S. Mollere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L. Rosenthal</w:t>
      </w:r>
    </w:p>
    <w:p>
      <w:pPr>
        <w:sectPr>
          <w:pgSz w:w="11900" w:h="16838" w:orient="portrait"/>
          <w:cols w:equalWidth="0" w:num="1">
            <w:col w:w="10019"/>
          </w:cols>
          <w:pgMar w:left="440" w:top="266" w:right="1440" w:bottom="1440" w:gutter="0" w:footer="0" w:header="0"/>
        </w:sectPr>
      </w:pPr>
    </w:p>
    <w:bookmarkStart w:id="48" w:name="page49"/>
    <w:bookmarkEnd w:id="48"/>
    <w:p>
      <w:pPr>
        <w:jc w:val="center"/>
        <w:ind w:right="-2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CONVEYED PRICING INFORMATION</w:t>
      </w:r>
    </w:p>
    <w:p>
      <w:pPr>
        <w:spacing w:after="0" w:line="252"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 per share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14,800,000 shares of Stock</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Repurchase Shares is 800,000 shares to be purchased at a price per share equal to the price per share paid by the Underwriters to the Selling Stockholders (as described in Section 3).</w:t>
      </w:r>
    </w:p>
    <w:p>
      <w:pPr>
        <w:sectPr>
          <w:pgSz w:w="11900" w:h="16838" w:orient="portrait"/>
          <w:cols w:equalWidth="0" w:num="1">
            <w:col w:w="10784"/>
          </w:cols>
          <w:pgMar w:left="436" w:top="266" w:right="679" w:bottom="1440" w:gutter="0" w:footer="0" w:header="0"/>
        </w:sectPr>
      </w:pPr>
    </w:p>
    <w:bookmarkStart w:id="49" w:name="page50"/>
    <w:bookmarkEnd w:id="49"/>
    <w:p>
      <w:pPr>
        <w:jc w:val="center"/>
        <w:ind w:right="-44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229"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color w:val="auto"/>
        </w:rPr>
        <w:t>FREE WRITING PROSPECTUS AND OTHER INFORMATION</w:t>
      </w:r>
    </w:p>
    <w:p>
      <w:pPr>
        <w:spacing w:after="0" w:line="131" w:lineRule="exact"/>
        <w:rPr>
          <w:sz w:val="20"/>
          <w:szCs w:val="20"/>
          <w:color w:val="auto"/>
        </w:rPr>
      </w:pPr>
    </w:p>
    <w:p>
      <w:pPr>
        <w:ind w:left="884" w:right="3779" w:hanging="884"/>
        <w:spacing w:after="0" w:line="383"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writing prospectuses not included in the Time of Sale Prospectus None</w:t>
      </w:r>
    </w:p>
    <w:p>
      <w:pPr>
        <w:ind w:left="424" w:hanging="424"/>
        <w:spacing w:after="0"/>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Additional documents incorporated by reference</w:t>
      </w:r>
    </w:p>
    <w:p>
      <w:pPr>
        <w:spacing w:after="0" w:line="11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483"/>
          </w:cols>
          <w:pgMar w:left="976" w:top="266" w:right="1440" w:bottom="1440" w:gutter="0" w:footer="0" w:header="0"/>
        </w:sectPr>
      </w:pPr>
    </w:p>
    <w:bookmarkStart w:id="50" w:name="page51"/>
    <w:bookmarkEnd w:id="50"/>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w:t>
      </w:r>
    </w:p>
    <w:p>
      <w:pPr>
        <w:spacing w:after="0" w:line="22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u w:val="single" w:color="auto"/>
          <w:color w:val="auto"/>
        </w:rPr>
        <w:t>List of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Intermediate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TA/DEI-A Acquisition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Dymatize Enterprises,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Nutrition Company,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Supreme Protein,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Nutrition International GmbH</w:t>
      </w:r>
    </w:p>
    <w:p>
      <w:pPr>
        <w:sectPr>
          <w:pgSz w:w="11900" w:h="16838" w:orient="portrait"/>
          <w:cols w:equalWidth="0" w:num="1">
            <w:col w:w="10019"/>
          </w:cols>
          <w:pgMar w:left="440" w:top="266"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LOCK-UP LETTER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SIMPSON THACHER &amp; BARTLETT LLP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CLEARY GOTTLIEB STEEN &amp; HAMILTON LLP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LEWIS RICE LLC</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345565" cy="659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455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Secondary Equity Offering of 10,808,473 Shares of</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 Held by Post</w:t>
      </w:r>
    </w:p>
    <w:p>
      <w:pPr>
        <w:spacing w:after="0" w:line="19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 Louis – August 8, 2022 </w:t>
      </w:r>
      <w:r>
        <w:rPr>
          <w:rFonts w:ascii="Times New Roman" w:cs="Times New Roman" w:eastAsia="Times New Roman" w:hAnsi="Times New Roman"/>
          <w:sz w:val="18"/>
          <w:szCs w:val="18"/>
          <w:color w:val="auto"/>
        </w:rPr>
        <w:t>– BellRing Brands, Inc. (NYSE: BRBR) (“BellRing”) today announced an underwritten offering of 10,808,473 shares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currently owned by Post Holdings, Inc. (“Post”), BellRing’s former parent company. Post expects to exchange such shares of our common stock for certain indebtedness of Post held by J.P. Morgan Securities LLC, Barclays Bank PLC, Citicorp North America, Inc., Goldman Sachs Lending Partners LLC and Morgan Stanley &amp; Co. LLC (collectively, the “selling stockholders”) prior to the closing of the offering. The selling stockholders then expect to sell such shares of common stock to the underwriters in the offering. BellRing is not selling any shares of its common stock and will not receive any proceeds from the sale of the shares in the offering.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completion of the offering, Post is expected to own 8,588,866 shares of common stock of BellRing.</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part of and subject to the completion of the offering, BellRing intends to concurrently repurchase from the underwriters 800,000 shares out of the aggregate 10,808,473 shares of its common stock that are the subject of the offering. The price per share to be paid by BellRing will equal the price at which the underwriters will purchase the shares of BellRing’s common stock from the selling stockholders in the offering.</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J.P. Morgan Securities LLC, Barclays Capital Inc., Morgan Stanley &amp; Co. LLC, Citigroup Global Markets Inc. and Goldman Sachs &amp; Co. LLC are acting as joint lead book-runners and representatives of the underwriters for the offering.</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 BellRing from time to time for sale in one or more transactions on the NYSE, in the over-the-counter market, through negotiated transactions or otherwise at market prices prevailing at the time of sale, at prices related to prevailing market prices or at negotiated prices.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registration statement relating to these securities has been filed with the U.S. Securities and Exchange Commission (the “Commission”) and has become effective.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offering is being made only by means of a prospectus supplement and an accompanying prospectus. A copy of the preliminary prospectus supplement and accompanying prospectus related to the offering may be obtained from: J.P. Morgan Securities LLC, c/o Broadridge Financial Solutions, 1155 Long Island Avenue, Edgewood, NY 11717, by telephone at (866) 803-9204 or by e-mail at prospectus-eq_fi@jpmchase.com; Barclays Capital Inc., c/o Broadridge Financial Solutions, 1155 Long Island Avenue, Edgewood, NY 11717, by telephone at (888) 603-5847 or by e-mail at barclaysprospectus@broadridge.com; Morgan Stanley &amp; Co. LLC, Attention: Prospectus Department, 180 Varick Street, 2nd Floor, New York, NY 10014, by telephone at (866) 718-1649, Citigroup Global Markets Inc., c/o Broadridge Financial Solutions, 1155 Long Island Avenue, Edgewood, New York 11717, by telephone at (800) 831-9146 or Goldman Sachs &amp; Co. LLC, Attention: Prospectus Department, 200 West Street, New York, NY 10282, by telephone at (866) 471-2526 or by e-mail at prospectus-ny@ny.email.gs.com. You may also obtain a copy of the preliminary prospectus supplement and accompanying prospectus, without charge, by visiting the Commission’s website at http://www.sec.gov.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ectPr>
          <w:pgSz w:w="11900" w:h="16838" w:orient="portrait"/>
          <w:cols w:equalWidth="0" w:num="1">
            <w:col w:w="11020"/>
          </w:cols>
          <w:pgMar w:left="440" w:top="117" w:right="439" w:bottom="1440"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within the meaning of Section 27A of the Securities Act of 1933, as amended, and Section 21E of the Securities Exchange Act of 1934, as amended, are made in this press release. All statements other than statements of historical fact included in this press release are forward-looking statements.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Commission. All forward-looking statements speak only as of the date of this press release. BellRing undertakes no obligations to update or revise publicly any forward-looking statements, whether as a result of new information, future events or otherwise other than as required under the federal securities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2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O’Rourke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Daniel.orourke@bellringbrands.com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 806-3959</w:t>
      </w:r>
    </w:p>
    <w:p>
      <w:pPr>
        <w:sectPr>
          <w:pgSz w:w="11900" w:h="16838" w:orient="portrait"/>
          <w:cols w:equalWidth="0" w:num="1">
            <w:col w:w="10980"/>
          </w:cols>
          <w:pgMar w:left="440" w:top="270" w:right="4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11275" cy="685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12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Announces Upsizing and Pricing of Secondary Equity Offering of Shares of Common Stock Held by Post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 Louis – August 9, 2022 </w:t>
      </w:r>
      <w:r>
        <w:rPr>
          <w:rFonts w:ascii="Times New Roman" w:cs="Times New Roman" w:eastAsia="Times New Roman" w:hAnsi="Times New Roman"/>
          <w:sz w:val="18"/>
          <w:szCs w:val="18"/>
          <w:color w:val="auto"/>
        </w:rPr>
        <w:t>– BellRing Brands, Inc. (NYSE: BRBR) (“BellRing”) yesterday announced the pricing of its underwritten offering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common stock currently owned by Post Holdings, Inc. (“Post”), BellRing’s former parent company, at a public offering price of $23.50 per share. The offering was upsized from 10,808,473 shares to 14,800,000 shares of BellRing’s common stock. Post expects to exchange such shares of our common stock for certain indebtedness of Post held by J.P. Morgan Securities LLC, Barclays Bank PLC, Citicorp North America, Inc., Goldman Sachs Lending Partners LLC and Morgan Stanley &amp; Co. LLC (collectively, the “term loan lenders”) prior to the closing of the offering. The term loan lenders or their designees (collectively, the “selling stockholders”) then expect to sell such shares of common stock to the underwriters in the offering. BellRing is not selling any shares of its common stock and will not receive any proceeds from the sale of the shares in the offering. The offering is expected to close on August 11, 2022, subject to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completion of the offering, Post will own 4,597,339 shares of common stock of BellRing.</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part of and subject to the completion of the offering, BellRing intends to concurrently repurchase from the underwriters 800,000 shares out of the aggregate 14,800,000 shares of its common stock that are the subject of the offering. The price per share to be paid by BellRing will equal the price at which the underwriters will purchase the shares of BellRing’s common stock from the selling stockholders in the offering.</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J.P. Morgan Securities LLC, Barclays Capital Inc., Morgan Stanley &amp; Co. LLC, Citigroup Global Markets Inc. and Goldman Sachs &amp; Co. LLC are acting as joint lead book-runners and representatives of the underwriters for the offering.</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registration statement relating to these securities has been filed with the U.S. Securities and Exchange Commission (the “Commission”) and has become effective.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offering is being made only by means of a prospectus supplement and an accompanying prospectus. A copy of the preliminary prospectus supplement and accompanying prospectus related to the offering may be obtained from: J.P. Morgan Securities LLC, c/o Broadridge Financial Solutions, 1155 Long Island Avenue, Edgewood, NY 11717, by telephone at (866) 803-9204 or by e-mail at prospectus-eq_fi@jpmchase.com; Barclays Capital Inc., c/o Broadridge Financial Solutions, 1155 Long Island Avenue, Edgewood, NY 11717, by telephone at (888) 603-5847 or by e-mail at barclaysprospectus@broadridge.com; Morgan Stanley &amp; Co. LLC, Attention: Prospectus Department, 180 Varick Street, 2nd Floor, New York, NY 10014, by telephone at (866) 718-1649, Citigroup Global Markets Inc., c/o Broadridge Financial Solutions, 1155 Long Island Avenue, Edgewood, New York 11717, by telephone at (800) 831-9146 or Goldman Sachs &amp; Co. LLC, Attention: Prospectus Department, 200 West Street, New York, NY 10282, by telephone at (866) 471-2526 or by e-mail at prospectus-ny@ny.email.gs.com. You may also obtain a copy of the preliminary prospectus supplement and accompanying prospectus, without charge, by visiting the Commission’s website at http://www.sec.gov.</w:t>
      </w:r>
    </w:p>
    <w:p>
      <w:pPr>
        <w:sectPr>
          <w:pgSz w:w="11900" w:h="16838" w:orient="portrait"/>
          <w:cols w:equalWidth="0" w:num="1">
            <w:col w:w="11020"/>
          </w:cols>
          <w:pgMar w:left="440" w:top="117"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on Forward-Looking Language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Securities Exchange Act of 1934, as amended, are made in this press release. All statements other than statements of historical fact included in this press release are forward-looking statements.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Commission. All forward-looking statements speak only as of the date of this press release. BellRing undertakes no obligations to update or revise publicly any forward-looking statements, whether as a result of new information, future events or otherwise other than as required under the federal securities laws.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12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O’Rourke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Daniel.orourke@bellringbrands.com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 806-3959</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lowerLetter"/>
      <w:start w:val="1"/>
    </w:lvl>
    <w:lvl w:ilvl="1">
      <w:lvlJc w:val="left"/>
      <w:lvlText w:val="%2."/>
      <w:numFmt w:val="decimal"/>
      <w:start w:val="1"/>
    </w:lvl>
  </w:abstractNum>
  <w:abstractNum w:abstractNumId="2">
    <w:nsid w:val="3804823E"/>
    <w:multiLevelType w:val="hybridMultilevel"/>
    <w:lvl w:ilvl="0">
      <w:lvlJc w:val="left"/>
      <w:lvlText w:val="(%1)"/>
      <w:numFmt w:val="lowerLetter"/>
      <w:start w:val="1"/>
    </w:lvl>
    <w:lvl w:ilvl="1">
      <w:lvlJc w:val="left"/>
      <w:lvlText w:val="%2"/>
      <w:numFmt w:val="decimal"/>
      <w:start w:val="1"/>
    </w:lvl>
  </w:abstractNum>
  <w:abstractNum w:abstractNumId="3">
    <w:nsid w:val="77465F01"/>
    <w:multiLevelType w:val="hybridMultilevel"/>
    <w:lvl w:ilvl="0">
      <w:lvlJc w:val="left"/>
      <w:lvlText w:val="(%1)"/>
      <w:numFmt w:val="lowerLetter"/>
      <w:start w:val="3"/>
    </w:lvl>
  </w:abstractNum>
  <w:abstractNum w:abstractNumId="4">
    <w:nsid w:val="7724C67E"/>
    <w:multiLevelType w:val="hybridMultilevel"/>
    <w:lvl w:ilvl="0">
      <w:lvlJc w:val="left"/>
      <w:lvlText w:val="(%1)"/>
      <w:numFmt w:val="lowerLetter"/>
      <w:start w:val="6"/>
    </w:lvl>
  </w:abstractNum>
  <w:abstractNum w:abstractNumId="5">
    <w:nsid w:val="5C482A97"/>
    <w:multiLevelType w:val="hybridMultilevel"/>
    <w:lvl w:ilvl="0">
      <w:lvlJc w:val="left"/>
      <w:lvlText w:val="%1"/>
      <w:numFmt w:val="lowerLetter"/>
      <w:start w:val="1"/>
    </w:lvl>
    <w:lvl w:ilvl="1">
      <w:lvlJc w:val="left"/>
      <w:lvlText w:val="(%2)"/>
      <w:numFmt w:val="lowerLetter"/>
      <w:start w:val="10"/>
    </w:lvl>
  </w:abstractNum>
  <w:abstractNum w:abstractNumId="6">
    <w:nsid w:val="2463B9EA"/>
    <w:multiLevelType w:val="hybridMultilevel"/>
    <w:lvl w:ilvl="0">
      <w:lvlJc w:val="left"/>
      <w:lvlText w:val="(%1)"/>
      <w:numFmt w:val="lowerLetter"/>
      <w:start w:val="9"/>
    </w:lvl>
    <w:lvl w:ilvl="1">
      <w:lvlJc w:val="left"/>
      <w:lvlText w:val="%2"/>
      <w:numFmt w:val="lowerLetter"/>
      <w:start w:val="1"/>
    </w:lvl>
  </w:abstractNum>
  <w:abstractNum w:abstractNumId="7">
    <w:nsid w:val="5E884ADC"/>
    <w:multiLevelType w:val="hybridMultilevel"/>
    <w:lvl w:ilvl="0">
      <w:lvlJc w:val="left"/>
      <w:lvlText w:val="(%1)"/>
      <w:numFmt w:val="lowerLetter"/>
      <w:start w:val="15"/>
    </w:lvl>
  </w:abstractNum>
  <w:abstractNum w:abstractNumId="8">
    <w:nsid w:val="51EAD36B"/>
    <w:multiLevelType w:val="hybridMultilevel"/>
    <w:lvl w:ilvl="0">
      <w:lvlJc w:val="left"/>
      <w:lvlText w:val="%1"/>
      <w:numFmt w:val="lowerLetter"/>
      <w:start w:val="1"/>
    </w:lvl>
    <w:lvl w:ilvl="1">
      <w:lvlJc w:val="left"/>
      <w:lvlText w:val="(%2)"/>
      <w:numFmt w:val="lowerLetter"/>
      <w:start w:val="19"/>
    </w:lvl>
  </w:abstractNum>
  <w:abstractNum w:abstractNumId="9">
    <w:nsid w:val="2D517796"/>
    <w:multiLevelType w:val="hybridMultilevel"/>
    <w:lvl w:ilvl="0">
      <w:lvlJc w:val="left"/>
      <w:lvlText w:val="(%1)"/>
      <w:numFmt w:val="lowerLetter"/>
      <w:start w:val="9"/>
    </w:lvl>
    <w:lvl w:ilvl="1">
      <w:lvlJc w:val="left"/>
      <w:lvlText w:val="(%2)"/>
      <w:numFmt w:val="lowerLetter"/>
      <w:start w:val="20"/>
    </w:lvl>
  </w:abstractNum>
  <w:abstractNum w:abstractNumId="10">
    <w:nsid w:val="580BD78F"/>
    <w:multiLevelType w:val="hybridMultilevel"/>
    <w:lvl w:ilvl="0">
      <w:lvlJc w:val="left"/>
      <w:lvlText w:val="(%1)"/>
      <w:numFmt w:val="lowerLetter"/>
      <w:start w:val="22"/>
    </w:lvl>
  </w:abstractNum>
  <w:abstractNum w:abstractNumId="11">
    <w:nsid w:val="153EA438"/>
    <w:multiLevelType w:val="hybridMultilevel"/>
    <w:lvl w:ilvl="0">
      <w:lvlJc w:val="left"/>
      <w:lvlText w:val="(%1)"/>
      <w:numFmt w:val="lowerLetter"/>
      <w:start w:val="26"/>
    </w:lvl>
  </w:abstractNum>
  <w:abstractNum w:abstractNumId="12">
    <w:nsid w:val="3855585C"/>
    <w:multiLevelType w:val="hybridMultilevel"/>
    <w:lvl w:ilvl="0">
      <w:lvlJc w:val="left"/>
      <w:lvlText w:val="%1"/>
      <w:numFmt w:val="lowerLetter"/>
      <w:start w:val="1"/>
    </w:lvl>
    <w:lvl w:ilvl="1">
      <w:lvlJc w:val="left"/>
      <w:lvlText w:val="(%2)"/>
      <w:numFmt w:val="lowerLetter"/>
      <w:start w:val="27"/>
    </w:lvl>
  </w:abstractNum>
  <w:abstractNum w:abstractNumId="13">
    <w:nsid w:val="70A64E2A"/>
    <w:multiLevelType w:val="hybridMultilevel"/>
    <w:lvl w:ilvl="0">
      <w:lvlJc w:val="left"/>
      <w:lvlText w:val="(%1)"/>
      <w:numFmt w:val="lowerLetter"/>
      <w:start w:val="25"/>
    </w:lvl>
    <w:lvl w:ilvl="1">
      <w:lvlJc w:val="left"/>
      <w:lvlText w:val="%2"/>
      <w:numFmt w:val="lowerLetter"/>
      <w:start w:val="1"/>
    </w:lvl>
  </w:abstractNum>
  <w:abstractNum w:abstractNumId="14">
    <w:nsid w:val="6A2342EC"/>
    <w:multiLevelType w:val="hybridMultilevel"/>
    <w:lvl w:ilvl="0">
      <w:lvlJc w:val="left"/>
      <w:lvlText w:val="(%1)"/>
      <w:numFmt w:val="lowerLetter"/>
      <w:start w:val="30"/>
    </w:lvl>
  </w:abstractNum>
  <w:abstractNum w:abstractNumId="15">
    <w:nsid w:val="2A487CB0"/>
    <w:multiLevelType w:val="hybridMultilevel"/>
    <w:lvl w:ilvl="0">
      <w:lvlJc w:val="left"/>
      <w:lvlText w:val="(%1)"/>
      <w:numFmt w:val="upperLetter"/>
      <w:start w:val="4"/>
    </w:lvl>
  </w:abstractNum>
  <w:abstractNum w:abstractNumId="16">
    <w:nsid w:val="1D4ED43B"/>
    <w:multiLevelType w:val="hybridMultilevel"/>
    <w:lvl w:ilvl="0">
      <w:lvlJc w:val="left"/>
      <w:lvlText w:val="(%1)"/>
      <w:numFmt w:val="lowerLetter"/>
      <w:start w:val="32"/>
    </w:lvl>
  </w:abstractNum>
  <w:abstractNum w:abstractNumId="17">
    <w:nsid w:val="725A06FB"/>
    <w:multiLevelType w:val="hybridMultilevel"/>
    <w:lvl w:ilvl="0">
      <w:lvlJc w:val="left"/>
      <w:lvlText w:val="(%1)"/>
      <w:numFmt w:val="lowerLetter"/>
      <w:start w:val="39"/>
    </w:lvl>
  </w:abstractNum>
  <w:abstractNum w:abstractNumId="18">
    <w:nsid w:val="2CD89A32"/>
    <w:multiLevelType w:val="hybridMultilevel"/>
    <w:lvl w:ilvl="0">
      <w:lvlJc w:val="left"/>
      <w:lvlText w:val="%1"/>
      <w:numFmt w:val="lowerLetter"/>
      <w:start w:val="1"/>
    </w:lvl>
    <w:lvl w:ilvl="1">
      <w:lvlJc w:val="left"/>
      <w:lvlText w:val="(%2)"/>
      <w:numFmt w:val="lowerLetter"/>
      <w:start w:val="43"/>
    </w:lvl>
  </w:abstractNum>
  <w:abstractNum w:abstractNumId="19">
    <w:nsid w:val="57E4CCAF"/>
    <w:multiLevelType w:val="hybridMultilevel"/>
    <w:lvl w:ilvl="0">
      <w:lvlJc w:val="left"/>
      <w:lvlText w:val="(%1)"/>
      <w:numFmt w:val="lowerLetter"/>
      <w:start w:val="35"/>
    </w:lvl>
    <w:lvl w:ilvl="1">
      <w:lvlJc w:val="left"/>
      <w:lvlText w:val="%2"/>
      <w:numFmt w:val="lowerLetter"/>
      <w:start w:val="1"/>
    </w:lvl>
  </w:abstractNum>
  <w:abstractNum w:abstractNumId="20">
    <w:nsid w:val="7A6D8D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1">
    <w:nsid w:val="4B588F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2">
    <w:nsid w:val="542289EC"/>
    <w:multiLevelType w:val="hybridMultilevel"/>
    <w:lvl w:ilvl="0">
      <w:lvlJc w:val="left"/>
      <w:lvlText w:val="%1"/>
      <w:numFmt w:val="decimal"/>
      <w:start w:val="1"/>
    </w:lvl>
    <w:lvl w:ilvl="1">
      <w:lvlJc w:val="left"/>
      <w:lvlText w:val="(%2)"/>
      <w:numFmt w:val="lowerLetter"/>
      <w:start w:val="35"/>
    </w:lvl>
    <w:lvl w:ilvl="2">
      <w:lvlJc w:val="left"/>
      <w:lvlText w:val="%3"/>
      <w:numFmt w:val="decimal"/>
      <w:start w:val="1"/>
    </w:lvl>
  </w:abstractNum>
  <w:abstractNum w:abstractNumId="23">
    <w:nsid w:val="6DE91B18"/>
    <w:multiLevelType w:val="hybridMultilevel"/>
    <w:lvl w:ilvl="0">
      <w:lvlJc w:val="left"/>
      <w:lvlText w:val="%1"/>
      <w:numFmt w:val="decimal"/>
      <w:start w:val="1"/>
    </w:lvl>
    <w:lvl w:ilvl="1">
      <w:lvlJc w:val="left"/>
      <w:lvlText w:val="(%2)"/>
      <w:numFmt w:val="lowerLetter"/>
      <w:start w:val="61"/>
    </w:lvl>
    <w:lvl w:ilvl="2">
      <w:lvlJc w:val="left"/>
      <w:lvlText w:val="%3"/>
      <w:numFmt w:val="decimal"/>
      <w:start w:val="1"/>
    </w:lvl>
  </w:abstractNum>
  <w:abstractNum w:abstractNumId="24">
    <w:nsid w:val="38437FDB"/>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25">
    <w:nsid w:val="7644A45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6">
    <w:nsid w:val="32FFF902"/>
    <w:multiLevelType w:val="hybridMultilevel"/>
    <w:lvl w:ilvl="0">
      <w:lvlJc w:val="left"/>
      <w:lvlText w:val="(%1)"/>
      <w:numFmt w:val="lowerRoman"/>
      <w:start w:val="10"/>
    </w:lvl>
  </w:abstractNum>
  <w:abstractNum w:abstractNumId="27">
    <w:nsid w:val="684A481A"/>
    <w:multiLevelType w:val="hybridMultilevel"/>
    <w:lvl w:ilvl="0">
      <w:lvlJc w:val="left"/>
      <w:lvlText w:val="%1"/>
      <w:numFmt w:val="decimal"/>
      <w:start w:val="1"/>
    </w:lvl>
    <w:lvl w:ilvl="1">
      <w:lvlJc w:val="left"/>
      <w:lvlText w:val="(%2)"/>
      <w:numFmt w:val="lowerLetter"/>
      <w:start w:val="3"/>
    </w:lvl>
  </w:abstractNum>
  <w:abstractNum w:abstractNumId="28">
    <w:nsid w:val="579478FE"/>
    <w:multiLevelType w:val="hybridMultilevel"/>
    <w:lvl w:ilvl="0">
      <w:lvlJc w:val="left"/>
      <w:lvlText w:val="(%1)"/>
      <w:numFmt w:val="decimal"/>
      <w:start w:val="2"/>
    </w:lvl>
    <w:lvl w:ilvl="1">
      <w:lvlJc w:val="left"/>
      <w:lvlText w:val="(%2)"/>
      <w:numFmt w:val="lowerLetter"/>
      <w:start w:val="1"/>
    </w:lvl>
  </w:abstractNum>
  <w:abstractNum w:abstractNumId="29">
    <w:nsid w:val="749ABB43"/>
    <w:multiLevelType w:val="hybridMultilevel"/>
    <w:lvl w:ilvl="0">
      <w:lvlJc w:val="left"/>
      <w:lvlText w:val="(%1)"/>
      <w:numFmt w:val="lowerLetter"/>
      <w:start w:val="2"/>
    </w:lvl>
  </w:abstractNum>
  <w:abstractNum w:abstractNumId="30">
    <w:nsid w:val="3DC240FB"/>
    <w:multiLevelType w:val="hybridMultilevel"/>
    <w:lvl w:ilvl="0">
      <w:lvlJc w:val="left"/>
      <w:lvlText w:val="(%1)"/>
      <w:numFmt w:val="lowerLetter"/>
      <w:start w:val="24"/>
    </w:lvl>
  </w:abstractNum>
  <w:abstractNum w:abstractNumId="31">
    <w:nsid w:val="1BA026FA"/>
    <w:multiLevelType w:val="hybridMultilevel"/>
    <w:lvl w:ilvl="0">
      <w:lvlJc w:val="left"/>
      <w:lvlText w:val="(%1)"/>
      <w:numFmt w:val="lowerLetter"/>
      <w:start w:val="3"/>
    </w:lvl>
  </w:abstractNum>
  <w:abstractNum w:abstractNumId="32">
    <w:nsid w:val="79A1DEAA"/>
    <w:multiLevelType w:val="hybridMultilevel"/>
    <w:lvl w:ilvl="0">
      <w:lvlJc w:val="left"/>
      <w:lvlText w:val="(%1)"/>
      <w:numFmt w:val="lowerLetter"/>
      <w:start w:val="6"/>
    </w:lvl>
    <w:lvl w:ilvl="1">
      <w:lvlJc w:val="left"/>
      <w:lvlText w:val="%2."/>
      <w:numFmt w:val="decimal"/>
      <w:start w:val="3"/>
    </w:lvl>
  </w:abstractNum>
  <w:abstractNum w:abstractNumId="33">
    <w:nsid w:val="75C6C33A"/>
    <w:multiLevelType w:val="hybridMultilevel"/>
    <w:lvl w:ilvl="0">
      <w:lvlJc w:val="left"/>
      <w:lvlText w:val="%1."/>
      <w:numFmt w:val="decimal"/>
      <w:start w:val="4"/>
    </w:lvl>
    <w:lvl w:ilvl="1">
      <w:lvlJc w:val="left"/>
      <w:lvlText w:val="(%2)"/>
      <w:numFmt w:val="lowerLetter"/>
      <w:start w:val="1"/>
    </w:lvl>
  </w:abstractNum>
  <w:abstractNum w:abstractNumId="34">
    <w:nsid w:val="12E685F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35">
    <w:nsid w:val="70C6A529"/>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36">
    <w:nsid w:val="520EEDD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7">
    <w:nsid w:val="374A3FE6"/>
    <w:multiLevelType w:val="hybridMultilevel"/>
    <w:lvl w:ilvl="0">
      <w:lvlJc w:val="left"/>
      <w:lvlText w:val="%1"/>
      <w:numFmt w:val="upperLetter"/>
      <w:start w:val="1"/>
    </w:lvl>
    <w:lvl w:ilvl="1">
      <w:lvlJc w:val="left"/>
      <w:lvlText w:val="(%2)"/>
      <w:numFmt w:val="lowerRoman"/>
      <w:start w:val="3"/>
    </w:lvl>
  </w:abstractNum>
  <w:abstractNum w:abstractNumId="38">
    <w:nsid w:val="4F4EF005"/>
    <w:multiLevelType w:val="hybridMultilevel"/>
    <w:lvl w:ilvl="0">
      <w:lvlJc w:val="left"/>
      <w:lvlText w:val="(%1)"/>
      <w:numFmt w:val="upperLetter"/>
      <w:start w:val="1"/>
    </w:lvl>
    <w:lvl w:ilvl="1">
      <w:lvlJc w:val="left"/>
      <w:lvlText w:val="(%2)"/>
      <w:numFmt w:val="lowerRoman"/>
      <w:start w:val="4"/>
    </w:lvl>
  </w:abstractNum>
  <w:abstractNum w:abstractNumId="39">
    <w:nsid w:val="23F9C13C"/>
    <w:multiLevelType w:val="hybridMultilevel"/>
    <w:lvl w:ilvl="0">
      <w:lvlJc w:val="left"/>
      <w:lvlText w:val="(%1)"/>
      <w:numFmt w:val="lowerRoman"/>
      <w:start w:val="8"/>
    </w:lvl>
  </w:abstractNum>
  <w:abstractNum w:abstractNumId="40">
    <w:nsid w:val="649BB77C"/>
    <w:multiLevelType w:val="hybridMultilevel"/>
    <w:lvl w:ilvl="0">
      <w:lvlJc w:val="left"/>
      <w:lvlText w:val="(%1)"/>
      <w:numFmt w:val="lowerRoman"/>
      <w:start w:val="14"/>
    </w:lvl>
  </w:abstractNum>
  <w:abstractNum w:abstractNumId="41">
    <w:nsid w:val="275AC794"/>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7"/>
    </w:lvl>
  </w:abstractNum>
  <w:abstractNum w:abstractNumId="42">
    <w:nsid w:val="39386575"/>
    <w:multiLevelType w:val="hybridMultilevel"/>
    <w:lvl w:ilvl="0">
      <w:lvlJc w:val="left"/>
      <w:lvlText w:val="(%1)"/>
      <w:numFmt w:val="lowerLetter"/>
      <w:start w:val="10"/>
    </w:lvl>
    <w:lvl w:ilvl="1">
      <w:lvlJc w:val="left"/>
      <w:lvlText w:val="%2"/>
      <w:numFmt w:val="lowerLetter"/>
      <w:start w:val="1"/>
    </w:lvl>
    <w:lvl w:ilvl="2">
      <w:lvlJc w:val="left"/>
      <w:lvlText w:val="%3"/>
      <w:numFmt w:val="decimal"/>
      <w:start w:val="1"/>
    </w:lvl>
  </w:abstractNum>
  <w:abstractNum w:abstractNumId="43">
    <w:nsid w:val="1CF10FD8"/>
    <w:multiLevelType w:val="hybridMultilevel"/>
    <w:lvl w:ilvl="0">
      <w:lvlJc w:val="left"/>
      <w:lvlText w:val="%1"/>
      <w:numFmt w:val="lowerLetter"/>
      <w:start w:val="1"/>
    </w:lvl>
    <w:lvl w:ilvl="1">
      <w:lvlJc w:val="left"/>
      <w:lvlText w:val="%2."/>
      <w:numFmt w:val="decimal"/>
      <w:start w:val="8"/>
    </w:lvl>
  </w:abstractNum>
  <w:abstractNum w:abstractNumId="44">
    <w:nsid w:val="180115BE"/>
    <w:multiLevelType w:val="hybridMultilevel"/>
    <w:lvl w:ilvl="0">
      <w:lvlJc w:val="left"/>
      <w:lvlText w:val="(%1)"/>
      <w:numFmt w:val="lowerLetter"/>
      <w:start w:val="1"/>
    </w:lvl>
    <w:lvl w:ilvl="1">
      <w:lvlJc w:val="left"/>
      <w:lvlText w:val="%2"/>
      <w:numFmt w:val="decimal"/>
      <w:start w:val="1"/>
    </w:lvl>
  </w:abstractNum>
  <w:abstractNum w:abstractNumId="45">
    <w:nsid w:val="235BA861"/>
    <w:multiLevelType w:val="hybridMultilevel"/>
    <w:lvl w:ilvl="0">
      <w:lvlJc w:val="left"/>
      <w:lvlText w:val="(%1)"/>
      <w:numFmt w:val="lowerLetter"/>
      <w:start w:val="6"/>
    </w:lvl>
    <w:lvl w:ilvl="1">
      <w:lvlJc w:val="left"/>
      <w:lvlText w:val="(%2)"/>
      <w:numFmt w:val="decimal"/>
      <w:start w:val="2"/>
    </w:lvl>
    <w:lvl w:ilvl="2">
      <w:lvlJc w:val="left"/>
      <w:lvlText w:val="(%3)"/>
      <w:numFmt w:val="lowerRoman"/>
      <w:start w:val="1"/>
    </w:lvl>
  </w:abstractNum>
  <w:abstractNum w:abstractNumId="46">
    <w:nsid w:val="47398C89"/>
    <w:multiLevelType w:val="hybridMultilevel"/>
    <w:lvl w:ilvl="0">
      <w:lvlJc w:val="left"/>
      <w:lvlText w:val="%1"/>
      <w:numFmt w:val="lowerLetter"/>
      <w:start w:val="1"/>
    </w:lvl>
    <w:lvl w:ilvl="1">
      <w:lvlJc w:val="left"/>
      <w:lvlText w:val="(%2)"/>
      <w:numFmt w:val="lowerRoman"/>
      <w:start w:val="3"/>
    </w:lvl>
  </w:abstractNum>
  <w:abstractNum w:abstractNumId="47">
    <w:nsid w:val="354FE9F9"/>
    <w:multiLevelType w:val="hybridMultilevel"/>
    <w:lvl w:ilvl="0">
      <w:lvlJc w:val="left"/>
      <w:lvlText w:val="(%1)"/>
      <w:numFmt w:val="lowerLetter"/>
      <w:start w:val="9"/>
    </w:lvl>
    <w:lvl w:ilvl="1">
      <w:lvlJc w:val="left"/>
      <w:lvlText w:val="%2"/>
      <w:numFmt w:val="lowerRoman"/>
      <w:start w:val="1"/>
    </w:lvl>
  </w:abstractNum>
  <w:abstractNum w:abstractNumId="48">
    <w:nsid w:val="15B5AF5C"/>
    <w:multiLevelType w:val="hybridMultilevel"/>
    <w:lvl w:ilvl="0">
      <w:lvlJc w:val="left"/>
      <w:lvlText w:val="(%1)"/>
      <w:numFmt w:val="lowerLetter"/>
      <w:start w:val="11"/>
    </w:lvl>
  </w:abstractNum>
  <w:abstractNum w:abstractNumId="49">
    <w:nsid w:val="741226BB"/>
    <w:multiLevelType w:val="hybridMultilevel"/>
    <w:lvl w:ilvl="0">
      <w:lvlJc w:val="left"/>
      <w:lvlText w:val="(%1)"/>
      <w:numFmt w:val="lowerLetter"/>
      <w:start w:val="16"/>
    </w:lvl>
  </w:abstractNum>
  <w:abstractNum w:abstractNumId="50">
    <w:nsid w:val="D34B6A8"/>
    <w:multiLevelType w:val="hybridMultilevel"/>
    <w:lvl w:ilvl="0">
      <w:lvlJc w:val="left"/>
      <w:lvlText w:val="%1"/>
      <w:numFmt w:val="lowerLetter"/>
      <w:start w:val="1"/>
    </w:lvl>
    <w:lvl w:ilvl="1">
      <w:lvlJc w:val="left"/>
      <w:lvlText w:val="%2."/>
      <w:numFmt w:val="decimal"/>
      <w:start w:val="9"/>
    </w:lvl>
  </w:abstractNum>
  <w:abstractNum w:abstractNumId="51">
    <w:nsid w:val="10233C99"/>
    <w:multiLevelType w:val="hybridMultilevel"/>
    <w:lvl w:ilvl="0">
      <w:lvlJc w:val="left"/>
      <w:lvlText w:val="(%1)"/>
      <w:numFmt w:val="lowerLetter"/>
      <w:start w:val="1"/>
    </w:lvl>
    <w:lvl w:ilvl="1">
      <w:lvlJc w:val="left"/>
      <w:lvlText w:val="%2"/>
      <w:numFmt w:val="decimal"/>
      <w:start w:val="1"/>
    </w:lvl>
  </w:abstractNum>
  <w:abstractNum w:abstractNumId="52">
    <w:nsid w:val="3F6AB60F"/>
    <w:multiLevelType w:val="hybridMultilevel"/>
    <w:lvl w:ilvl="0">
      <w:lvlJc w:val="left"/>
      <w:lvlText w:val="(%1)"/>
      <w:numFmt w:val="lowerLetter"/>
      <w:start w:val="2"/>
    </w:lvl>
  </w:abstractNum>
  <w:abstractNum w:abstractNumId="53">
    <w:nsid w:val="61574095"/>
    <w:multiLevelType w:val="hybridMultilevel"/>
    <w:lvl w:ilvl="0">
      <w:lvlJc w:val="left"/>
      <w:lvlText w:val="(%1)"/>
      <w:numFmt w:val="lowerLetter"/>
      <w:start w:val="3"/>
    </w:lvl>
  </w:abstractNum>
  <w:abstractNum w:abstractNumId="54">
    <w:nsid w:val="7E0C57B1"/>
    <w:multiLevelType w:val="hybridMultilevel"/>
    <w:lvl w:ilvl="0">
      <w:lvlJc w:val="left"/>
      <w:lvlText w:val="%1"/>
      <w:numFmt w:val="lowerLetter"/>
      <w:start w:val="1"/>
    </w:lvl>
    <w:lvl w:ilvl="1">
      <w:lvlJc w:val="left"/>
      <w:lvlText w:val="(%2)"/>
      <w:numFmt w:val="lowerLetter"/>
      <w:start w:val="5"/>
    </w:lvl>
  </w:abstractNum>
  <w:abstractNum w:abstractNumId="55">
    <w:nsid w:val="77AE35EB"/>
    <w:multiLevelType w:val="hybridMultilevel"/>
    <w:lvl w:ilvl="0">
      <w:lvlJc w:val="left"/>
      <w:lvlText w:val="(%1)"/>
      <w:numFmt w:val="lowerLetter"/>
      <w:start w:val="4"/>
    </w:lvl>
    <w:lvl w:ilvl="1">
      <w:lvlJc w:val="left"/>
      <w:lvlText w:val="%2"/>
      <w:numFmt w:val="lowerLetter"/>
      <w:start w:val="1"/>
    </w:lvl>
  </w:abstractNum>
  <w:abstractNum w:abstractNumId="56">
    <w:nsid w:val="579BE4F1"/>
    <w:multiLevelType w:val="hybridMultilevel"/>
    <w:lvl w:ilvl="0">
      <w:lvlJc w:val="left"/>
      <w:lvlText w:val="(%1)"/>
      <w:numFmt w:val="lowerLetter"/>
      <w:start w:val="4"/>
    </w:lvl>
    <w:lvl w:ilvl="1">
      <w:lvlJc w:val="left"/>
      <w:lvlText w:val="%2"/>
      <w:numFmt w:val="lowerLetter"/>
      <w:start w:val="1"/>
    </w:lvl>
  </w:abstractNum>
  <w:abstractNum w:abstractNumId="57">
    <w:nsid w:val="310C50B3"/>
    <w:multiLevelType w:val="hybridMultilevel"/>
    <w:lvl w:ilvl="0">
      <w:lvlJc w:val="left"/>
      <w:lvlText w:val="(%1)"/>
      <w:numFmt w:val="lowerLetter"/>
      <w:start w:val="24"/>
    </w:lvl>
    <w:lvl w:ilvl="1">
      <w:lvlJc w:val="left"/>
      <w:lvlText w:val="(%2)"/>
      <w:numFmt w:val="lowerLetter"/>
      <w:start w:val="6"/>
    </w:lvl>
  </w:abstractNum>
  <w:abstractNum w:abstractNumId="58">
    <w:nsid w:val="5FF87E05"/>
    <w:multiLevelType w:val="hybridMultilevel"/>
    <w:lvl w:ilvl="0">
      <w:lvlJc w:val="left"/>
      <w:lvlText w:val="(%1)"/>
      <w:numFmt w:val="lowerLetter"/>
      <w:start w:val="9"/>
    </w:lvl>
    <w:lvl w:ilvl="1">
      <w:lvlJc w:val="left"/>
      <w:lvlText w:val="%2"/>
      <w:numFmt w:val="lowerLetter"/>
      <w:start w:val="1"/>
    </w:lvl>
  </w:abstractNum>
  <w:abstractNum w:abstractNumId="59">
    <w:nsid w:val="2F305DEF"/>
    <w:multiLevelType w:val="hybridMultilevel"/>
    <w:lvl w:ilvl="0">
      <w:lvlJc w:val="left"/>
      <w:lvlText w:val="(%1)"/>
      <w:numFmt w:val="lowerLetter"/>
      <w:start w:val="9"/>
    </w:lvl>
    <w:lvl w:ilvl="1">
      <w:lvlJc w:val="left"/>
      <w:lvlText w:val="%2"/>
      <w:numFmt w:val="lowerLetter"/>
      <w:start w:val="1"/>
    </w:lvl>
  </w:abstractNum>
  <w:abstractNum w:abstractNumId="60">
    <w:nsid w:val="25A70BF7"/>
    <w:multiLevelType w:val="hybridMultilevel"/>
    <w:lvl w:ilvl="0">
      <w:lvlJc w:val="left"/>
      <w:lvlText w:val="(%1)"/>
      <w:numFmt w:val="lowerLetter"/>
      <w:start w:val="7"/>
    </w:lvl>
    <w:lvl w:ilvl="1">
      <w:lvlJc w:val="left"/>
      <w:lvlText w:val="%2."/>
      <w:numFmt w:val="decimal"/>
      <w:start w:val="10"/>
    </w:lvl>
  </w:abstractNum>
  <w:abstractNum w:abstractNumId="61">
    <w:nsid w:val="1DBABF00"/>
    <w:multiLevelType w:val="hybridMultilevel"/>
    <w:lvl w:ilvl="0">
      <w:lvlJc w:val="left"/>
      <w:lvlText w:val="%1."/>
      <w:numFmt w:val="decimal"/>
      <w:start w:val="11"/>
    </w:lvl>
  </w:abstractNum>
  <w:abstractNum w:abstractNumId="62">
    <w:nsid w:val="4AD084E9"/>
    <w:multiLevelType w:val="hybridMultilevel"/>
    <w:lvl w:ilvl="0">
      <w:lvlJc w:val="left"/>
      <w:lvlText w:val="%1."/>
      <w:numFmt w:val="decimal"/>
      <w:start w:val="14"/>
    </w:lvl>
    <w:lvl w:ilvl="1">
      <w:lvlJc w:val="left"/>
      <w:lvlText w:val="(%2)"/>
      <w:numFmt w:val="lowerLetter"/>
      <w:start w:val="1"/>
    </w:lvl>
  </w:abstractNum>
  <w:abstractNum w:abstractNumId="63">
    <w:nsid w:val="1F48EAA1"/>
    <w:multiLevelType w:val="hybridMultilevel"/>
    <w:lvl w:ilvl="0">
      <w:lvlJc w:val="left"/>
      <w:lvlText w:val="%1"/>
      <w:numFmt w:val="lowerLetter"/>
      <w:start w:val="1"/>
    </w:lvl>
    <w:lvl w:ilvl="1">
      <w:lvlJc w:val="left"/>
      <w:lvlText w:val="%2."/>
      <w:numFmt w:val="decimal"/>
      <w:start w:val="16"/>
    </w:lvl>
  </w:abstractNum>
  <w:abstractNum w:abstractNumId="64">
    <w:nsid w:val="1381823A"/>
    <w:multiLevelType w:val="hybridMultilevel"/>
    <w:lvl w:ilvl="0">
      <w:lvlJc w:val="left"/>
      <w:lvlText w:val="(%1)"/>
      <w:numFmt w:val="lowerLetter"/>
      <w:start w:val="2"/>
    </w:lvl>
    <w:lvl w:ilvl="1">
      <w:lvlJc w:val="left"/>
      <w:lvlText w:val="%2"/>
      <w:numFmt w:val="decimal"/>
      <w:start w:val="1"/>
    </w:lvl>
  </w:abstractNum>
  <w:abstractNum w:abstractNumId="65">
    <w:nsid w:val="5DB70AE5"/>
    <w:multiLevelType w:val="hybridMultilevel"/>
    <w:lvl w:ilvl="0">
      <w:lvlJc w:val="left"/>
      <w:lvlText w:val="(%1)"/>
      <w:numFmt w:val="lowerLetter"/>
      <w:start w:val="4"/>
    </w:lvl>
    <w:lvl w:ilvl="1">
      <w:lvlJc w:val="left"/>
      <w:lvlText w:val="%2"/>
      <w:numFmt w:val="decimal"/>
      <w:start w:val="1"/>
    </w:lvl>
  </w:abstractNum>
  <w:abstractNum w:abstractNumId="66">
    <w:nsid w:val="100F8FCA"/>
    <w:multiLevelType w:val="hybridMultilevel"/>
    <w:lvl w:ilvl="0">
      <w:lvlJc w:val="left"/>
      <w:lvlText w:val="%1."/>
      <w:numFmt w:val="decimal"/>
      <w:start w:val="21"/>
    </w:lvl>
  </w:abstractNum>
  <w:abstractNum w:abstractNumId="67">
    <w:nsid w:val="6590700B"/>
    <w:multiLevelType w:val="hybridMultilevel"/>
    <w:lvl w:ilvl="0">
      <w:lvlJc w:val="left"/>
      <w:lvlText w:val="%1."/>
      <w:numFmt w:val="decimal"/>
      <w:start w:val="25"/>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2022-08-11T05:16:37Z</dcterms:created>
  <dcterms:modified xsi:type="dcterms:W3CDTF">2022-08-11T05:16:37Z</dcterms:modified>
</cp:coreProperties>
</file>